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emf" ContentType="image/x-emf"/>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overflowPunct w:val="0"/>
        <w:spacing w:line="1000" w:lineRule="exact"/>
        <w:jc w:val="center"/>
        <w:rPr>
          <w:rFonts w:hint="eastAsia" w:eastAsia="黑体"/>
          <w:color w:val="auto"/>
          <w:spacing w:val="-30"/>
          <w:sz w:val="72"/>
          <w:szCs w:val="72"/>
          <w:highlight w:val="none"/>
        </w:rPr>
      </w:pPr>
    </w:p>
    <w:p>
      <w:pPr>
        <w:jc w:val="center"/>
        <w:rPr>
          <w:rFonts w:ascii="宋体" w:hAnsi="宋体"/>
          <w:b/>
          <w:color w:val="auto"/>
          <w:sz w:val="72"/>
          <w:szCs w:val="72"/>
          <w:highlight w:val="none"/>
        </w:rPr>
      </w:pPr>
      <w:bookmarkStart w:id="0" w:name="_Toc21862"/>
      <w:r>
        <w:rPr>
          <w:rFonts w:hint="eastAsia" w:ascii="宋体" w:hAnsi="宋体"/>
          <w:b/>
          <w:color w:val="auto"/>
          <w:sz w:val="72"/>
          <w:szCs w:val="72"/>
          <w:highlight w:val="none"/>
        </w:rPr>
        <w:t>建设项目环境影响报告表</w:t>
      </w:r>
      <w:bookmarkEnd w:id="0"/>
    </w:p>
    <w:p>
      <w:pPr>
        <w:overflowPunct w:val="0"/>
        <w:jc w:val="center"/>
        <w:rPr>
          <w:rFonts w:ascii="黑体" w:hAnsi="黑体" w:eastAsia="黑体" w:cs="黑体"/>
          <w:color w:val="auto"/>
          <w:sz w:val="32"/>
          <w:szCs w:val="32"/>
          <w:highlight w:val="none"/>
        </w:rPr>
      </w:pPr>
    </w:p>
    <w:p>
      <w:pPr>
        <w:overflowPunct w:val="0"/>
        <w:jc w:val="center"/>
        <w:rPr>
          <w:rFonts w:ascii="黑体" w:hAnsi="黑体" w:eastAsia="黑体"/>
          <w:color w:val="auto"/>
          <w:sz w:val="72"/>
          <w:szCs w:val="72"/>
          <w:highlight w:val="none"/>
        </w:rPr>
      </w:pPr>
    </w:p>
    <w:p>
      <w:pPr>
        <w:overflowPunct w:val="0"/>
        <w:spacing w:line="360" w:lineRule="auto"/>
        <w:jc w:val="center"/>
        <w:rPr>
          <w:color w:val="auto"/>
          <w:sz w:val="36"/>
          <w:highlight w:val="none"/>
        </w:rPr>
      </w:pPr>
    </w:p>
    <w:p>
      <w:pPr>
        <w:overflowPunct w:val="0"/>
        <w:spacing w:line="360" w:lineRule="auto"/>
        <w:jc w:val="center"/>
        <w:rPr>
          <w:color w:val="auto"/>
          <w:sz w:val="36"/>
          <w:highlight w:val="none"/>
        </w:rPr>
      </w:pPr>
    </w:p>
    <w:p>
      <w:pPr>
        <w:overflowPunct w:val="0"/>
        <w:spacing w:line="360" w:lineRule="auto"/>
        <w:jc w:val="center"/>
        <w:rPr>
          <w:color w:val="auto"/>
          <w:sz w:val="36"/>
          <w:highlight w:val="none"/>
        </w:rPr>
      </w:pPr>
    </w:p>
    <w:p>
      <w:pPr>
        <w:overflowPunct w:val="0"/>
        <w:spacing w:line="560" w:lineRule="exact"/>
        <w:ind w:left="6867" w:hanging="6867" w:hangingChars="1900"/>
        <w:jc w:val="left"/>
        <w:rPr>
          <w:b/>
          <w:color w:val="auto"/>
          <w:sz w:val="36"/>
          <w:highlight w:val="none"/>
        </w:rPr>
      </w:pPr>
    </w:p>
    <w:p>
      <w:pPr>
        <w:overflowPunct w:val="0"/>
        <w:spacing w:line="560" w:lineRule="exact"/>
        <w:ind w:left="6867" w:hanging="6867" w:hangingChars="1900"/>
        <w:jc w:val="left"/>
        <w:rPr>
          <w:b/>
          <w:color w:val="auto"/>
          <w:sz w:val="36"/>
          <w:highlight w:val="none"/>
        </w:rPr>
      </w:pPr>
    </w:p>
    <w:p>
      <w:pPr>
        <w:overflowPunct w:val="0"/>
        <w:spacing w:line="560" w:lineRule="exact"/>
        <w:ind w:left="6867" w:hanging="6867" w:hangingChars="1900"/>
        <w:jc w:val="left"/>
        <w:rPr>
          <w:b/>
          <w:color w:val="auto"/>
          <w:sz w:val="36"/>
          <w:highlight w:val="none"/>
        </w:rPr>
      </w:pPr>
    </w:p>
    <w:p>
      <w:pPr>
        <w:overflowPunct w:val="0"/>
        <w:spacing w:beforeLines="50"/>
        <w:ind w:left="1606" w:hanging="1606" w:hangingChars="500"/>
        <w:jc w:val="left"/>
        <w:rPr>
          <w:rFonts w:ascii="宋体" w:hAnsi="宋体"/>
          <w:b/>
          <w:color w:val="auto"/>
          <w:sz w:val="32"/>
          <w:szCs w:val="32"/>
          <w:highlight w:val="none"/>
          <w:u w:val="single"/>
        </w:rPr>
      </w:pPr>
      <w:r>
        <w:rPr>
          <w:rFonts w:hint="eastAsia" w:ascii="宋体" w:hAnsi="宋体" w:cs="黑体"/>
          <w:b/>
          <w:color w:val="auto"/>
          <w:sz w:val="32"/>
          <w:szCs w:val="32"/>
          <w:highlight w:val="none"/>
        </w:rPr>
        <w:t>项目名称</w:t>
      </w:r>
      <w:r>
        <w:rPr>
          <w:rFonts w:hint="eastAsia" w:ascii="宋体" w:hAnsi="宋体"/>
          <w:b/>
          <w:bCs/>
          <w:color w:val="auto"/>
          <w:sz w:val="32"/>
          <w:szCs w:val="32"/>
          <w:highlight w:val="none"/>
        </w:rPr>
        <w:t>：</w:t>
      </w:r>
      <w:r>
        <w:rPr>
          <w:rFonts w:hint="eastAsia" w:ascii="宋体" w:hAnsi="宋体"/>
          <w:b/>
          <w:bCs/>
          <w:color w:val="auto"/>
          <w:sz w:val="32"/>
          <w:szCs w:val="32"/>
          <w:highlight w:val="none"/>
          <w:u w:val="single"/>
          <w:lang w:eastAsia="zh-CN"/>
        </w:rPr>
        <w:t>江川农场供热基础配套设施工程建设</w:t>
      </w:r>
      <w:r>
        <w:rPr>
          <w:rFonts w:hint="eastAsia" w:ascii="宋体" w:hAnsi="宋体"/>
          <w:b/>
          <w:bCs/>
          <w:color w:val="auto"/>
          <w:sz w:val="32"/>
          <w:szCs w:val="32"/>
          <w:highlight w:val="none"/>
          <w:u w:val="single"/>
        </w:rPr>
        <w:t>项目</w:t>
      </w:r>
    </w:p>
    <w:p>
      <w:pPr>
        <w:overflowPunct w:val="0"/>
        <w:spacing w:beforeLines="50" w:line="360" w:lineRule="auto"/>
        <w:rPr>
          <w:rFonts w:ascii="黑体" w:hAnsi="黑体" w:eastAsia="黑体" w:cs="黑体"/>
          <w:color w:val="auto"/>
          <w:sz w:val="30"/>
          <w:szCs w:val="30"/>
          <w:highlight w:val="none"/>
        </w:rPr>
      </w:pPr>
    </w:p>
    <w:p>
      <w:pPr>
        <w:overflowPunct w:val="0"/>
        <w:spacing w:beforeLines="50"/>
        <w:rPr>
          <w:rFonts w:ascii="宋体" w:hAnsi="宋体" w:cs="黑体"/>
          <w:b/>
          <w:color w:val="auto"/>
          <w:sz w:val="32"/>
          <w:szCs w:val="32"/>
          <w:highlight w:val="none"/>
        </w:rPr>
      </w:pPr>
      <w:r>
        <w:rPr>
          <w:rFonts w:hint="eastAsia" w:ascii="宋体" w:hAnsi="宋体" w:cs="黑体"/>
          <w:b/>
          <w:color w:val="auto"/>
          <w:sz w:val="32"/>
          <w:szCs w:val="32"/>
          <w:highlight w:val="none"/>
        </w:rPr>
        <w:t>建设单位：</w:t>
      </w:r>
      <w:r>
        <w:rPr>
          <w:rFonts w:hint="eastAsia" w:ascii="宋体" w:hAnsi="宋体"/>
          <w:b/>
          <w:color w:val="auto"/>
          <w:sz w:val="32"/>
          <w:szCs w:val="32"/>
          <w:highlight w:val="none"/>
          <w:u w:val="single"/>
        </w:rPr>
        <w:t>黑龙江省</w:t>
      </w:r>
      <w:r>
        <w:rPr>
          <w:rFonts w:hint="eastAsia" w:ascii="宋体" w:hAnsi="宋体"/>
          <w:b/>
          <w:color w:val="auto"/>
          <w:sz w:val="32"/>
          <w:szCs w:val="32"/>
          <w:highlight w:val="none"/>
          <w:u w:val="single"/>
          <w:lang w:eastAsia="zh-CN"/>
        </w:rPr>
        <w:t>江川农场</w:t>
      </w:r>
    </w:p>
    <w:p>
      <w:pPr>
        <w:overflowPunct w:val="0"/>
        <w:spacing w:line="600" w:lineRule="exact"/>
        <w:jc w:val="center"/>
        <w:rPr>
          <w:rFonts w:ascii="宋体" w:hAnsi="宋体"/>
          <w:b/>
          <w:color w:val="auto"/>
          <w:sz w:val="32"/>
          <w:szCs w:val="32"/>
          <w:highlight w:val="none"/>
        </w:rPr>
      </w:pPr>
    </w:p>
    <w:p>
      <w:pPr>
        <w:overflowPunct w:val="0"/>
        <w:spacing w:line="600" w:lineRule="exact"/>
        <w:jc w:val="center"/>
        <w:rPr>
          <w:rFonts w:eastAsia="黑体"/>
          <w:color w:val="auto"/>
          <w:sz w:val="32"/>
          <w:szCs w:val="32"/>
          <w:highlight w:val="none"/>
        </w:rPr>
      </w:pPr>
    </w:p>
    <w:p>
      <w:pPr>
        <w:overflowPunct w:val="0"/>
        <w:spacing w:line="600" w:lineRule="exact"/>
        <w:jc w:val="center"/>
        <w:rPr>
          <w:rFonts w:eastAsia="黑体"/>
          <w:color w:val="auto"/>
          <w:sz w:val="32"/>
          <w:szCs w:val="32"/>
          <w:highlight w:val="none"/>
        </w:rPr>
      </w:pPr>
    </w:p>
    <w:p>
      <w:pPr>
        <w:overflowPunct w:val="0"/>
        <w:spacing w:line="240" w:lineRule="atLeast"/>
        <w:jc w:val="center"/>
        <w:rPr>
          <w:b/>
          <w:color w:val="auto"/>
          <w:sz w:val="30"/>
          <w:szCs w:val="30"/>
          <w:highlight w:val="none"/>
        </w:rPr>
      </w:pPr>
      <w:r>
        <w:rPr>
          <w:rFonts w:hAnsi="宋体"/>
          <w:b/>
          <w:color w:val="auto"/>
          <w:sz w:val="30"/>
          <w:szCs w:val="30"/>
          <w:highlight w:val="none"/>
        </w:rPr>
        <w:t>编制日期：</w:t>
      </w:r>
      <w:r>
        <w:rPr>
          <w:b/>
          <w:color w:val="auto"/>
          <w:sz w:val="30"/>
          <w:szCs w:val="30"/>
          <w:highlight w:val="none"/>
        </w:rPr>
        <w:t>20</w:t>
      </w:r>
      <w:r>
        <w:rPr>
          <w:rFonts w:hint="eastAsia"/>
          <w:b/>
          <w:color w:val="auto"/>
          <w:sz w:val="30"/>
          <w:szCs w:val="30"/>
          <w:highlight w:val="none"/>
          <w:lang w:val="en-US" w:eastAsia="zh-CN"/>
        </w:rPr>
        <w:t>20</w:t>
      </w:r>
      <w:r>
        <w:rPr>
          <w:rFonts w:hAnsi="宋体"/>
          <w:b/>
          <w:color w:val="auto"/>
          <w:sz w:val="30"/>
          <w:szCs w:val="30"/>
          <w:highlight w:val="none"/>
        </w:rPr>
        <w:t>年</w:t>
      </w:r>
      <w:r>
        <w:rPr>
          <w:rFonts w:hint="eastAsia"/>
          <w:b/>
          <w:color w:val="auto"/>
          <w:sz w:val="30"/>
          <w:szCs w:val="30"/>
          <w:highlight w:val="none"/>
          <w:lang w:val="en-US" w:eastAsia="zh-CN"/>
        </w:rPr>
        <w:t>1</w:t>
      </w:r>
      <w:r>
        <w:rPr>
          <w:rFonts w:hAnsi="宋体"/>
          <w:b/>
          <w:color w:val="auto"/>
          <w:sz w:val="30"/>
          <w:szCs w:val="30"/>
          <w:highlight w:val="none"/>
        </w:rPr>
        <w:t>月</w:t>
      </w:r>
    </w:p>
    <w:p>
      <w:pPr>
        <w:spacing w:line="360" w:lineRule="auto"/>
        <w:ind w:left="-361" w:leftChars="-172" w:right="-46"/>
        <w:jc w:val="center"/>
        <w:rPr>
          <w:rFonts w:hAnsi="宋体"/>
          <w:b/>
          <w:bCs/>
          <w:color w:val="auto"/>
          <w:sz w:val="30"/>
          <w:szCs w:val="30"/>
          <w:highlight w:val="none"/>
        </w:rPr>
        <w:sectPr>
          <w:headerReference r:id="rId3"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r>
        <w:rPr>
          <w:rFonts w:hint="eastAsia" w:hAnsi="宋体"/>
          <w:b/>
          <w:bCs/>
          <w:color w:val="auto"/>
          <w:sz w:val="30"/>
          <w:szCs w:val="30"/>
          <w:highlight w:val="none"/>
        </w:rPr>
        <w:t>黑龙江省晟扬环保工程有限公司</w:t>
      </w:r>
    </w:p>
    <w:p>
      <w:pPr>
        <w:spacing w:line="360" w:lineRule="auto"/>
        <w:ind w:left="-361" w:leftChars="-172" w:right="-46"/>
        <w:jc w:val="center"/>
        <w:rPr>
          <w:rFonts w:hint="eastAsia" w:ascii="宋体" w:hAnsi="宋体"/>
          <w:b/>
          <w:color w:val="auto"/>
          <w:sz w:val="48"/>
          <w:szCs w:val="48"/>
          <w:highlight w:val="none"/>
        </w:rPr>
        <w:sectPr>
          <w:footerReference r:id="rId4" w:type="default"/>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bookmarkStart w:id="1" w:name="_Toc288044531"/>
      <w:bookmarkStart w:id="2" w:name="_Toc381867373"/>
      <w:r>
        <w:drawing>
          <wp:inline distT="0" distB="0" distL="114300" distR="114300">
            <wp:extent cx="6134100" cy="7827010"/>
            <wp:effectExtent l="0" t="0" r="0" b="2540"/>
            <wp:docPr id="5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3"/>
                    <pic:cNvPicPr>
                      <a:picLocks noChangeAspect="1"/>
                    </pic:cNvPicPr>
                  </pic:nvPicPr>
                  <pic:blipFill>
                    <a:blip r:embed="rId9"/>
                    <a:stretch>
                      <a:fillRect/>
                    </a:stretch>
                  </pic:blipFill>
                  <pic:spPr>
                    <a:xfrm>
                      <a:off x="0" y="0"/>
                      <a:ext cx="6134100" cy="7827010"/>
                    </a:xfrm>
                    <a:prstGeom prst="rect">
                      <a:avLst/>
                    </a:prstGeom>
                    <a:noFill/>
                    <a:ln>
                      <a:noFill/>
                    </a:ln>
                  </pic:spPr>
                </pic:pic>
              </a:graphicData>
            </a:graphic>
          </wp:inline>
        </w:drawing>
      </w:r>
    </w:p>
    <w:p>
      <w:pPr>
        <w:spacing w:line="360" w:lineRule="auto"/>
        <w:ind w:left="-361" w:leftChars="-172" w:right="-46"/>
        <w:jc w:val="center"/>
        <w:rPr>
          <w:rFonts w:ascii="宋体" w:hAnsi="宋体"/>
          <w:b/>
          <w:color w:val="auto"/>
          <w:sz w:val="48"/>
          <w:szCs w:val="48"/>
          <w:highlight w:val="none"/>
        </w:rPr>
      </w:pPr>
      <w:r>
        <w:rPr>
          <w:rFonts w:hint="eastAsia" w:ascii="宋体" w:hAnsi="宋体"/>
          <w:b/>
          <w:color w:val="auto"/>
          <w:sz w:val="48"/>
          <w:szCs w:val="48"/>
          <w:highlight w:val="none"/>
        </w:rPr>
        <w:t>目  录</w:t>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
          <w:bCs/>
          <w:color w:val="auto"/>
          <w:sz w:val="24"/>
          <w:szCs w:val="24"/>
          <w:highlight w:val="none"/>
        </w:rPr>
        <w:fldChar w:fldCharType="begin"/>
      </w:r>
      <w:r>
        <w:rPr>
          <w:rFonts w:hint="default" w:ascii="Times New Roman" w:hAnsi="Times New Roman" w:eastAsia="宋体" w:cs="Times New Roman"/>
          <w:b/>
          <w:bCs/>
          <w:color w:val="auto"/>
          <w:sz w:val="24"/>
          <w:szCs w:val="24"/>
          <w:highlight w:val="none"/>
        </w:rPr>
        <w:instrText xml:space="preserve"> TOC \o "1-3" \h \z \u </w:instrText>
      </w:r>
      <w:r>
        <w:rPr>
          <w:rFonts w:hint="default" w:ascii="Times New Roman" w:hAnsi="Times New Roman" w:eastAsia="宋体" w:cs="Times New Roman"/>
          <w:b/>
          <w:bCs/>
          <w:color w:val="auto"/>
          <w:sz w:val="24"/>
          <w:szCs w:val="24"/>
          <w:highlight w:val="none"/>
        </w:rPr>
        <w:fldChar w:fldCharType="separate"/>
      </w: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_Toc14075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lang w:eastAsia="zh-CN"/>
        </w:rPr>
        <w:t>一、</w:t>
      </w:r>
      <w:r>
        <w:rPr>
          <w:rFonts w:hint="default" w:ascii="Times New Roman" w:hAnsi="Times New Roman" w:eastAsia="宋体" w:cs="Times New Roman"/>
          <w:color w:val="auto"/>
          <w:sz w:val="24"/>
          <w:szCs w:val="24"/>
          <w:highlight w:val="none"/>
        </w:rPr>
        <w:t>建设项目基本情况</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_Toc14075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1</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_Toc25558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iCs w:val="0"/>
          <w:color w:val="auto"/>
          <w:sz w:val="24"/>
          <w:szCs w:val="24"/>
          <w:highlight w:val="none"/>
          <w:lang w:eastAsia="zh-CN"/>
        </w:rPr>
        <w:t>二、</w:t>
      </w:r>
      <w:r>
        <w:rPr>
          <w:rFonts w:hint="default" w:ascii="Times New Roman" w:hAnsi="Times New Roman" w:eastAsia="宋体" w:cs="Times New Roman"/>
          <w:iCs w:val="0"/>
          <w:color w:val="auto"/>
          <w:sz w:val="24"/>
          <w:szCs w:val="24"/>
          <w:highlight w:val="none"/>
        </w:rPr>
        <w:t>建设项目自然环境社会环境简况</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_Toc25558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11</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_Toc20892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bCs w:val="0"/>
          <w:color w:val="auto"/>
          <w:sz w:val="24"/>
          <w:szCs w:val="24"/>
          <w:highlight w:val="none"/>
          <w:lang w:eastAsia="zh-CN"/>
        </w:rPr>
        <w:t>三、</w:t>
      </w:r>
      <w:r>
        <w:rPr>
          <w:rFonts w:hint="default" w:ascii="Times New Roman" w:hAnsi="Times New Roman" w:eastAsia="宋体" w:cs="Times New Roman"/>
          <w:bCs w:val="0"/>
          <w:color w:val="auto"/>
          <w:sz w:val="24"/>
          <w:szCs w:val="24"/>
          <w:highlight w:val="none"/>
        </w:rPr>
        <w:t>环境质量状况</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_Toc20892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13</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_Toc29620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bCs/>
          <w:color w:val="auto"/>
          <w:sz w:val="24"/>
          <w:szCs w:val="24"/>
          <w:highlight w:val="none"/>
          <w:lang w:eastAsia="zh-CN"/>
        </w:rPr>
        <w:t>四、</w:t>
      </w:r>
      <w:r>
        <w:rPr>
          <w:rFonts w:hint="default" w:ascii="Times New Roman" w:hAnsi="Times New Roman" w:eastAsia="宋体" w:cs="Times New Roman"/>
          <w:bCs/>
          <w:color w:val="auto"/>
          <w:sz w:val="24"/>
          <w:szCs w:val="24"/>
          <w:highlight w:val="none"/>
        </w:rPr>
        <w:t>评价适用标准</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_Toc29620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17</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_Toc12767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lang w:eastAsia="zh-CN"/>
        </w:rPr>
        <w:t>五、</w:t>
      </w:r>
      <w:r>
        <w:rPr>
          <w:rFonts w:hint="default" w:ascii="Times New Roman" w:hAnsi="Times New Roman" w:eastAsia="宋体" w:cs="Times New Roman"/>
          <w:color w:val="auto"/>
          <w:sz w:val="24"/>
          <w:szCs w:val="24"/>
          <w:highlight w:val="none"/>
        </w:rPr>
        <w:t>建设项目工程分析</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_Toc12767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19</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_Toc6141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lang w:eastAsia="zh-CN"/>
        </w:rPr>
        <w:t>六、</w:t>
      </w:r>
      <w:r>
        <w:rPr>
          <w:rFonts w:hint="default" w:ascii="Times New Roman" w:hAnsi="Times New Roman" w:eastAsia="宋体" w:cs="Times New Roman"/>
          <w:color w:val="auto"/>
          <w:sz w:val="24"/>
          <w:szCs w:val="24"/>
          <w:highlight w:val="none"/>
        </w:rPr>
        <w:t>项目主要污染物及预计排放情况</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_Toc6141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27</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_Toc19754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lang w:eastAsia="zh-CN"/>
        </w:rPr>
        <w:t>七、</w:t>
      </w:r>
      <w:r>
        <w:rPr>
          <w:rFonts w:hint="default" w:ascii="Times New Roman" w:hAnsi="Times New Roman" w:eastAsia="宋体" w:cs="Times New Roman"/>
          <w:color w:val="auto"/>
          <w:sz w:val="24"/>
          <w:szCs w:val="24"/>
          <w:highlight w:val="none"/>
        </w:rPr>
        <w:t>环境影响分析</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_Toc19754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28</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_Toc30693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lang w:eastAsia="zh-CN"/>
        </w:rPr>
        <w:t>八、</w:t>
      </w:r>
      <w:r>
        <w:rPr>
          <w:rFonts w:hint="default" w:ascii="Times New Roman" w:hAnsi="Times New Roman" w:eastAsia="宋体" w:cs="Times New Roman"/>
          <w:color w:val="auto"/>
          <w:sz w:val="24"/>
          <w:szCs w:val="24"/>
          <w:highlight w:val="none"/>
        </w:rPr>
        <w:t>建设项目拟采用的防治措施及预期治理效果</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_Toc30693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35</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_Toc1057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bCs w:val="0"/>
          <w:color w:val="auto"/>
          <w:sz w:val="24"/>
          <w:szCs w:val="24"/>
          <w:highlight w:val="none"/>
          <w:lang w:eastAsia="zh-CN"/>
        </w:rPr>
        <w:t>九、</w:t>
      </w:r>
      <w:r>
        <w:rPr>
          <w:rFonts w:hint="default" w:ascii="Times New Roman" w:hAnsi="Times New Roman" w:eastAsia="宋体" w:cs="Times New Roman"/>
          <w:bCs w:val="0"/>
          <w:color w:val="auto"/>
          <w:sz w:val="24"/>
          <w:szCs w:val="24"/>
          <w:highlight w:val="none"/>
        </w:rPr>
        <w:t>结论与建议</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_Toc1057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36</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_Toc14487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附图1 地理位置图</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_Toc14487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38</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_Toc21606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附图2 平面布置图</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_Toc21606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39</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_Toc18254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附图3 周边环境图</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_Toc18254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40</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_Toc1481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附件1营业执照</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_Toc1481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41</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_Toc1587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附件2</w:t>
      </w:r>
      <w:r>
        <w:rPr>
          <w:rFonts w:hint="default" w:ascii="Times New Roman" w:hAnsi="Times New Roman" w:eastAsia="宋体" w:cs="Times New Roman"/>
          <w:color w:val="auto"/>
          <w:sz w:val="24"/>
          <w:szCs w:val="24"/>
          <w:highlight w:val="none"/>
          <w:lang w:eastAsia="zh-CN"/>
        </w:rPr>
        <w:t>土地证</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_Toc1587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42</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_Toc3347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附件</w:t>
      </w:r>
      <w:r>
        <w:rPr>
          <w:rFonts w:hint="default" w:ascii="Times New Roman" w:hAnsi="Times New Roman" w:eastAsia="宋体" w:cs="Times New Roman"/>
          <w:color w:val="auto"/>
          <w:sz w:val="24"/>
          <w:szCs w:val="24"/>
          <w:highlight w:val="none"/>
          <w:lang w:val="en-US" w:eastAsia="zh-CN"/>
        </w:rPr>
        <w:t>3</w:t>
      </w:r>
      <w:r>
        <w:rPr>
          <w:rFonts w:hint="default" w:ascii="Times New Roman" w:hAnsi="Times New Roman" w:eastAsia="宋体" w:cs="Times New Roman"/>
          <w:color w:val="auto"/>
          <w:sz w:val="24"/>
          <w:szCs w:val="24"/>
          <w:highlight w:val="none"/>
          <w:lang w:eastAsia="zh-CN"/>
        </w:rPr>
        <w:t>煤质分析报告</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_Toc3347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43</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_Toc27911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附件</w:t>
      </w:r>
      <w:r>
        <w:rPr>
          <w:rFonts w:hint="default" w:ascii="Times New Roman" w:hAnsi="Times New Roman" w:eastAsia="宋体"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rPr>
        <w:t>建设项目大气环境影响评价自查表</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_Toc27911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44</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_Toc2205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附件</w:t>
      </w:r>
      <w:r>
        <w:rPr>
          <w:rFonts w:hint="default" w:ascii="Times New Roman" w:hAnsi="Times New Roman" w:eastAsia="宋体"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rPr>
        <w:t>发改委备案确认书</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_Toc2205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45</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pStyle w:val="26"/>
        <w:tabs>
          <w:tab w:val="right" w:leader="dot" w:pos="8306"/>
          <w:tab w:val="clear" w:pos="8296"/>
        </w:tabs>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begin"/>
      </w:r>
      <w:r>
        <w:rPr>
          <w:rFonts w:hint="default" w:ascii="Times New Roman" w:hAnsi="Times New Roman" w:eastAsia="宋体" w:cs="Times New Roman"/>
          <w:bCs/>
          <w:color w:val="auto"/>
          <w:sz w:val="24"/>
          <w:szCs w:val="24"/>
          <w:highlight w:val="none"/>
        </w:rPr>
        <w:instrText xml:space="preserve"> HYPERLINK \l _Toc30708 </w:instrText>
      </w:r>
      <w:r>
        <w:rPr>
          <w:rFonts w:hint="default" w:ascii="Times New Roman" w:hAnsi="Times New Roman" w:eastAsia="宋体" w:cs="Times New Roman"/>
          <w:bCs/>
          <w:color w:val="auto"/>
          <w:sz w:val="24"/>
          <w:szCs w:val="24"/>
          <w:highlight w:val="none"/>
        </w:rPr>
        <w:fldChar w:fldCharType="separate"/>
      </w:r>
      <w:r>
        <w:rPr>
          <w:rFonts w:hint="default" w:ascii="Times New Roman" w:hAnsi="Times New Roman" w:eastAsia="宋体" w:cs="Times New Roman"/>
          <w:color w:val="auto"/>
          <w:sz w:val="24"/>
          <w:szCs w:val="24"/>
          <w:highlight w:val="none"/>
        </w:rPr>
        <w:t>附件</w:t>
      </w:r>
      <w:r>
        <w:rPr>
          <w:rFonts w:hint="default" w:ascii="Times New Roman" w:hAnsi="Times New Roman" w:eastAsia="宋体" w:cs="Times New Roman"/>
          <w:color w:val="auto"/>
          <w:sz w:val="24"/>
          <w:szCs w:val="24"/>
          <w:highlight w:val="none"/>
          <w:lang w:val="en-US" w:eastAsia="zh-CN"/>
        </w:rPr>
        <w:t>6监测报告</w:t>
      </w:r>
      <w:r>
        <w:rPr>
          <w:rFonts w:hint="default" w:ascii="Times New Roman" w:hAnsi="Times New Roman" w:eastAsia="宋体" w:cs="Times New Roman"/>
          <w:color w:val="auto"/>
          <w:sz w:val="24"/>
          <w:szCs w:val="24"/>
          <w:highlight w:val="none"/>
        </w:rPr>
        <w:tab/>
      </w:r>
      <w:r>
        <w:rPr>
          <w:rFonts w:hint="default" w:ascii="Times New Roman" w:hAnsi="Times New Roman" w:eastAsia="宋体" w:cs="Times New Roman"/>
          <w:color w:val="auto"/>
          <w:sz w:val="24"/>
          <w:szCs w:val="24"/>
          <w:highlight w:val="none"/>
        </w:rPr>
        <w:fldChar w:fldCharType="begin"/>
      </w:r>
      <w:r>
        <w:rPr>
          <w:rFonts w:hint="default" w:ascii="Times New Roman" w:hAnsi="Times New Roman" w:eastAsia="宋体" w:cs="Times New Roman"/>
          <w:color w:val="auto"/>
          <w:sz w:val="24"/>
          <w:szCs w:val="24"/>
          <w:highlight w:val="none"/>
        </w:rPr>
        <w:instrText xml:space="preserve"> PAGEREF _Toc30708 </w:instrText>
      </w:r>
      <w:r>
        <w:rPr>
          <w:rFonts w:hint="default" w:ascii="Times New Roman" w:hAnsi="Times New Roman" w:eastAsia="宋体" w:cs="Times New Roman"/>
          <w:color w:val="auto"/>
          <w:sz w:val="24"/>
          <w:szCs w:val="24"/>
          <w:highlight w:val="none"/>
        </w:rPr>
        <w:fldChar w:fldCharType="separate"/>
      </w:r>
      <w:r>
        <w:rPr>
          <w:rFonts w:hint="default" w:ascii="Times New Roman" w:hAnsi="Times New Roman" w:eastAsia="宋体" w:cs="Times New Roman"/>
          <w:color w:val="auto"/>
          <w:sz w:val="24"/>
          <w:szCs w:val="24"/>
          <w:highlight w:val="none"/>
        </w:rPr>
        <w:t>48</w:t>
      </w:r>
      <w:r>
        <w:rPr>
          <w:rFonts w:hint="default" w:ascii="Times New Roman" w:hAnsi="Times New Roman" w:eastAsia="宋体" w:cs="Times New Roman"/>
          <w:color w:val="auto"/>
          <w:sz w:val="24"/>
          <w:szCs w:val="24"/>
          <w:highlight w:val="none"/>
        </w:rPr>
        <w:fldChar w:fldCharType="end"/>
      </w:r>
      <w:r>
        <w:rPr>
          <w:rFonts w:hint="default" w:ascii="Times New Roman" w:hAnsi="Times New Roman" w:eastAsia="宋体" w:cs="Times New Roman"/>
          <w:bCs/>
          <w:color w:val="auto"/>
          <w:sz w:val="24"/>
          <w:szCs w:val="24"/>
          <w:highlight w:val="none"/>
        </w:rPr>
        <w:fldChar w:fldCharType="end"/>
      </w:r>
    </w:p>
    <w:p>
      <w:pPr>
        <w:spacing w:line="400" w:lineRule="exact"/>
        <w:jc w:val="center"/>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bCs/>
          <w:color w:val="auto"/>
          <w:sz w:val="24"/>
          <w:szCs w:val="24"/>
          <w:highlight w:val="none"/>
        </w:rPr>
        <w:fldChar w:fldCharType="end"/>
      </w:r>
    </w:p>
    <w:p>
      <w:pPr>
        <w:spacing w:line="400" w:lineRule="exact"/>
        <w:rPr>
          <w:rFonts w:eastAsia="黑体"/>
          <w:color w:val="auto"/>
          <w:sz w:val="24"/>
          <w:highlight w:val="none"/>
        </w:rPr>
      </w:pPr>
    </w:p>
    <w:bookmarkEnd w:id="1"/>
    <w:bookmarkEnd w:id="2"/>
    <w:p>
      <w:pPr>
        <w:spacing w:line="360" w:lineRule="auto"/>
        <w:ind w:left="-361" w:leftChars="-172" w:right="-46"/>
        <w:jc w:val="center"/>
        <w:rPr>
          <w:rFonts w:ascii="宋体" w:hAnsi="宋体"/>
          <w:b/>
          <w:color w:val="auto"/>
          <w:sz w:val="32"/>
          <w:highlight w:val="none"/>
        </w:rPr>
      </w:pPr>
    </w:p>
    <w:p>
      <w:pPr>
        <w:spacing w:line="360" w:lineRule="auto"/>
        <w:jc w:val="center"/>
        <w:rPr>
          <w:rFonts w:ascii="宋体" w:hAnsi="宋体"/>
          <w:b/>
          <w:color w:val="auto"/>
          <w:sz w:val="32"/>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start="1"/>
          <w:cols w:space="720" w:num="1"/>
          <w:docGrid w:type="lines" w:linePitch="312" w:charSpace="0"/>
        </w:sectPr>
      </w:pPr>
    </w:p>
    <w:p>
      <w:pPr>
        <w:pageBreakBefore/>
        <w:outlineLvl w:val="0"/>
        <w:rPr>
          <w:b/>
          <w:color w:val="auto"/>
          <w:sz w:val="32"/>
          <w:highlight w:val="none"/>
        </w:rPr>
      </w:pPr>
      <w:bookmarkStart w:id="3" w:name="_Toc14075"/>
      <w:r>
        <w:rPr>
          <w:rFonts w:hint="eastAsia"/>
          <w:b/>
          <w:color w:val="auto"/>
          <w:sz w:val="32"/>
          <w:highlight w:val="none"/>
          <w:lang w:eastAsia="zh-CN"/>
        </w:rPr>
        <w:t>一、</w:t>
      </w:r>
      <w:r>
        <w:rPr>
          <w:rFonts w:hint="eastAsia"/>
          <w:b/>
          <w:color w:val="auto"/>
          <w:sz w:val="32"/>
          <w:highlight w:val="none"/>
        </w:rPr>
        <w:t>建设项目基本情况</w:t>
      </w:r>
      <w:bookmarkEnd w:id="3"/>
    </w:p>
    <w:tbl>
      <w:tblPr>
        <w:tblStyle w:val="36"/>
        <w:tblW w:w="8934" w:type="dxa"/>
        <w:tblInd w:w="108" w:type="dxa"/>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1417"/>
        <w:gridCol w:w="1417"/>
        <w:gridCol w:w="406"/>
        <w:gridCol w:w="932"/>
        <w:gridCol w:w="291"/>
        <w:gridCol w:w="1417"/>
        <w:gridCol w:w="272"/>
        <w:gridCol w:w="1145"/>
        <w:gridCol w:w="323"/>
        <w:gridCol w:w="1314"/>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075" w:hRule="atLeast"/>
        </w:trPr>
        <w:tc>
          <w:tcPr>
            <w:tcW w:w="1417" w:type="dxa"/>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项目名称</w:t>
            </w:r>
          </w:p>
        </w:tc>
        <w:tc>
          <w:tcPr>
            <w:tcW w:w="7517" w:type="dxa"/>
            <w:gridSpan w:val="9"/>
            <w:vAlign w:val="center"/>
          </w:tcPr>
          <w:p>
            <w:pPr>
              <w:overflowPunct w:val="0"/>
              <w:adjustRightInd w:val="0"/>
              <w:snapToGrid w:val="0"/>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lang w:eastAsia="zh-CN"/>
              </w:rPr>
              <w:t>江川农场供热基础配套设施工程建设</w:t>
            </w:r>
            <w:r>
              <w:rPr>
                <w:rFonts w:hint="default" w:ascii="Times New Roman" w:hAnsi="Times New Roman" w:cs="Times New Roman"/>
                <w:color w:val="auto"/>
                <w:spacing w:val="-6"/>
                <w:sz w:val="24"/>
                <w:highlight w:val="none"/>
              </w:rPr>
              <w:t>项目</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32" w:hRule="atLeast"/>
        </w:trPr>
        <w:tc>
          <w:tcPr>
            <w:tcW w:w="1417" w:type="dxa"/>
            <w:vAlign w:val="center"/>
          </w:tcPr>
          <w:p>
            <w:pP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建设单位</w:t>
            </w:r>
          </w:p>
        </w:tc>
        <w:tc>
          <w:tcPr>
            <w:tcW w:w="7517" w:type="dxa"/>
            <w:gridSpan w:val="9"/>
            <w:vAlign w:val="center"/>
          </w:tcPr>
          <w:p>
            <w:pPr>
              <w:overflowPunct w:val="0"/>
              <w:spacing w:line="360" w:lineRule="auto"/>
              <w:ind w:firstLine="120" w:firstLineChars="50"/>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rPr>
              <w:t>黑龙江省</w:t>
            </w:r>
            <w:r>
              <w:rPr>
                <w:rFonts w:hint="default" w:ascii="Times New Roman" w:hAnsi="Times New Roman" w:cs="Times New Roman"/>
                <w:color w:val="auto"/>
                <w:sz w:val="24"/>
                <w:highlight w:val="none"/>
                <w:lang w:eastAsia="zh-CN"/>
              </w:rPr>
              <w:t>江川农场</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760" w:hRule="atLeast"/>
        </w:trPr>
        <w:tc>
          <w:tcPr>
            <w:tcW w:w="1417" w:type="dxa"/>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法人代表</w:t>
            </w:r>
          </w:p>
        </w:tc>
        <w:tc>
          <w:tcPr>
            <w:tcW w:w="3046" w:type="dxa"/>
            <w:gridSpan w:val="4"/>
            <w:vAlign w:val="center"/>
          </w:tcPr>
          <w:p>
            <w:pPr>
              <w:jc w:val="center"/>
              <w:rPr>
                <w:rFonts w:hint="default" w:ascii="Times New Roman" w:hAnsi="Times New Roman" w:eastAsia="宋体" w:cs="Times New Roman"/>
                <w:color w:val="auto"/>
                <w:spacing w:val="-6"/>
                <w:sz w:val="24"/>
                <w:highlight w:val="none"/>
                <w:lang w:eastAsia="zh-CN"/>
              </w:rPr>
            </w:pPr>
            <w:r>
              <w:rPr>
                <w:rFonts w:hint="default" w:ascii="Times New Roman" w:hAnsi="Times New Roman" w:cs="Times New Roman"/>
                <w:color w:val="auto"/>
                <w:sz w:val="24"/>
                <w:highlight w:val="none"/>
                <w:lang w:eastAsia="zh-CN"/>
              </w:rPr>
              <w:t>陈延鑫</w:t>
            </w:r>
          </w:p>
        </w:tc>
        <w:tc>
          <w:tcPr>
            <w:tcW w:w="1417" w:type="dxa"/>
            <w:vAlign w:val="center"/>
          </w:tcPr>
          <w:p>
            <w:pPr>
              <w:spacing w:line="500" w:lineRule="exact"/>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联系人</w:t>
            </w:r>
          </w:p>
        </w:tc>
        <w:tc>
          <w:tcPr>
            <w:tcW w:w="3054" w:type="dxa"/>
            <w:gridSpan w:val="4"/>
            <w:vAlign w:val="center"/>
          </w:tcPr>
          <w:p>
            <w:pPr>
              <w:spacing w:line="500" w:lineRule="exact"/>
              <w:jc w:val="center"/>
              <w:rPr>
                <w:rFonts w:hint="default" w:ascii="Times New Roman" w:hAnsi="Times New Roman" w:eastAsia="宋体" w:cs="Times New Roman"/>
                <w:color w:val="auto"/>
                <w:spacing w:val="-6"/>
                <w:sz w:val="24"/>
                <w:highlight w:val="none"/>
                <w:lang w:eastAsia="zh-CN"/>
              </w:rPr>
            </w:pPr>
            <w:r>
              <w:rPr>
                <w:rFonts w:hint="default" w:ascii="Times New Roman" w:hAnsi="Times New Roman" w:cs="Times New Roman"/>
                <w:color w:val="auto"/>
                <w:sz w:val="24"/>
                <w:highlight w:val="none"/>
                <w:lang w:eastAsia="zh-CN"/>
              </w:rPr>
              <w:t>于东</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12" w:hRule="atLeast"/>
        </w:trPr>
        <w:tc>
          <w:tcPr>
            <w:tcW w:w="1417" w:type="dxa"/>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通讯地址</w:t>
            </w:r>
          </w:p>
        </w:tc>
        <w:tc>
          <w:tcPr>
            <w:tcW w:w="7517" w:type="dxa"/>
            <w:gridSpan w:val="9"/>
            <w:vAlign w:val="center"/>
          </w:tcPr>
          <w:p>
            <w:pPr>
              <w:jc w:val="center"/>
              <w:rPr>
                <w:rFonts w:hint="default" w:ascii="Times New Roman" w:hAnsi="Times New Roman" w:cs="Times New Roman"/>
                <w:color w:val="auto"/>
                <w:spacing w:val="-6"/>
                <w:sz w:val="24"/>
                <w:highlight w:val="none"/>
                <w:lang w:val="en-US"/>
              </w:rPr>
            </w:pPr>
            <w:r>
              <w:rPr>
                <w:rFonts w:hint="default" w:ascii="Times New Roman" w:hAnsi="Times New Roman" w:cs="Times New Roman"/>
                <w:color w:val="auto"/>
                <w:sz w:val="24"/>
                <w:highlight w:val="none"/>
              </w:rPr>
              <w:t>黑龙江省</w:t>
            </w:r>
            <w:r>
              <w:rPr>
                <w:rFonts w:hint="default" w:ascii="Times New Roman" w:hAnsi="Times New Roman" w:cs="Times New Roman"/>
                <w:color w:val="auto"/>
                <w:sz w:val="24"/>
                <w:highlight w:val="none"/>
                <w:lang w:eastAsia="zh-CN"/>
              </w:rPr>
              <w:t>佳木斯市</w:t>
            </w:r>
            <w:bookmarkStart w:id="69" w:name="_GoBack"/>
            <w:bookmarkEnd w:id="69"/>
            <w:r>
              <w:rPr>
                <w:rFonts w:hint="default" w:ascii="Times New Roman" w:hAnsi="Times New Roman" w:cs="Times New Roman"/>
                <w:color w:val="auto"/>
                <w:sz w:val="24"/>
                <w:highlight w:val="none"/>
                <w:lang w:eastAsia="zh-CN"/>
              </w:rPr>
              <w:t>桦川县江川农场场部四委</w:t>
            </w:r>
            <w:r>
              <w:rPr>
                <w:rFonts w:hint="default" w:ascii="Times New Roman" w:hAnsi="Times New Roman" w:cs="Times New Roman"/>
                <w:color w:val="auto"/>
                <w:sz w:val="24"/>
                <w:highlight w:val="none"/>
                <w:lang w:val="en-US" w:eastAsia="zh-CN"/>
              </w:rPr>
              <w:t>A栋01号</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197" w:hRule="atLeast"/>
        </w:trPr>
        <w:tc>
          <w:tcPr>
            <w:tcW w:w="1417" w:type="dxa"/>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联系电话</w:t>
            </w:r>
          </w:p>
        </w:tc>
        <w:tc>
          <w:tcPr>
            <w:tcW w:w="1823" w:type="dxa"/>
            <w:gridSpan w:val="2"/>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13512634585</w:t>
            </w:r>
          </w:p>
        </w:tc>
        <w:tc>
          <w:tcPr>
            <w:tcW w:w="932" w:type="dxa"/>
            <w:vAlign w:val="center"/>
          </w:tcPr>
          <w:p>
            <w:pPr>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传真</w:t>
            </w:r>
          </w:p>
        </w:tc>
        <w:tc>
          <w:tcPr>
            <w:tcW w:w="1980" w:type="dxa"/>
            <w:gridSpan w:val="3"/>
            <w:vAlign w:val="center"/>
          </w:tcPr>
          <w:p>
            <w:pPr>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z w:val="24"/>
                <w:highlight w:val="none"/>
              </w:rPr>
              <w:t>/</w:t>
            </w:r>
          </w:p>
        </w:tc>
        <w:tc>
          <w:tcPr>
            <w:tcW w:w="1468" w:type="dxa"/>
            <w:gridSpan w:val="2"/>
            <w:vAlign w:val="center"/>
          </w:tcPr>
          <w:p>
            <w:pPr>
              <w:jc w:val="center"/>
              <w:rPr>
                <w:rFonts w:hint="default" w:ascii="Times New Roman" w:hAnsi="Times New Roman" w:cs="Times New Roman"/>
                <w:color w:val="auto"/>
                <w:spacing w:val="-6"/>
                <w:sz w:val="24"/>
                <w:highlight w:val="none"/>
              </w:rPr>
            </w:pPr>
            <w:r>
              <w:rPr>
                <w:rFonts w:hint="default" w:ascii="Times New Roman" w:hAnsi="Times New Roman" w:cs="Times New Roman"/>
                <w:color w:val="auto"/>
                <w:spacing w:val="-6"/>
                <w:sz w:val="24"/>
                <w:highlight w:val="none"/>
              </w:rPr>
              <w:t>邮政编码</w:t>
            </w:r>
          </w:p>
        </w:tc>
        <w:tc>
          <w:tcPr>
            <w:tcW w:w="1314" w:type="dxa"/>
            <w:vAlign w:val="center"/>
          </w:tcPr>
          <w:p>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rPr>
              <w:t>154</w:t>
            </w:r>
            <w:r>
              <w:rPr>
                <w:rFonts w:hint="default" w:ascii="Times New Roman" w:hAnsi="Times New Roman" w:cs="Times New Roman"/>
                <w:color w:val="auto"/>
                <w:sz w:val="24"/>
                <w:highlight w:val="none"/>
                <w:lang w:val="en-US" w:eastAsia="zh-CN"/>
              </w:rPr>
              <w:t>302</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054" w:hRule="atLeast"/>
        </w:trPr>
        <w:tc>
          <w:tcPr>
            <w:tcW w:w="1417" w:type="dxa"/>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建设地点</w:t>
            </w:r>
          </w:p>
        </w:tc>
        <w:tc>
          <w:tcPr>
            <w:tcW w:w="7517" w:type="dxa"/>
            <w:gridSpan w:val="9"/>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黑龙江省</w:t>
            </w:r>
            <w:r>
              <w:rPr>
                <w:rFonts w:hint="default" w:ascii="Times New Roman" w:hAnsi="Times New Roman" w:cs="Times New Roman"/>
                <w:color w:val="auto"/>
                <w:sz w:val="24"/>
                <w:highlight w:val="none"/>
                <w:lang w:eastAsia="zh-CN"/>
              </w:rPr>
              <w:t>江川农场供热中心</w:t>
            </w:r>
            <w:r>
              <w:rPr>
                <w:rFonts w:hint="default" w:ascii="Times New Roman" w:hAnsi="Times New Roman" w:cs="Times New Roman"/>
                <w:color w:val="auto"/>
                <w:sz w:val="24"/>
                <w:highlight w:val="none"/>
              </w:rPr>
              <w:t>院内</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90" w:hRule="atLeast"/>
        </w:trPr>
        <w:tc>
          <w:tcPr>
            <w:tcW w:w="1417" w:type="dxa"/>
            <w:vAlign w:val="center"/>
          </w:tcPr>
          <w:p>
            <w:pPr>
              <w:spacing w:line="38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立项审批部门</w:t>
            </w:r>
          </w:p>
        </w:tc>
        <w:tc>
          <w:tcPr>
            <w:tcW w:w="3046" w:type="dxa"/>
            <w:gridSpan w:val="4"/>
            <w:vAlign w:val="center"/>
          </w:tcPr>
          <w:p>
            <w:pPr>
              <w:spacing w:line="38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黑龙江省农垦</w:t>
            </w:r>
            <w:r>
              <w:rPr>
                <w:rFonts w:hint="default" w:ascii="Times New Roman" w:hAnsi="Times New Roman" w:cs="Times New Roman"/>
                <w:color w:val="auto"/>
                <w:sz w:val="24"/>
                <w:highlight w:val="none"/>
                <w:lang w:eastAsia="zh-CN"/>
              </w:rPr>
              <w:t>红兴隆</w:t>
            </w:r>
            <w:r>
              <w:rPr>
                <w:rFonts w:hint="default" w:ascii="Times New Roman" w:hAnsi="Times New Roman" w:cs="Times New Roman"/>
                <w:color w:val="auto"/>
                <w:sz w:val="24"/>
                <w:highlight w:val="none"/>
              </w:rPr>
              <w:t>管理局发展和改革委员会</w:t>
            </w:r>
          </w:p>
        </w:tc>
        <w:tc>
          <w:tcPr>
            <w:tcW w:w="1417" w:type="dxa"/>
            <w:vAlign w:val="center"/>
          </w:tcPr>
          <w:p>
            <w:pPr>
              <w:spacing w:line="38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批准文号</w:t>
            </w:r>
          </w:p>
        </w:tc>
        <w:tc>
          <w:tcPr>
            <w:tcW w:w="3054" w:type="dxa"/>
            <w:gridSpan w:val="4"/>
            <w:vAlign w:val="center"/>
          </w:tcPr>
          <w:p>
            <w:pPr>
              <w:spacing w:line="40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lang w:eastAsia="zh-CN"/>
              </w:rPr>
              <w:t>红</w:t>
            </w:r>
            <w:r>
              <w:rPr>
                <w:rFonts w:hint="default" w:ascii="Times New Roman" w:hAnsi="Times New Roman" w:cs="Times New Roman"/>
                <w:color w:val="auto"/>
                <w:sz w:val="24"/>
                <w:highlight w:val="none"/>
              </w:rPr>
              <w:t>局发改备案[201</w:t>
            </w:r>
            <w:r>
              <w:rPr>
                <w:rFonts w:hint="default" w:ascii="Times New Roman" w:hAnsi="Times New Roman" w:cs="Times New Roman"/>
                <w:color w:val="auto"/>
                <w:sz w:val="24"/>
                <w:highlight w:val="none"/>
                <w:lang w:val="en-US" w:eastAsia="zh-CN"/>
              </w:rPr>
              <w:t>7</w:t>
            </w:r>
            <w:r>
              <w:rPr>
                <w:rFonts w:hint="default" w:ascii="Times New Roman" w:hAnsi="Times New Roman" w:cs="Times New Roman"/>
                <w:color w:val="auto"/>
                <w:sz w:val="24"/>
                <w:highlight w:val="none"/>
              </w:rPr>
              <w:t>]</w:t>
            </w:r>
            <w:r>
              <w:rPr>
                <w:rFonts w:hint="default" w:ascii="Times New Roman" w:hAnsi="Times New Roman" w:cs="Times New Roman"/>
                <w:color w:val="auto"/>
                <w:sz w:val="24"/>
                <w:highlight w:val="none"/>
                <w:lang w:val="en-US" w:eastAsia="zh-CN"/>
              </w:rPr>
              <w:t>3</w:t>
            </w:r>
            <w:r>
              <w:rPr>
                <w:rFonts w:hint="default" w:ascii="Times New Roman" w:hAnsi="Times New Roman" w:cs="Times New Roman"/>
                <w:color w:val="auto"/>
                <w:sz w:val="24"/>
                <w:highlight w:val="none"/>
              </w:rPr>
              <w:t>号</w:t>
            </w:r>
          </w:p>
          <w:p>
            <w:pPr>
              <w:spacing w:line="400" w:lineRule="exact"/>
              <w:jc w:val="center"/>
              <w:rPr>
                <w:rFonts w:hint="default" w:ascii="Times New Roman" w:hAnsi="Times New Roman" w:eastAsia="宋体" w:cs="Times New Roman"/>
                <w:color w:val="auto"/>
                <w:sz w:val="24"/>
                <w:highlight w:val="none"/>
                <w:lang w:eastAsia="zh-CN"/>
              </w:rPr>
            </w:pPr>
            <w:r>
              <w:rPr>
                <w:rFonts w:hint="default" w:ascii="Times New Roman" w:hAnsi="Times New Roman" w:cs="Times New Roman"/>
                <w:color w:val="auto"/>
                <w:sz w:val="24"/>
                <w:highlight w:val="none"/>
                <w:lang w:eastAsia="zh-CN"/>
              </w:rPr>
              <w:t>红</w:t>
            </w:r>
            <w:r>
              <w:rPr>
                <w:rFonts w:hint="default" w:ascii="Times New Roman" w:hAnsi="Times New Roman" w:cs="Times New Roman"/>
                <w:color w:val="auto"/>
                <w:sz w:val="24"/>
                <w:highlight w:val="none"/>
              </w:rPr>
              <w:t>局发改备案[2018]</w:t>
            </w:r>
            <w:r>
              <w:rPr>
                <w:rFonts w:hint="default" w:ascii="Times New Roman" w:hAnsi="Times New Roman" w:cs="Times New Roman"/>
                <w:color w:val="auto"/>
                <w:sz w:val="24"/>
                <w:highlight w:val="none"/>
                <w:lang w:val="en-US" w:eastAsia="zh-CN"/>
              </w:rPr>
              <w:t>17</w:t>
            </w:r>
            <w:r>
              <w:rPr>
                <w:rFonts w:hint="default" w:ascii="Times New Roman" w:hAnsi="Times New Roman" w:cs="Times New Roman"/>
                <w:color w:val="auto"/>
                <w:sz w:val="24"/>
                <w:highlight w:val="none"/>
              </w:rPr>
              <w:t>号</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120" w:hRule="atLeast"/>
        </w:trPr>
        <w:tc>
          <w:tcPr>
            <w:tcW w:w="1417" w:type="dxa"/>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建设性质</w:t>
            </w:r>
          </w:p>
        </w:tc>
        <w:tc>
          <w:tcPr>
            <w:tcW w:w="3046" w:type="dxa"/>
            <w:gridSpan w:val="4"/>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新建</w:t>
            </w:r>
          </w:p>
        </w:tc>
        <w:tc>
          <w:tcPr>
            <w:tcW w:w="1417" w:type="dxa"/>
            <w:vAlign w:val="center"/>
          </w:tcPr>
          <w:p>
            <w:pPr>
              <w:spacing w:line="40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行业类别</w:t>
            </w:r>
          </w:p>
          <w:p>
            <w:pPr>
              <w:spacing w:line="40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及代码</w:t>
            </w:r>
          </w:p>
        </w:tc>
        <w:tc>
          <w:tcPr>
            <w:tcW w:w="3054" w:type="dxa"/>
            <w:gridSpan w:val="4"/>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N7722大气污染治理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869" w:hRule="atLeast"/>
        </w:trPr>
        <w:tc>
          <w:tcPr>
            <w:tcW w:w="1417" w:type="dxa"/>
            <w:vAlign w:val="center"/>
          </w:tcPr>
          <w:p>
            <w:pPr>
              <w:spacing w:line="38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占地面积(平方米)</w:t>
            </w:r>
          </w:p>
        </w:tc>
        <w:tc>
          <w:tcPr>
            <w:tcW w:w="3046" w:type="dxa"/>
            <w:gridSpan w:val="4"/>
            <w:vAlign w:val="center"/>
          </w:tcPr>
          <w:p>
            <w:pPr>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500</w:t>
            </w:r>
          </w:p>
        </w:tc>
        <w:tc>
          <w:tcPr>
            <w:tcW w:w="1417" w:type="dxa"/>
            <w:vAlign w:val="center"/>
          </w:tcPr>
          <w:p>
            <w:pPr>
              <w:spacing w:line="40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绿化面积</w:t>
            </w:r>
          </w:p>
          <w:p>
            <w:pPr>
              <w:spacing w:line="40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(平方米)</w:t>
            </w:r>
          </w:p>
        </w:tc>
        <w:tc>
          <w:tcPr>
            <w:tcW w:w="3054" w:type="dxa"/>
            <w:gridSpan w:val="4"/>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1405" w:hRule="atLeast"/>
        </w:trPr>
        <w:tc>
          <w:tcPr>
            <w:tcW w:w="1417" w:type="dxa"/>
            <w:vAlign w:val="center"/>
          </w:tcPr>
          <w:p>
            <w:pPr>
              <w:spacing w:line="38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总投资</w:t>
            </w:r>
          </w:p>
          <w:p>
            <w:pPr>
              <w:spacing w:line="38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(万元)</w:t>
            </w:r>
          </w:p>
        </w:tc>
        <w:tc>
          <w:tcPr>
            <w:tcW w:w="1417" w:type="dxa"/>
            <w:vAlign w:val="center"/>
          </w:tcPr>
          <w:p>
            <w:pPr>
              <w:jc w:val="center"/>
              <w:rPr>
                <w:rFonts w:hint="default" w:ascii="Times New Roman" w:hAnsi="Times New Roman" w:eastAsia="宋体"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4</w:t>
            </w:r>
            <w:r>
              <w:rPr>
                <w:rFonts w:hint="eastAsia" w:cs="Times New Roman"/>
                <w:color w:val="auto"/>
                <w:sz w:val="24"/>
                <w:highlight w:val="none"/>
                <w:lang w:val="en-US" w:eastAsia="zh-CN"/>
              </w:rPr>
              <w:t>60</w:t>
            </w:r>
          </w:p>
        </w:tc>
        <w:tc>
          <w:tcPr>
            <w:tcW w:w="1629" w:type="dxa"/>
            <w:gridSpan w:val="3"/>
            <w:vAlign w:val="center"/>
          </w:tcPr>
          <w:p>
            <w:pPr>
              <w:spacing w:line="40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w:t>
            </w:r>
          </w:p>
          <w:p>
            <w:pPr>
              <w:spacing w:line="40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(万元)</w:t>
            </w:r>
          </w:p>
        </w:tc>
        <w:tc>
          <w:tcPr>
            <w:tcW w:w="1417" w:type="dxa"/>
            <w:vAlign w:val="center"/>
          </w:tcPr>
          <w:p>
            <w:pPr>
              <w:jc w:val="center"/>
              <w:rPr>
                <w:rFonts w:hint="default" w:ascii="Times New Roman" w:hAnsi="Times New Roman" w:eastAsia="宋体" w:cs="Times New Roman"/>
                <w:color w:val="auto"/>
                <w:sz w:val="24"/>
                <w:highlight w:val="none"/>
                <w:lang w:val="en-US" w:eastAsia="zh-CN"/>
              </w:rPr>
            </w:pPr>
            <w:r>
              <w:rPr>
                <w:rFonts w:hint="eastAsia" w:cs="Times New Roman"/>
                <w:color w:val="auto"/>
                <w:sz w:val="24"/>
                <w:highlight w:val="none"/>
                <w:lang w:val="en-US" w:eastAsia="zh-CN"/>
              </w:rPr>
              <w:t>460</w:t>
            </w:r>
          </w:p>
        </w:tc>
        <w:tc>
          <w:tcPr>
            <w:tcW w:w="1417" w:type="dxa"/>
            <w:gridSpan w:val="2"/>
            <w:vAlign w:val="center"/>
          </w:tcPr>
          <w:p>
            <w:pPr>
              <w:spacing w:line="36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环保投资占总投资比例</w:t>
            </w:r>
          </w:p>
        </w:tc>
        <w:tc>
          <w:tcPr>
            <w:tcW w:w="1637" w:type="dxa"/>
            <w:gridSpan w:val="2"/>
            <w:vAlign w:val="center"/>
          </w:tcPr>
          <w:p>
            <w:pPr>
              <w:jc w:val="center"/>
              <w:rPr>
                <w:rFonts w:hint="default" w:ascii="Times New Roman" w:hAnsi="Times New Roman" w:cs="Times New Roman"/>
                <w:color w:val="auto"/>
                <w:sz w:val="24"/>
                <w:highlight w:val="none"/>
              </w:rPr>
            </w:pPr>
            <w:r>
              <w:rPr>
                <w:rFonts w:hint="eastAsia" w:cs="Times New Roman"/>
                <w:color w:val="auto"/>
                <w:sz w:val="24"/>
                <w:highlight w:val="none"/>
                <w:lang w:val="en-US" w:eastAsia="zh-CN"/>
              </w:rPr>
              <w:t>100</w:t>
            </w:r>
            <w:r>
              <w:rPr>
                <w:rFonts w:hint="default" w:ascii="Times New Roman" w:hAnsi="Times New Roman" w:cs="Times New Roman"/>
                <w:color w:val="auto"/>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trHeight w:val="2329" w:hRule="atLeast"/>
        </w:trPr>
        <w:tc>
          <w:tcPr>
            <w:tcW w:w="1417" w:type="dxa"/>
            <w:vAlign w:val="center"/>
          </w:tcPr>
          <w:p>
            <w:pPr>
              <w:spacing w:line="38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评价经费</w:t>
            </w:r>
          </w:p>
          <w:p>
            <w:pPr>
              <w:spacing w:line="380" w:lineRule="exact"/>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(万元)</w:t>
            </w:r>
          </w:p>
        </w:tc>
        <w:tc>
          <w:tcPr>
            <w:tcW w:w="1417" w:type="dxa"/>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w:t>
            </w:r>
          </w:p>
        </w:tc>
        <w:tc>
          <w:tcPr>
            <w:tcW w:w="3046" w:type="dxa"/>
            <w:gridSpan w:val="4"/>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投产日期</w:t>
            </w:r>
          </w:p>
        </w:tc>
        <w:tc>
          <w:tcPr>
            <w:tcW w:w="3054" w:type="dxa"/>
            <w:gridSpan w:val="4"/>
            <w:vAlign w:val="center"/>
          </w:tcPr>
          <w:p>
            <w:pPr>
              <w:jc w:val="center"/>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20</w:t>
            </w:r>
            <w:r>
              <w:rPr>
                <w:rFonts w:hint="eastAsia" w:cs="Times New Roman"/>
                <w:color w:val="auto"/>
                <w:sz w:val="24"/>
                <w:highlight w:val="none"/>
                <w:lang w:val="en-US" w:eastAsia="zh-CN"/>
              </w:rPr>
              <w:t>20</w:t>
            </w:r>
            <w:r>
              <w:rPr>
                <w:rFonts w:hint="default" w:ascii="Times New Roman" w:hAnsi="Times New Roman" w:cs="Times New Roman"/>
                <w:color w:val="auto"/>
                <w:sz w:val="24"/>
                <w:highlight w:val="none"/>
              </w:rPr>
              <w:t>年</w:t>
            </w:r>
            <w:r>
              <w:rPr>
                <w:rFonts w:hint="eastAsia" w:cs="Times New Roman"/>
                <w:color w:val="auto"/>
                <w:sz w:val="24"/>
                <w:highlight w:val="none"/>
                <w:lang w:val="en-US" w:eastAsia="zh-CN"/>
              </w:rPr>
              <w:t>3</w:t>
            </w:r>
            <w:r>
              <w:rPr>
                <w:rFonts w:hint="default" w:ascii="Times New Roman" w:hAnsi="Times New Roman" w:cs="Times New Roman"/>
                <w:color w:val="auto"/>
                <w:sz w:val="24"/>
                <w:highlight w:val="none"/>
              </w:rPr>
              <w:t>月</w:t>
            </w:r>
          </w:p>
        </w:tc>
      </w:tr>
    </w:tbl>
    <w:p>
      <w:pPr>
        <w:pageBreakBefore/>
        <w:snapToGrid w:val="0"/>
        <w:spacing w:line="20" w:lineRule="atLeast"/>
        <w:outlineLvl w:val="0"/>
        <w:rPr>
          <w:b/>
          <w:bCs/>
          <w:color w:val="auto"/>
          <w:sz w:val="32"/>
          <w:szCs w:val="28"/>
          <w:highlight w:val="none"/>
        </w:rPr>
      </w:pPr>
    </w:p>
    <w:tbl>
      <w:tblPr>
        <w:tblStyle w:val="36"/>
        <w:tblW w:w="8796"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79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3429" w:hRule="atLeast"/>
        </w:trPr>
        <w:tc>
          <w:tcPr>
            <w:tcW w:w="8796" w:type="dxa"/>
          </w:tcPr>
          <w:p>
            <w:pPr>
              <w:spacing w:line="520" w:lineRule="exact"/>
              <w:rPr>
                <w:b/>
                <w:color w:val="auto"/>
                <w:sz w:val="28"/>
                <w:szCs w:val="28"/>
                <w:highlight w:val="none"/>
              </w:rPr>
            </w:pPr>
            <w:r>
              <w:rPr>
                <w:rFonts w:hint="eastAsia"/>
                <w:b/>
                <w:color w:val="auto"/>
                <w:sz w:val="28"/>
                <w:szCs w:val="28"/>
                <w:highlight w:val="none"/>
              </w:rPr>
              <w:t>工程内容及规模：</w:t>
            </w:r>
          </w:p>
          <w:p>
            <w:pPr>
              <w:tabs>
                <w:tab w:val="left" w:pos="6480"/>
              </w:tabs>
              <w:spacing w:line="360" w:lineRule="auto"/>
              <w:ind w:firstLine="482" w:firstLineChars="200"/>
              <w:rPr>
                <w:b/>
                <w:bCs/>
                <w:color w:val="auto"/>
                <w:sz w:val="24"/>
                <w:highlight w:val="none"/>
              </w:rPr>
            </w:pPr>
            <w:r>
              <w:rPr>
                <w:rFonts w:hint="eastAsia"/>
                <w:b/>
                <w:bCs/>
                <w:color w:val="auto"/>
                <w:sz w:val="24"/>
                <w:highlight w:val="none"/>
              </w:rPr>
              <w:t>1.项目由来</w:t>
            </w:r>
          </w:p>
          <w:p>
            <w:pPr>
              <w:keepNext w:val="0"/>
              <w:keepLines w:val="0"/>
              <w:pageBreakBefore w:val="0"/>
              <w:widowControl w:val="0"/>
              <w:tabs>
                <w:tab w:val="left" w:pos="1680"/>
              </w:tabs>
              <w:kinsoku/>
              <w:wordWrap/>
              <w:overflowPunct w:val="0"/>
              <w:topLinePunct w:val="0"/>
              <w:autoSpaceDE/>
              <w:autoSpaceDN/>
              <w:bidi w:val="0"/>
              <w:adjustRightInd/>
              <w:snapToGrid/>
              <w:spacing w:line="360" w:lineRule="auto"/>
              <w:ind w:firstLine="480" w:firstLineChars="200"/>
              <w:textAlignment w:val="auto"/>
              <w:rPr>
                <w:rFonts w:hint="default"/>
                <w:color w:val="auto"/>
                <w:sz w:val="24"/>
                <w:highlight w:val="none"/>
                <w:lang w:val="en-US" w:eastAsia="zh-CN"/>
              </w:rPr>
            </w:pPr>
            <w:r>
              <w:rPr>
                <w:rFonts w:hint="eastAsia"/>
                <w:color w:val="auto"/>
                <w:sz w:val="24"/>
                <w:highlight w:val="none"/>
                <w:lang w:eastAsia="zh-CN"/>
              </w:rPr>
              <w:t>江川农场供热中心院内现有</w:t>
            </w:r>
            <w:r>
              <w:rPr>
                <w:rFonts w:hint="eastAsia"/>
                <w:color w:val="auto"/>
                <w:sz w:val="24"/>
                <w:highlight w:val="none"/>
                <w:lang w:val="en-US" w:eastAsia="zh-CN"/>
              </w:rPr>
              <w:t>3台</w:t>
            </w:r>
            <w:r>
              <w:rPr>
                <w:rFonts w:hint="eastAsia"/>
                <w:color w:val="auto"/>
                <w:sz w:val="24"/>
                <w:highlight w:val="none"/>
                <w:lang w:eastAsia="zh-CN"/>
              </w:rPr>
              <w:t>锅炉于</w:t>
            </w:r>
            <w:r>
              <w:rPr>
                <w:rFonts w:hint="eastAsia"/>
                <w:color w:val="auto"/>
                <w:sz w:val="24"/>
                <w:highlight w:val="none"/>
                <w:lang w:val="en-US" w:eastAsia="zh-CN"/>
              </w:rPr>
              <w:t>2010年10月建设运行，并</w:t>
            </w:r>
            <w:r>
              <w:rPr>
                <w:rFonts w:hint="eastAsia"/>
                <w:color w:val="auto"/>
                <w:sz w:val="24"/>
                <w:highlight w:val="none"/>
                <w:lang w:eastAsia="zh-CN"/>
              </w:rPr>
              <w:t>于</w:t>
            </w:r>
            <w:r>
              <w:rPr>
                <w:rFonts w:hint="eastAsia"/>
                <w:color w:val="auto"/>
                <w:sz w:val="24"/>
                <w:highlight w:val="none"/>
                <w:lang w:val="en-US" w:eastAsia="zh-CN"/>
              </w:rPr>
              <w:t>2016年11月办理了《江川农场建设中心锅炉房项目环境影响现状评估报告》，主要建设内容：总占地面积6499.61m</w:t>
            </w:r>
            <w:r>
              <w:rPr>
                <w:rFonts w:hint="eastAsia"/>
                <w:color w:val="auto"/>
                <w:sz w:val="24"/>
                <w:highlight w:val="none"/>
                <w:vertAlign w:val="superscript"/>
                <w:lang w:val="en-US" w:eastAsia="zh-CN"/>
              </w:rPr>
              <w:t>2</w:t>
            </w:r>
            <w:r>
              <w:rPr>
                <w:rFonts w:hint="eastAsia"/>
                <w:color w:val="auto"/>
                <w:sz w:val="24"/>
                <w:highlight w:val="none"/>
                <w:lang w:val="en-US" w:eastAsia="zh-CN"/>
              </w:rPr>
              <w:t>，一座建筑</w:t>
            </w:r>
            <w:r>
              <w:rPr>
                <w:color w:val="auto"/>
                <w:sz w:val="24"/>
                <w:highlight w:val="none"/>
              </w:rPr>
              <w:t>面积</w:t>
            </w:r>
            <w:r>
              <w:rPr>
                <w:rFonts w:hint="eastAsia"/>
                <w:color w:val="auto"/>
                <w:sz w:val="24"/>
                <w:highlight w:val="none"/>
                <w:lang w:eastAsia="zh-CN"/>
              </w:rPr>
              <w:t>为</w:t>
            </w:r>
            <w:r>
              <w:rPr>
                <w:rFonts w:hint="eastAsia"/>
                <w:color w:val="auto"/>
                <w:sz w:val="24"/>
                <w:highlight w:val="none"/>
                <w:lang w:val="en-US" w:eastAsia="zh-CN"/>
              </w:rPr>
              <w:t>1523.21m</w:t>
            </w:r>
            <w:r>
              <w:rPr>
                <w:rFonts w:hint="eastAsia"/>
                <w:color w:val="auto"/>
                <w:sz w:val="24"/>
                <w:highlight w:val="none"/>
                <w:vertAlign w:val="superscript"/>
                <w:lang w:val="en-US" w:eastAsia="zh-CN"/>
              </w:rPr>
              <w:t>2</w:t>
            </w:r>
            <w:r>
              <w:rPr>
                <w:rFonts w:hint="eastAsia"/>
                <w:color w:val="auto"/>
                <w:sz w:val="24"/>
                <w:highlight w:val="none"/>
                <w:lang w:val="en-US" w:eastAsia="zh-CN"/>
              </w:rPr>
              <w:t>锅炉房、占地面积1220m</w:t>
            </w:r>
            <w:r>
              <w:rPr>
                <w:rFonts w:hint="eastAsia"/>
                <w:color w:val="auto"/>
                <w:sz w:val="24"/>
                <w:highlight w:val="none"/>
                <w:vertAlign w:val="superscript"/>
                <w:lang w:val="en-US" w:eastAsia="zh-CN"/>
              </w:rPr>
              <w:t>2</w:t>
            </w:r>
            <w:r>
              <w:rPr>
                <w:rFonts w:hint="eastAsia"/>
                <w:color w:val="auto"/>
                <w:sz w:val="24"/>
                <w:highlight w:val="none"/>
                <w:vertAlign w:val="baseline"/>
                <w:lang w:val="en-US" w:eastAsia="zh-CN"/>
              </w:rPr>
              <w:t>的</w:t>
            </w:r>
            <w:r>
              <w:rPr>
                <w:rFonts w:hint="eastAsia"/>
                <w:color w:val="auto"/>
                <w:sz w:val="24"/>
                <w:highlight w:val="none"/>
                <w:lang w:val="en-US" w:eastAsia="zh-CN"/>
              </w:rPr>
              <w:t>煤场、占地面积610m</w:t>
            </w:r>
            <w:r>
              <w:rPr>
                <w:rFonts w:hint="eastAsia"/>
                <w:color w:val="auto"/>
                <w:sz w:val="24"/>
                <w:highlight w:val="none"/>
                <w:vertAlign w:val="superscript"/>
                <w:lang w:val="en-US" w:eastAsia="zh-CN"/>
              </w:rPr>
              <w:t>2</w:t>
            </w:r>
            <w:r>
              <w:rPr>
                <w:rFonts w:hint="eastAsia"/>
                <w:color w:val="auto"/>
                <w:sz w:val="24"/>
                <w:highlight w:val="none"/>
                <w:lang w:val="en-US" w:eastAsia="zh-CN"/>
              </w:rPr>
              <w:t>的灰渣场、2台14MW的燃煤锅炉（备用）和1台28MW的燃煤锅炉（在用），锅炉除尘分别采用</w:t>
            </w:r>
            <w:r>
              <w:rPr>
                <w:rFonts w:hint="eastAsia"/>
                <w:color w:val="auto"/>
                <w:sz w:val="24"/>
                <w:highlight w:val="none"/>
                <w:lang w:eastAsia="zh-CN"/>
              </w:rPr>
              <w:t>干式</w:t>
            </w:r>
            <w:r>
              <w:rPr>
                <w:rFonts w:hint="eastAsia"/>
                <w:color w:val="auto"/>
                <w:sz w:val="24"/>
                <w:highlight w:val="none"/>
                <w:lang w:val="en-US" w:eastAsia="zh-CN"/>
              </w:rPr>
              <w:t>除尘器和湿式除尘器</w:t>
            </w:r>
            <w:r>
              <w:rPr>
                <w:rFonts w:hint="eastAsia"/>
                <w:color w:val="auto"/>
                <w:sz w:val="24"/>
                <w:highlight w:val="none"/>
              </w:rPr>
              <w:t>，管</w:t>
            </w:r>
            <w:r>
              <w:rPr>
                <w:color w:val="auto"/>
                <w:sz w:val="24"/>
                <w:highlight w:val="none"/>
              </w:rPr>
              <w:t>网总长度</w:t>
            </w:r>
            <w:r>
              <w:rPr>
                <w:rFonts w:hint="eastAsia"/>
                <w:color w:val="auto"/>
                <w:sz w:val="24"/>
                <w:highlight w:val="none"/>
                <w:lang w:val="en-US" w:eastAsia="zh-CN"/>
              </w:rPr>
              <w:t>5.6km</w:t>
            </w:r>
            <w:r>
              <w:rPr>
                <w:color w:val="auto"/>
                <w:sz w:val="24"/>
                <w:highlight w:val="none"/>
              </w:rPr>
              <w:t>，</w:t>
            </w:r>
            <w:r>
              <w:rPr>
                <w:rFonts w:hint="eastAsia"/>
                <w:color w:val="auto"/>
                <w:sz w:val="24"/>
                <w:highlight w:val="none"/>
              </w:rPr>
              <w:t>供热</w:t>
            </w:r>
            <w:r>
              <w:rPr>
                <w:color w:val="auto"/>
                <w:sz w:val="24"/>
                <w:highlight w:val="none"/>
              </w:rPr>
              <w:t>范围：</w:t>
            </w:r>
            <w:r>
              <w:rPr>
                <w:rFonts w:hint="eastAsia"/>
                <w:color w:val="auto"/>
                <w:sz w:val="24"/>
                <w:highlight w:val="none"/>
              </w:rPr>
              <w:t>江川农场</w:t>
            </w:r>
            <w:r>
              <w:rPr>
                <w:rFonts w:hint="eastAsia"/>
                <w:color w:val="auto"/>
                <w:sz w:val="24"/>
                <w:highlight w:val="none"/>
                <w:lang w:eastAsia="zh-CN"/>
              </w:rPr>
              <w:t>场部区域</w:t>
            </w:r>
            <w:r>
              <w:rPr>
                <w:color w:val="auto"/>
                <w:sz w:val="24"/>
                <w:highlight w:val="none"/>
              </w:rPr>
              <w:t>，供热面积</w:t>
            </w:r>
            <w:r>
              <w:rPr>
                <w:rFonts w:hint="eastAsia"/>
                <w:color w:val="auto"/>
                <w:sz w:val="24"/>
                <w:highlight w:val="none"/>
                <w:lang w:val="en-US" w:eastAsia="zh-CN"/>
              </w:rPr>
              <w:t>32</w:t>
            </w:r>
            <w:r>
              <w:rPr>
                <w:rFonts w:hint="eastAsia"/>
                <w:color w:val="auto"/>
                <w:sz w:val="24"/>
                <w:highlight w:val="none"/>
              </w:rPr>
              <w:t>万</w:t>
            </w:r>
            <w:r>
              <w:rPr>
                <w:color w:val="auto"/>
                <w:sz w:val="24"/>
                <w:highlight w:val="none"/>
              </w:rPr>
              <w:t>平方米。</w:t>
            </w:r>
          </w:p>
          <w:p>
            <w:pPr>
              <w:keepNext w:val="0"/>
              <w:keepLines w:val="0"/>
              <w:pageBreakBefore w:val="0"/>
              <w:widowControl w:val="0"/>
              <w:tabs>
                <w:tab w:val="left" w:pos="1680"/>
              </w:tabs>
              <w:kinsoku/>
              <w:wordWrap/>
              <w:overflowPunct w:val="0"/>
              <w:topLinePunct w:val="0"/>
              <w:autoSpaceDE/>
              <w:autoSpaceDN/>
              <w:bidi w:val="0"/>
              <w:adjustRightInd/>
              <w:snapToGrid/>
              <w:spacing w:line="360" w:lineRule="auto"/>
              <w:ind w:firstLine="480" w:firstLineChars="200"/>
              <w:textAlignment w:val="auto"/>
              <w:rPr>
                <w:rFonts w:hint="default"/>
                <w:color w:val="auto"/>
                <w:sz w:val="24"/>
                <w:highlight w:val="none"/>
                <w:lang w:val="en-US" w:eastAsia="zh-CN"/>
              </w:rPr>
            </w:pPr>
            <w:r>
              <w:rPr>
                <w:color w:val="auto"/>
                <w:sz w:val="24"/>
                <w:szCs w:val="24"/>
                <w:highlight w:val="none"/>
              </w:rPr>
              <w:t>为</w:t>
            </w:r>
            <w:r>
              <w:rPr>
                <w:rFonts w:hint="eastAsia"/>
                <w:color w:val="auto"/>
                <w:sz w:val="24"/>
                <w:szCs w:val="24"/>
                <w:highlight w:val="none"/>
                <w:lang w:eastAsia="zh-CN"/>
              </w:rPr>
              <w:t>了</w:t>
            </w:r>
            <w:r>
              <w:rPr>
                <w:color w:val="auto"/>
                <w:sz w:val="24"/>
                <w:szCs w:val="24"/>
                <w:highlight w:val="none"/>
              </w:rPr>
              <w:t>降低污染物排放，改善环境空气，提高居民的生活质量，实现机组耐久、耐用</w:t>
            </w:r>
            <w:r>
              <w:rPr>
                <w:rFonts w:hint="eastAsia"/>
                <w:color w:val="auto"/>
                <w:sz w:val="24"/>
                <w:szCs w:val="24"/>
                <w:highlight w:val="none"/>
                <w:lang w:eastAsia="zh-CN"/>
              </w:rPr>
              <w:t>、</w:t>
            </w:r>
            <w:r>
              <w:rPr>
                <w:color w:val="auto"/>
                <w:sz w:val="24"/>
                <w:szCs w:val="24"/>
                <w:highlight w:val="none"/>
              </w:rPr>
              <w:t>可持续发展的目标</w:t>
            </w:r>
            <w:r>
              <w:rPr>
                <w:rFonts w:hint="eastAsia"/>
                <w:color w:val="auto"/>
                <w:sz w:val="24"/>
                <w:highlight w:val="none"/>
              </w:rPr>
              <w:t>，</w:t>
            </w:r>
            <w:r>
              <w:rPr>
                <w:rFonts w:hint="eastAsia"/>
                <w:color w:val="auto"/>
                <w:sz w:val="24"/>
                <w:highlight w:val="none"/>
                <w:lang w:eastAsia="zh-CN"/>
              </w:rPr>
              <w:t>江川农场于</w:t>
            </w:r>
            <w:r>
              <w:rPr>
                <w:rFonts w:hint="eastAsia"/>
                <w:color w:val="auto"/>
                <w:sz w:val="24"/>
                <w:highlight w:val="none"/>
                <w:lang w:val="en-US" w:eastAsia="zh-CN"/>
              </w:rPr>
              <w:t>2019年4月</w:t>
            </w:r>
            <w:r>
              <w:rPr>
                <w:rFonts w:hint="eastAsia"/>
                <w:color w:val="auto"/>
                <w:sz w:val="24"/>
                <w:highlight w:val="none"/>
              </w:rPr>
              <w:t>新建脱硫脱硝设施</w:t>
            </w:r>
            <w:r>
              <w:rPr>
                <w:rFonts w:hint="eastAsia"/>
                <w:color w:val="auto"/>
                <w:sz w:val="24"/>
                <w:highlight w:val="none"/>
                <w:lang w:eastAsia="zh-CN"/>
              </w:rPr>
              <w:t>及附属用房</w:t>
            </w:r>
            <w:r>
              <w:rPr>
                <w:rFonts w:hint="eastAsia"/>
                <w:color w:val="FF0000"/>
                <w:sz w:val="24"/>
                <w:highlight w:val="none"/>
                <w:lang w:eastAsia="zh-CN"/>
              </w:rPr>
              <w:t>（未运行）</w:t>
            </w:r>
            <w:r>
              <w:rPr>
                <w:rFonts w:hint="eastAsia"/>
                <w:color w:val="auto"/>
                <w:sz w:val="24"/>
                <w:highlight w:val="none"/>
              </w:rPr>
              <w:t>。由于企业环保意识薄弱，</w:t>
            </w:r>
            <w:r>
              <w:rPr>
                <w:rFonts w:hint="eastAsia"/>
                <w:color w:val="auto"/>
                <w:sz w:val="24"/>
                <w:highlight w:val="none"/>
                <w:lang w:eastAsia="zh-CN"/>
              </w:rPr>
              <w:t>此次新增环保设施及用房并</w:t>
            </w:r>
            <w:r>
              <w:rPr>
                <w:rFonts w:hint="eastAsia"/>
                <w:color w:val="auto"/>
                <w:sz w:val="24"/>
                <w:highlight w:val="none"/>
              </w:rPr>
              <w:t>未办理环评手续，</w:t>
            </w:r>
            <w:r>
              <w:rPr>
                <w:rFonts w:hint="eastAsia"/>
                <w:color w:val="auto"/>
                <w:sz w:val="24"/>
                <w:highlight w:val="none"/>
                <w:lang w:eastAsia="zh-CN"/>
              </w:rPr>
              <w:t>现补办</w:t>
            </w:r>
            <w:r>
              <w:rPr>
                <w:color w:val="auto"/>
                <w:sz w:val="24"/>
                <w:szCs w:val="24"/>
                <w:highlight w:val="none"/>
              </w:rPr>
              <w:t>环保手续</w:t>
            </w:r>
            <w:r>
              <w:rPr>
                <w:rFonts w:hint="eastAsia"/>
                <w:color w:val="auto"/>
                <w:sz w:val="24"/>
                <w:highlight w:val="none"/>
                <w:lang w:eastAsia="zh-CN"/>
              </w:rPr>
              <w:t>，</w:t>
            </w:r>
            <w:r>
              <w:rPr>
                <w:rFonts w:hint="eastAsia"/>
                <w:color w:val="auto"/>
                <w:sz w:val="24"/>
                <w:highlight w:val="none"/>
                <w:lang w:val="en-US" w:eastAsia="zh-CN"/>
              </w:rPr>
              <w:t>江川农场</w:t>
            </w:r>
            <w:r>
              <w:rPr>
                <w:rFonts w:hint="default"/>
                <w:color w:val="auto"/>
                <w:sz w:val="24"/>
                <w:highlight w:val="none"/>
                <w:lang w:eastAsia="zh-CN"/>
              </w:rPr>
              <w:t>于</w:t>
            </w:r>
            <w:r>
              <w:rPr>
                <w:rFonts w:hint="default"/>
                <w:color w:val="auto"/>
                <w:sz w:val="24"/>
                <w:highlight w:val="none"/>
                <w:lang w:val="en-US" w:eastAsia="zh-CN"/>
              </w:rPr>
              <w:t>2019年</w:t>
            </w:r>
            <w:r>
              <w:rPr>
                <w:rFonts w:hint="eastAsia"/>
                <w:color w:val="auto"/>
                <w:sz w:val="24"/>
                <w:highlight w:val="none"/>
                <w:lang w:val="en-US" w:eastAsia="zh-CN"/>
              </w:rPr>
              <w:t>5</w:t>
            </w:r>
            <w:r>
              <w:rPr>
                <w:rFonts w:hint="default"/>
                <w:color w:val="auto"/>
                <w:sz w:val="24"/>
                <w:highlight w:val="none"/>
                <w:lang w:val="en-US" w:eastAsia="zh-CN"/>
              </w:rPr>
              <w:t>月取得排污许可证，证书编号为：91233002565186199A001R。</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eastAsia="宋体"/>
                <w:color w:val="auto"/>
                <w:sz w:val="24"/>
                <w:highlight w:val="none"/>
                <w:lang w:eastAsia="zh-CN"/>
              </w:rPr>
            </w:pPr>
            <w:r>
              <w:rPr>
                <w:rFonts w:hint="eastAsia"/>
                <w:color w:val="FF0000"/>
                <w:sz w:val="24"/>
                <w:szCs w:val="24"/>
                <w:highlight w:val="none"/>
                <w:lang w:val="en-US" w:eastAsia="zh-CN"/>
              </w:rPr>
              <w:t>由于原有再用28MW的燃煤热水锅炉运行时间较长，现将原有2台14MW的备用锅炉改为在用锅炉，将原有1台28MW的在用锅炉改为备用锅炉。</w:t>
            </w:r>
            <w:r>
              <w:rPr>
                <w:rFonts w:hint="eastAsia"/>
                <w:color w:val="auto"/>
                <w:sz w:val="24"/>
                <w:szCs w:val="24"/>
                <w:highlight w:val="none"/>
                <w:lang w:eastAsia="zh-CN"/>
              </w:rPr>
              <w:t>根据黑龙江开源检测技术有限公司</w:t>
            </w:r>
            <w:r>
              <w:rPr>
                <w:rFonts w:hint="eastAsia" w:ascii="Times New Roman" w:hAnsi="Times New Roman" w:cs="Times New Roman"/>
                <w:color w:val="auto"/>
                <w:sz w:val="24"/>
                <w:highlight w:val="none"/>
                <w:lang w:val="en-US" w:eastAsia="zh-CN"/>
              </w:rPr>
              <w:t>于20</w:t>
            </w:r>
            <w:r>
              <w:rPr>
                <w:rFonts w:hint="eastAsia" w:cs="Times New Roman"/>
                <w:color w:val="auto"/>
                <w:sz w:val="24"/>
                <w:highlight w:val="none"/>
                <w:lang w:val="en-US" w:eastAsia="zh-CN"/>
              </w:rPr>
              <w:t>20</w:t>
            </w:r>
            <w:r>
              <w:rPr>
                <w:rFonts w:hint="eastAsia" w:ascii="Times New Roman" w:hAnsi="Times New Roman" w:cs="Times New Roman"/>
                <w:color w:val="auto"/>
                <w:sz w:val="24"/>
                <w:highlight w:val="none"/>
                <w:lang w:val="en-US" w:eastAsia="zh-CN"/>
              </w:rPr>
              <w:t>年</w:t>
            </w:r>
            <w:r>
              <w:rPr>
                <w:rFonts w:hint="eastAsia"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月出具的</w:t>
            </w:r>
            <w:r>
              <w:rPr>
                <w:rFonts w:hint="eastAsia" w:cs="Times New Roman"/>
                <w:color w:val="auto"/>
                <w:sz w:val="24"/>
                <w:highlight w:val="none"/>
                <w:lang w:val="en-US" w:eastAsia="zh-CN"/>
              </w:rPr>
              <w:t>检测报告</w:t>
            </w:r>
            <w:r>
              <w:rPr>
                <w:rFonts w:hint="default" w:ascii="Times New Roman" w:hAnsi="Times New Roman" w:cs="Times New Roman"/>
                <w:color w:val="auto"/>
                <w:sz w:val="24"/>
                <w:highlight w:val="none"/>
                <w:lang w:val="en-US" w:eastAsia="zh-CN"/>
              </w:rPr>
              <w:t>可知</w:t>
            </w:r>
            <w:r>
              <w:rPr>
                <w:rFonts w:hint="eastAsia" w:cs="Times New Roman"/>
                <w:color w:val="auto"/>
                <w:sz w:val="24"/>
                <w:highlight w:val="none"/>
                <w:lang w:val="en-US" w:eastAsia="zh-CN"/>
              </w:rPr>
              <w:t>，</w:t>
            </w:r>
            <w:r>
              <w:rPr>
                <w:rFonts w:hint="eastAsia"/>
                <w:color w:val="auto"/>
                <w:sz w:val="24"/>
                <w:szCs w:val="18"/>
                <w:highlight w:val="none"/>
                <w:vertAlign w:val="baseline"/>
                <w:lang w:val="en-US" w:eastAsia="zh-CN"/>
              </w:rPr>
              <w:t>颗粒物的</w:t>
            </w:r>
            <w:r>
              <w:rPr>
                <w:rFonts w:hint="eastAsia"/>
                <w:color w:val="auto"/>
                <w:sz w:val="24"/>
                <w:highlight w:val="none"/>
                <w:lang w:eastAsia="zh-CN"/>
              </w:rPr>
              <w:t>排放浓度不</w:t>
            </w:r>
            <w:r>
              <w:rPr>
                <w:color w:val="auto"/>
                <w:sz w:val="24"/>
                <w:highlight w:val="none"/>
              </w:rPr>
              <w:t>满足</w:t>
            </w:r>
            <w:r>
              <w:rPr>
                <w:rFonts w:hint="default" w:ascii="Times New Roman" w:hAnsi="Times New Roman" w:eastAsia="宋体" w:cs="Times New Roman"/>
                <w:color w:val="auto"/>
                <w:kern w:val="0"/>
                <w:sz w:val="24"/>
                <w:szCs w:val="24"/>
                <w:highlight w:val="none"/>
                <w:lang w:val="en-US" w:eastAsia="zh-CN" w:bidi="ar"/>
              </w:rPr>
              <w:t>《锅炉大气污染物排放标准》（GB13271-2014）</w:t>
            </w:r>
            <w:r>
              <w:rPr>
                <w:rFonts w:hint="eastAsia" w:cs="Times New Roman"/>
                <w:color w:val="auto"/>
                <w:kern w:val="0"/>
                <w:sz w:val="24"/>
                <w:szCs w:val="24"/>
                <w:highlight w:val="none"/>
                <w:lang w:val="en-US" w:eastAsia="zh-CN" w:bidi="ar"/>
              </w:rPr>
              <w:t>中</w:t>
            </w:r>
            <w:r>
              <w:rPr>
                <w:bCs/>
                <w:color w:val="auto"/>
                <w:sz w:val="24"/>
                <w:highlight w:val="none"/>
              </w:rPr>
              <w:t>表2燃煤锅炉排放限值</w:t>
            </w:r>
            <w:r>
              <w:rPr>
                <w:color w:val="auto"/>
                <w:sz w:val="24"/>
                <w:highlight w:val="none"/>
              </w:rPr>
              <w:t>要求。</w:t>
            </w:r>
            <w:r>
              <w:rPr>
                <w:rFonts w:hint="eastAsia"/>
                <w:color w:val="auto"/>
                <w:sz w:val="24"/>
                <w:highlight w:val="none"/>
                <w:lang w:eastAsia="zh-CN"/>
              </w:rPr>
              <w:t>因此，此次环评要求每台锅炉各新增一台布袋除尘器</w:t>
            </w:r>
            <w:r>
              <w:rPr>
                <w:color w:val="auto"/>
                <w:sz w:val="24"/>
                <w:szCs w:val="18"/>
                <w:highlight w:val="none"/>
              </w:rPr>
              <w:t>。</w:t>
            </w:r>
          </w:p>
          <w:p>
            <w:pPr>
              <w:tabs>
                <w:tab w:val="left" w:pos="1680"/>
              </w:tabs>
              <w:overflowPunct w:val="0"/>
              <w:spacing w:line="360" w:lineRule="auto"/>
              <w:ind w:firstLine="480" w:firstLineChars="200"/>
              <w:rPr>
                <w:rFonts w:hint="default" w:ascii="Times New Roman" w:hAnsi="Times New Roman" w:cs="Times New Roman"/>
                <w:color w:val="auto"/>
                <w:sz w:val="24"/>
                <w:szCs w:val="24"/>
                <w:highlight w:val="none"/>
              </w:rPr>
            </w:pPr>
            <w:r>
              <w:rPr>
                <w:rFonts w:hint="eastAsia"/>
                <w:color w:val="auto"/>
                <w:sz w:val="24"/>
                <w:szCs w:val="24"/>
                <w:highlight w:val="none"/>
              </w:rPr>
              <w:t>为了科学客观地评价建设项目对周围环境造成的影响，根据《中华人民共和国环境保护法》、《中华人民共和国环境影响评价法》、《建设项目环境影响评价分类管理名录》及中华人民共和国国务院第</w:t>
            </w:r>
            <w:r>
              <w:rPr>
                <w:color w:val="auto"/>
                <w:sz w:val="24"/>
                <w:szCs w:val="24"/>
                <w:highlight w:val="none"/>
              </w:rPr>
              <w:t>682</w:t>
            </w:r>
            <w:r>
              <w:rPr>
                <w:rFonts w:hint="eastAsia"/>
                <w:color w:val="auto"/>
                <w:sz w:val="24"/>
                <w:szCs w:val="24"/>
                <w:highlight w:val="none"/>
              </w:rPr>
              <w:t>号令《建设项目环境保护管理条例》，</w:t>
            </w:r>
            <w:r>
              <w:rPr>
                <w:rFonts w:hint="eastAsia"/>
                <w:color w:val="auto"/>
                <w:sz w:val="24"/>
                <w:szCs w:val="24"/>
                <w:highlight w:val="none"/>
                <w:lang w:eastAsia="zh-CN"/>
              </w:rPr>
              <w:t>江川农场供热基础配套设施工程建设</w:t>
            </w:r>
            <w:r>
              <w:rPr>
                <w:rFonts w:hint="eastAsia"/>
                <w:color w:val="auto"/>
                <w:sz w:val="24"/>
                <w:szCs w:val="24"/>
                <w:highlight w:val="none"/>
              </w:rPr>
              <w:t>项目（以下简称本项目）应进行环境影响评价。按照《建设项目环境影响评价分类管理名录》（</w:t>
            </w:r>
            <w:r>
              <w:rPr>
                <w:color w:val="auto"/>
                <w:sz w:val="24"/>
                <w:szCs w:val="24"/>
                <w:highlight w:val="none"/>
              </w:rPr>
              <w:t>2018.4.28</w:t>
            </w:r>
            <w:r>
              <w:rPr>
                <w:rFonts w:hint="eastAsia"/>
                <w:color w:val="auto"/>
                <w:sz w:val="24"/>
                <w:szCs w:val="24"/>
                <w:highlight w:val="none"/>
              </w:rPr>
              <w:t>），本项目属于三十四、环境治理业，</w:t>
            </w:r>
            <w:r>
              <w:rPr>
                <w:color w:val="auto"/>
                <w:sz w:val="24"/>
                <w:szCs w:val="24"/>
                <w:highlight w:val="none"/>
              </w:rPr>
              <w:t>99</w:t>
            </w:r>
            <w:r>
              <w:rPr>
                <w:rFonts w:hint="eastAsia"/>
                <w:color w:val="auto"/>
                <w:sz w:val="24"/>
                <w:szCs w:val="24"/>
                <w:highlight w:val="none"/>
              </w:rPr>
              <w:t>新增脱硫、脱硝、除尘，应该编制环境影响报告表。根据《环境影响评价技术导则</w:t>
            </w:r>
            <w:r>
              <w:rPr>
                <w:color w:val="auto"/>
                <w:sz w:val="24"/>
                <w:szCs w:val="24"/>
                <w:highlight w:val="none"/>
              </w:rPr>
              <w:t>-</w:t>
            </w:r>
            <w:r>
              <w:rPr>
                <w:rFonts w:hint="eastAsia"/>
                <w:color w:val="auto"/>
                <w:sz w:val="24"/>
                <w:szCs w:val="24"/>
                <w:highlight w:val="none"/>
              </w:rPr>
              <w:t>地下水环境》（</w:t>
            </w:r>
            <w:r>
              <w:rPr>
                <w:color w:val="auto"/>
                <w:sz w:val="24"/>
                <w:szCs w:val="24"/>
                <w:highlight w:val="none"/>
              </w:rPr>
              <w:t>HJ610-2016</w:t>
            </w:r>
            <w:r>
              <w:rPr>
                <w:rFonts w:hint="eastAsia"/>
                <w:color w:val="auto"/>
                <w:sz w:val="24"/>
                <w:szCs w:val="24"/>
                <w:highlight w:val="none"/>
              </w:rPr>
              <w:t>）附录</w:t>
            </w:r>
            <w:r>
              <w:rPr>
                <w:color w:val="auto"/>
                <w:sz w:val="24"/>
                <w:szCs w:val="24"/>
                <w:highlight w:val="none"/>
              </w:rPr>
              <w:t>A</w:t>
            </w:r>
            <w:r>
              <w:rPr>
                <w:rFonts w:hint="eastAsia"/>
                <w:color w:val="auto"/>
                <w:sz w:val="24"/>
                <w:szCs w:val="24"/>
                <w:highlight w:val="none"/>
              </w:rPr>
              <w:t>，本项目属于脱硫、脱硝、除尘等环保工程，地下水环境影响评价项目类别为</w:t>
            </w:r>
            <w:r>
              <w:rPr>
                <w:color w:val="auto"/>
                <w:sz w:val="24"/>
                <w:szCs w:val="24"/>
                <w:highlight w:val="none"/>
              </w:rPr>
              <w:fldChar w:fldCharType="begin"/>
            </w:r>
            <w:r>
              <w:rPr>
                <w:color w:val="auto"/>
                <w:sz w:val="24"/>
                <w:szCs w:val="24"/>
                <w:highlight w:val="none"/>
              </w:rPr>
              <w:instrText xml:space="preserve"> = 4 \* ROMAN \* MERGEFORMAT </w:instrText>
            </w:r>
            <w:r>
              <w:rPr>
                <w:color w:val="auto"/>
                <w:sz w:val="24"/>
                <w:szCs w:val="24"/>
                <w:highlight w:val="none"/>
              </w:rPr>
              <w:fldChar w:fldCharType="separate"/>
            </w:r>
            <w:r>
              <w:rPr>
                <w:color w:val="auto"/>
                <w:sz w:val="24"/>
                <w:szCs w:val="24"/>
                <w:highlight w:val="none"/>
              </w:rPr>
              <w:t>IV</w:t>
            </w:r>
            <w:r>
              <w:rPr>
                <w:color w:val="auto"/>
                <w:sz w:val="24"/>
                <w:szCs w:val="24"/>
                <w:highlight w:val="none"/>
              </w:rPr>
              <w:fldChar w:fldCharType="end"/>
            </w:r>
            <w:r>
              <w:rPr>
                <w:rFonts w:hint="eastAsia"/>
                <w:color w:val="auto"/>
                <w:sz w:val="24"/>
                <w:szCs w:val="24"/>
                <w:highlight w:val="none"/>
              </w:rPr>
              <w:t>类，因此本项目不对地下水进行环境影响评价。</w:t>
            </w:r>
            <w:r>
              <w:rPr>
                <w:rFonts w:hint="default"/>
                <w:color w:val="auto"/>
                <w:sz w:val="24"/>
                <w:szCs w:val="24"/>
                <w:highlight w:val="none"/>
              </w:rPr>
              <w:t>根据《环境影响评价技术导则 土壤环境》（HJ964-2018）</w:t>
            </w:r>
            <w:r>
              <w:rPr>
                <w:rFonts w:hint="eastAsia"/>
                <w:color w:val="auto"/>
                <w:sz w:val="24"/>
                <w:szCs w:val="24"/>
                <w:highlight w:val="none"/>
                <w:lang w:eastAsia="zh-CN"/>
              </w:rPr>
              <w:t>可知，</w:t>
            </w:r>
            <w:r>
              <w:rPr>
                <w:rFonts w:hint="default"/>
                <w:color w:val="auto"/>
                <w:sz w:val="24"/>
                <w:szCs w:val="24"/>
                <w:highlight w:val="none"/>
              </w:rPr>
              <w:t>本项目属于</w:t>
            </w:r>
            <w:r>
              <w:rPr>
                <w:rFonts w:hint="eastAsia"/>
                <w:color w:val="auto"/>
                <w:sz w:val="24"/>
                <w:szCs w:val="24"/>
                <w:highlight w:val="none"/>
                <w:lang w:eastAsia="zh-CN"/>
              </w:rPr>
              <w:t>“</w:t>
            </w:r>
            <w:r>
              <w:rPr>
                <w:rFonts w:hint="default"/>
                <w:color w:val="auto"/>
                <w:sz w:val="24"/>
                <w:szCs w:val="24"/>
                <w:highlight w:val="none"/>
              </w:rPr>
              <w:t>其他</w:t>
            </w:r>
            <w:r>
              <w:rPr>
                <w:rFonts w:hint="eastAsia"/>
                <w:color w:val="auto"/>
                <w:sz w:val="24"/>
                <w:szCs w:val="24"/>
                <w:highlight w:val="none"/>
                <w:lang w:eastAsia="zh-CN"/>
              </w:rPr>
              <w:t>行业”</w:t>
            </w:r>
            <w:r>
              <w:rPr>
                <w:rFonts w:hint="default"/>
                <w:color w:val="auto"/>
                <w:sz w:val="24"/>
                <w:szCs w:val="24"/>
                <w:highlight w:val="none"/>
              </w:rPr>
              <w:t>，为Ⅳ类项目，不需要开展土壤评价。</w:t>
            </w:r>
            <w:r>
              <w:rPr>
                <w:rFonts w:hint="default" w:ascii="Times New Roman" w:hAnsi="Times New Roman" w:cs="Times New Roman"/>
                <w:color w:val="auto"/>
                <w:sz w:val="24"/>
                <w:szCs w:val="24"/>
                <w:highlight w:val="none"/>
              </w:rPr>
              <w:t>为了从环境保护角度评价本项目的可行性，受</w:t>
            </w:r>
            <w:r>
              <w:rPr>
                <w:rFonts w:hint="default" w:ascii="Times New Roman" w:hAnsi="Times New Roman" w:cs="Times New Roman"/>
                <w:color w:val="auto"/>
                <w:sz w:val="24"/>
                <w:szCs w:val="24"/>
                <w:highlight w:val="none"/>
                <w:lang w:eastAsia="zh-CN"/>
              </w:rPr>
              <w:t>黑龙江省</w:t>
            </w:r>
            <w:r>
              <w:rPr>
                <w:rFonts w:hint="default" w:ascii="Times New Roman" w:hAnsi="Times New Roman" w:cs="Times New Roman"/>
                <w:color w:val="auto"/>
                <w:spacing w:val="-6"/>
                <w:sz w:val="24"/>
                <w:szCs w:val="24"/>
                <w:highlight w:val="none"/>
                <w:lang w:eastAsia="zh-CN"/>
              </w:rPr>
              <w:t>江川农场</w:t>
            </w:r>
            <w:r>
              <w:rPr>
                <w:rFonts w:hint="default" w:ascii="Times New Roman" w:hAnsi="Times New Roman" w:cs="Times New Roman"/>
                <w:color w:val="auto"/>
                <w:sz w:val="24"/>
                <w:szCs w:val="24"/>
                <w:highlight w:val="none"/>
              </w:rPr>
              <w:t>委托，我单位承担了该项目的环境影响评价工作。我单位在现场踏勘和资料收集等基础上，根据环境影响评价技术导则及其他有关文件，编制了该项目的环境影响报告表，报请环保主管部门审查、审批，以其为项目的实施和管理提供参考依据。</w:t>
            </w:r>
          </w:p>
          <w:p>
            <w:pPr>
              <w:tabs>
                <w:tab w:val="left" w:pos="6480"/>
              </w:tabs>
              <w:spacing w:line="360" w:lineRule="auto"/>
              <w:ind w:firstLine="482" w:firstLineChars="200"/>
              <w:rPr>
                <w:b/>
                <w:bCs/>
                <w:color w:val="auto"/>
                <w:sz w:val="24"/>
                <w:highlight w:val="none"/>
              </w:rPr>
            </w:pPr>
            <w:r>
              <w:rPr>
                <w:rFonts w:hint="eastAsia"/>
                <w:b/>
                <w:bCs/>
                <w:color w:val="auto"/>
                <w:sz w:val="24"/>
                <w:highlight w:val="none"/>
              </w:rPr>
              <w:t>2.项目概况</w:t>
            </w:r>
          </w:p>
          <w:p>
            <w:pPr>
              <w:tabs>
                <w:tab w:val="left" w:pos="6480"/>
              </w:tabs>
              <w:spacing w:line="360" w:lineRule="auto"/>
              <w:ind w:firstLine="480" w:firstLineChars="200"/>
              <w:rPr>
                <w:bCs/>
                <w:color w:val="auto"/>
                <w:sz w:val="24"/>
                <w:highlight w:val="none"/>
              </w:rPr>
            </w:pPr>
            <w:r>
              <w:rPr>
                <w:rFonts w:hint="eastAsia"/>
                <w:bCs/>
                <w:color w:val="auto"/>
                <w:sz w:val="24"/>
                <w:highlight w:val="none"/>
              </w:rPr>
              <w:t>（1）建设地点</w:t>
            </w:r>
          </w:p>
          <w:p>
            <w:pPr>
              <w:spacing w:line="360" w:lineRule="auto"/>
              <w:ind w:firstLine="491" w:firstLineChars="205"/>
              <w:rPr>
                <w:rFonts w:hAnsi="宋体"/>
                <w:color w:val="auto"/>
                <w:sz w:val="24"/>
                <w:highlight w:val="none"/>
              </w:rPr>
            </w:pPr>
            <w:r>
              <w:rPr>
                <w:rFonts w:hint="eastAsia"/>
                <w:color w:val="auto"/>
                <w:sz w:val="24"/>
                <w:highlight w:val="none"/>
              </w:rPr>
              <w:t>本项目位于</w:t>
            </w:r>
            <w:r>
              <w:rPr>
                <w:rFonts w:hint="eastAsia"/>
                <w:color w:val="auto"/>
                <w:sz w:val="24"/>
                <w:highlight w:val="none"/>
                <w:lang w:eastAsia="zh-CN"/>
              </w:rPr>
              <w:t>黑龙江省江川农场供热中心院内</w:t>
            </w:r>
            <w:r>
              <w:rPr>
                <w:rFonts w:hint="eastAsia"/>
                <w:color w:val="auto"/>
                <w:sz w:val="24"/>
                <w:highlight w:val="none"/>
              </w:rPr>
              <w:t>，</w:t>
            </w:r>
            <w:r>
              <w:rPr>
                <w:rFonts w:hAnsi="宋体"/>
                <w:bCs/>
                <w:color w:val="auto"/>
                <w:sz w:val="24"/>
                <w:highlight w:val="none"/>
              </w:rPr>
              <w:t>东侧隔</w:t>
            </w:r>
            <w:r>
              <w:rPr>
                <w:rFonts w:hint="eastAsia" w:hAnsi="宋体"/>
                <w:bCs/>
                <w:color w:val="auto"/>
                <w:sz w:val="24"/>
                <w:highlight w:val="none"/>
                <w:lang w:eastAsia="zh-CN"/>
              </w:rPr>
              <w:t>路</w:t>
            </w:r>
            <w:r>
              <w:rPr>
                <w:rFonts w:hint="eastAsia" w:hAnsi="宋体"/>
                <w:bCs/>
                <w:color w:val="auto"/>
                <w:sz w:val="24"/>
                <w:highlight w:val="none"/>
                <w:lang w:val="en-US" w:eastAsia="zh-CN"/>
              </w:rPr>
              <w:t>80米</w:t>
            </w:r>
            <w:r>
              <w:rPr>
                <w:rFonts w:hAnsi="宋体"/>
                <w:bCs/>
                <w:color w:val="auto"/>
                <w:sz w:val="24"/>
                <w:highlight w:val="none"/>
              </w:rPr>
              <w:t>为居民、西侧</w:t>
            </w:r>
            <w:r>
              <w:rPr>
                <w:rFonts w:hint="eastAsia" w:hAnsi="宋体"/>
                <w:bCs/>
                <w:color w:val="auto"/>
                <w:sz w:val="24"/>
                <w:highlight w:val="none"/>
                <w:lang w:eastAsia="zh-CN"/>
              </w:rPr>
              <w:t>隔空地</w:t>
            </w:r>
            <w:r>
              <w:rPr>
                <w:rFonts w:hint="eastAsia" w:hAnsi="宋体"/>
                <w:bCs/>
                <w:color w:val="auto"/>
                <w:sz w:val="24"/>
                <w:highlight w:val="none"/>
                <w:lang w:val="en-US" w:eastAsia="zh-CN"/>
              </w:rPr>
              <w:t>30米为居民</w:t>
            </w:r>
            <w:r>
              <w:rPr>
                <w:rFonts w:hAnsi="宋体"/>
                <w:bCs/>
                <w:color w:val="auto"/>
                <w:sz w:val="24"/>
                <w:highlight w:val="none"/>
              </w:rPr>
              <w:t>、南侧隔</w:t>
            </w:r>
            <w:r>
              <w:rPr>
                <w:rFonts w:hint="eastAsia" w:hAnsi="宋体"/>
                <w:bCs/>
                <w:color w:val="auto"/>
                <w:sz w:val="24"/>
                <w:highlight w:val="none"/>
                <w:lang w:eastAsia="zh-CN"/>
              </w:rPr>
              <w:t>路</w:t>
            </w:r>
            <w:r>
              <w:rPr>
                <w:rFonts w:hint="eastAsia" w:hAnsi="宋体"/>
                <w:bCs/>
                <w:color w:val="auto"/>
                <w:sz w:val="24"/>
                <w:highlight w:val="none"/>
                <w:lang w:val="en-US" w:eastAsia="zh-CN"/>
              </w:rPr>
              <w:t>45米</w:t>
            </w:r>
            <w:r>
              <w:rPr>
                <w:rFonts w:hAnsi="宋体"/>
                <w:bCs/>
                <w:color w:val="auto"/>
                <w:sz w:val="24"/>
                <w:highlight w:val="none"/>
              </w:rPr>
              <w:t>为</w:t>
            </w:r>
            <w:r>
              <w:rPr>
                <w:rFonts w:hint="eastAsia" w:hAnsi="宋体"/>
                <w:color w:val="auto"/>
                <w:spacing w:val="-10"/>
                <w:sz w:val="24"/>
                <w:highlight w:val="none"/>
                <w:lang w:eastAsia="zh-CN"/>
              </w:rPr>
              <w:t>江川农场学校</w:t>
            </w:r>
            <w:r>
              <w:rPr>
                <w:rFonts w:hAnsi="宋体"/>
                <w:bCs/>
                <w:color w:val="auto"/>
                <w:sz w:val="24"/>
                <w:highlight w:val="none"/>
              </w:rPr>
              <w:t>、北侧隔</w:t>
            </w:r>
            <w:r>
              <w:rPr>
                <w:rFonts w:hint="eastAsia" w:hAnsi="宋体"/>
                <w:bCs/>
                <w:color w:val="auto"/>
                <w:sz w:val="24"/>
                <w:highlight w:val="none"/>
                <w:lang w:eastAsia="zh-CN"/>
              </w:rPr>
              <w:t>路</w:t>
            </w:r>
            <w:r>
              <w:rPr>
                <w:rFonts w:hint="eastAsia" w:hAnsi="宋体"/>
                <w:bCs/>
                <w:color w:val="auto"/>
                <w:sz w:val="24"/>
                <w:highlight w:val="none"/>
                <w:lang w:val="en-US" w:eastAsia="zh-CN"/>
              </w:rPr>
              <w:t>26米</w:t>
            </w:r>
            <w:r>
              <w:rPr>
                <w:rFonts w:hAnsi="宋体"/>
                <w:bCs/>
                <w:color w:val="auto"/>
                <w:sz w:val="24"/>
                <w:highlight w:val="none"/>
              </w:rPr>
              <w:t>为</w:t>
            </w:r>
            <w:r>
              <w:rPr>
                <w:rFonts w:hint="eastAsia" w:hAnsi="宋体"/>
                <w:bCs/>
                <w:color w:val="auto"/>
                <w:sz w:val="24"/>
                <w:highlight w:val="none"/>
                <w:lang w:eastAsia="zh-CN"/>
              </w:rPr>
              <w:t>居民。</w:t>
            </w:r>
            <w:r>
              <w:rPr>
                <w:rFonts w:hint="eastAsia" w:hAnsi="宋体"/>
                <w:color w:val="auto"/>
                <w:sz w:val="24"/>
                <w:highlight w:val="none"/>
              </w:rPr>
              <w:t>地理位置见附图</w:t>
            </w:r>
            <w:r>
              <w:rPr>
                <w:rFonts w:hint="eastAsia"/>
                <w:color w:val="auto"/>
                <w:sz w:val="24"/>
                <w:highlight w:val="none"/>
              </w:rPr>
              <w:t>1</w:t>
            </w:r>
            <w:r>
              <w:rPr>
                <w:rFonts w:hint="eastAsia" w:hAnsi="宋体"/>
                <w:color w:val="auto"/>
                <w:sz w:val="24"/>
                <w:highlight w:val="none"/>
              </w:rPr>
              <w:t>。</w:t>
            </w:r>
          </w:p>
          <w:p>
            <w:pPr>
              <w:tabs>
                <w:tab w:val="left" w:pos="6480"/>
              </w:tabs>
              <w:spacing w:line="360" w:lineRule="auto"/>
              <w:ind w:firstLine="480" w:firstLineChars="200"/>
              <w:rPr>
                <w:bCs/>
                <w:color w:val="auto"/>
                <w:sz w:val="24"/>
                <w:highlight w:val="none"/>
              </w:rPr>
            </w:pPr>
            <w:r>
              <w:rPr>
                <w:rFonts w:hint="eastAsia"/>
                <w:bCs/>
                <w:color w:val="auto"/>
                <w:sz w:val="24"/>
                <w:highlight w:val="none"/>
              </w:rPr>
              <w:t>（2）建设内容及规模</w:t>
            </w:r>
          </w:p>
          <w:p>
            <w:pPr>
              <w:spacing w:line="360" w:lineRule="auto"/>
              <w:ind w:firstLine="480" w:firstLineChars="200"/>
              <w:rPr>
                <w:rFonts w:hAnsi="宋体"/>
                <w:color w:val="auto"/>
                <w:sz w:val="24"/>
                <w:highlight w:val="none"/>
              </w:rPr>
            </w:pPr>
            <w:r>
              <w:rPr>
                <w:rFonts w:hint="eastAsia" w:hAnsi="Arial" w:cs="Arial"/>
                <w:color w:val="auto"/>
                <w:sz w:val="24"/>
                <w:highlight w:val="none"/>
              </w:rPr>
              <w:t>本项目在</w:t>
            </w:r>
            <w:r>
              <w:rPr>
                <w:color w:val="auto"/>
                <w:sz w:val="24"/>
                <w:highlight w:val="none"/>
              </w:rPr>
              <w:t>黑龙江</w:t>
            </w:r>
            <w:r>
              <w:rPr>
                <w:rFonts w:hint="eastAsia"/>
                <w:color w:val="auto"/>
                <w:sz w:val="24"/>
                <w:highlight w:val="none"/>
                <w:lang w:eastAsia="zh-CN"/>
              </w:rPr>
              <w:t>省江川农场供热中心</w:t>
            </w:r>
            <w:r>
              <w:rPr>
                <w:rFonts w:hint="eastAsia"/>
                <w:color w:val="auto"/>
                <w:sz w:val="24"/>
                <w:highlight w:val="none"/>
              </w:rPr>
              <w:t>院</w:t>
            </w:r>
            <w:r>
              <w:rPr>
                <w:rFonts w:hint="eastAsia" w:hAnsi="Arial" w:cs="Arial"/>
                <w:color w:val="auto"/>
                <w:sz w:val="24"/>
                <w:highlight w:val="none"/>
              </w:rPr>
              <w:t>内建设，</w:t>
            </w:r>
            <w:r>
              <w:rPr>
                <w:rFonts w:hint="eastAsia"/>
                <w:color w:val="auto"/>
                <w:sz w:val="24"/>
                <w:highlight w:val="none"/>
                <w:lang w:eastAsia="zh-CN"/>
              </w:rPr>
              <w:t>江川农场供热中心</w:t>
            </w:r>
            <w:r>
              <w:rPr>
                <w:rFonts w:hint="eastAsia" w:hAnsi="Arial" w:cs="Arial"/>
                <w:color w:val="auto"/>
                <w:sz w:val="24"/>
                <w:highlight w:val="none"/>
                <w:lang w:eastAsia="zh-CN"/>
              </w:rPr>
              <w:t>总</w:t>
            </w:r>
            <w:r>
              <w:rPr>
                <w:rFonts w:hint="eastAsia" w:hAnsi="Arial" w:cs="Arial"/>
                <w:color w:val="auto"/>
                <w:sz w:val="24"/>
                <w:highlight w:val="none"/>
              </w:rPr>
              <w:t>占地面积</w:t>
            </w:r>
            <w:r>
              <w:rPr>
                <w:rFonts w:hint="eastAsia"/>
                <w:color w:val="auto"/>
                <w:sz w:val="24"/>
                <w:highlight w:val="none"/>
                <w:lang w:val="en-US" w:eastAsia="zh-CN"/>
              </w:rPr>
              <w:t>6499.61</w:t>
            </w:r>
            <w:r>
              <w:rPr>
                <w:rFonts w:hint="eastAsia" w:hAnsi="Arial" w:cs="Arial"/>
                <w:color w:val="auto"/>
                <w:sz w:val="24"/>
                <w:highlight w:val="none"/>
              </w:rPr>
              <w:t>m</w:t>
            </w:r>
            <w:r>
              <w:rPr>
                <w:rFonts w:hint="eastAsia" w:hAnsi="Arial" w:cs="Arial"/>
                <w:color w:val="auto"/>
                <w:sz w:val="24"/>
                <w:highlight w:val="none"/>
                <w:vertAlign w:val="superscript"/>
              </w:rPr>
              <w:t>2</w:t>
            </w:r>
            <w:r>
              <w:rPr>
                <w:rFonts w:hint="eastAsia" w:hAnsi="Arial" w:cs="Arial"/>
                <w:color w:val="auto"/>
                <w:sz w:val="24"/>
                <w:highlight w:val="none"/>
                <w:lang w:eastAsia="zh-CN"/>
              </w:rPr>
              <w:t>，本项目占地面积为</w:t>
            </w:r>
            <w:r>
              <w:rPr>
                <w:rFonts w:hint="eastAsia" w:hAnsi="Arial" w:cs="Arial"/>
                <w:color w:val="auto"/>
                <w:sz w:val="24"/>
                <w:highlight w:val="none"/>
                <w:lang w:val="en-US" w:eastAsia="zh-CN"/>
              </w:rPr>
              <w:t>500m</w:t>
            </w:r>
            <w:r>
              <w:rPr>
                <w:rFonts w:hint="eastAsia" w:hAnsi="Arial" w:cs="Arial"/>
                <w:color w:val="auto"/>
                <w:sz w:val="24"/>
                <w:highlight w:val="none"/>
                <w:vertAlign w:val="superscript"/>
                <w:lang w:val="en-US" w:eastAsia="zh-CN"/>
              </w:rPr>
              <w:t>2</w:t>
            </w:r>
            <w:r>
              <w:rPr>
                <w:rFonts w:hint="eastAsia" w:hAnsi="Arial" w:cs="Arial"/>
                <w:color w:val="auto"/>
                <w:sz w:val="24"/>
                <w:highlight w:val="none"/>
                <w:lang w:val="en-US" w:eastAsia="zh-CN"/>
              </w:rPr>
              <w:t>，</w:t>
            </w:r>
            <w:r>
              <w:rPr>
                <w:rFonts w:hint="eastAsia" w:hAnsi="Arial" w:cs="Arial"/>
                <w:color w:val="auto"/>
                <w:sz w:val="24"/>
                <w:highlight w:val="none"/>
                <w:lang w:eastAsia="zh-CN"/>
              </w:rPr>
              <w:t>建筑</w:t>
            </w:r>
            <w:r>
              <w:rPr>
                <w:rFonts w:hint="eastAsia" w:hAnsi="Arial" w:cs="Arial"/>
                <w:color w:val="auto"/>
                <w:sz w:val="24"/>
                <w:highlight w:val="none"/>
              </w:rPr>
              <w:t>面积</w:t>
            </w:r>
            <w:r>
              <w:rPr>
                <w:rFonts w:hint="eastAsia" w:hAnsi="Arial" w:cs="Arial"/>
                <w:color w:val="auto"/>
                <w:sz w:val="24"/>
                <w:highlight w:val="none"/>
                <w:lang w:val="en-US" w:eastAsia="zh-CN"/>
              </w:rPr>
              <w:t>1487.27</w:t>
            </w:r>
            <w:r>
              <w:rPr>
                <w:rFonts w:hint="eastAsia" w:hAnsi="Arial" w:cs="Arial"/>
                <w:color w:val="auto"/>
                <w:sz w:val="24"/>
                <w:highlight w:val="none"/>
              </w:rPr>
              <w:t>m</w:t>
            </w:r>
            <w:r>
              <w:rPr>
                <w:rFonts w:hint="eastAsia" w:hAnsi="Arial" w:cs="Arial"/>
                <w:color w:val="auto"/>
                <w:sz w:val="24"/>
                <w:highlight w:val="none"/>
                <w:vertAlign w:val="superscript"/>
              </w:rPr>
              <w:t>2</w:t>
            </w:r>
            <w:r>
              <w:rPr>
                <w:rFonts w:hint="eastAsia" w:hAnsi="Arial" w:cs="Arial"/>
                <w:color w:val="auto"/>
                <w:sz w:val="24"/>
                <w:highlight w:val="none"/>
              </w:rPr>
              <w:t>。</w:t>
            </w:r>
            <w:r>
              <w:rPr>
                <w:rFonts w:hint="eastAsia" w:hAnsi="Arial" w:cs="Arial"/>
                <w:color w:val="auto"/>
                <w:sz w:val="24"/>
                <w:highlight w:val="none"/>
                <w:lang w:eastAsia="zh-CN"/>
              </w:rPr>
              <w:t>本项目</w:t>
            </w:r>
            <w:r>
              <w:rPr>
                <w:rFonts w:hint="eastAsia" w:hAnsi="Arial" w:cs="Arial"/>
                <w:color w:val="auto"/>
                <w:sz w:val="24"/>
                <w:highlight w:val="none"/>
              </w:rPr>
              <w:t>新建氧化镁脱硫塔</w:t>
            </w:r>
            <w:r>
              <w:rPr>
                <w:rFonts w:hint="eastAsia" w:hAnsi="Arial" w:cs="Arial"/>
                <w:color w:val="auto"/>
                <w:sz w:val="24"/>
                <w:highlight w:val="none"/>
                <w:lang w:eastAsia="zh-CN"/>
              </w:rPr>
              <w:t>（采用三炉一塔配置）、</w:t>
            </w:r>
            <w:r>
              <w:rPr>
                <w:rFonts w:hAnsi="Arial" w:cs="Arial"/>
                <w:color w:val="auto"/>
                <w:sz w:val="24"/>
                <w:highlight w:val="none"/>
              </w:rPr>
              <w:t>SNCR</w:t>
            </w:r>
            <w:r>
              <w:rPr>
                <w:rFonts w:hint="eastAsia" w:hAnsi="Arial" w:cs="Arial"/>
                <w:color w:val="auto"/>
                <w:sz w:val="24"/>
                <w:highlight w:val="none"/>
              </w:rPr>
              <w:t>脱硝系统</w:t>
            </w:r>
            <w:r>
              <w:rPr>
                <w:rFonts w:hint="eastAsia" w:hAnsi="Arial" w:cs="Arial"/>
                <w:color w:val="auto"/>
                <w:sz w:val="24"/>
                <w:highlight w:val="none"/>
                <w:lang w:eastAsia="zh-CN"/>
              </w:rPr>
              <w:t>（三套）、脱硫脱硝设施用房，增加布袋除尘器（三台），依托现有</w:t>
            </w:r>
            <w:r>
              <w:rPr>
                <w:rFonts w:hint="eastAsia" w:hAnsi="Arial" w:cs="Arial"/>
                <w:color w:val="auto"/>
                <w:sz w:val="24"/>
                <w:highlight w:val="none"/>
              </w:rPr>
              <w:t>锅炉房</w:t>
            </w:r>
            <w:r>
              <w:rPr>
                <w:rFonts w:hint="eastAsia" w:hAnsi="Arial" w:cs="Arial"/>
                <w:color w:val="auto"/>
                <w:sz w:val="24"/>
                <w:highlight w:val="none"/>
                <w:lang w:eastAsia="zh-CN"/>
              </w:rPr>
              <w:t>、煤场、灰渣场、</w:t>
            </w:r>
            <w:r>
              <w:rPr>
                <w:rFonts w:hint="eastAsia" w:hAnsi="Arial" w:cs="Arial"/>
                <w:color w:val="auto"/>
                <w:sz w:val="24"/>
                <w:highlight w:val="none"/>
                <w:lang w:val="en-US" w:eastAsia="zh-CN"/>
              </w:rPr>
              <w:t>60m高烟囱</w:t>
            </w:r>
            <w:r>
              <w:rPr>
                <w:rFonts w:hint="eastAsia" w:hAnsi="Arial" w:cs="Arial"/>
                <w:color w:val="auto"/>
                <w:sz w:val="24"/>
                <w:highlight w:val="none"/>
                <w:lang w:eastAsia="zh-CN"/>
              </w:rPr>
              <w:t>、供热管线等设施。本项目对江川农场场部区域进行供暖</w:t>
            </w:r>
            <w:r>
              <w:rPr>
                <w:rFonts w:hint="eastAsia" w:hAnsi="Arial" w:cs="Arial"/>
                <w:color w:val="auto"/>
                <w:sz w:val="24"/>
                <w:highlight w:val="none"/>
                <w:lang w:val="en-US" w:eastAsia="zh-CN"/>
              </w:rPr>
              <w:t>，供暖面积不变，供暖面积为32万平方米。</w:t>
            </w:r>
            <w:r>
              <w:rPr>
                <w:rFonts w:hint="eastAsia" w:hAnsi="宋体"/>
                <w:color w:val="auto"/>
                <w:sz w:val="24"/>
                <w:highlight w:val="none"/>
              </w:rPr>
              <w:t>本工程建设内容见表1-1。</w:t>
            </w:r>
          </w:p>
          <w:p>
            <w:pPr>
              <w:jc w:val="center"/>
              <w:rPr>
                <w:rFonts w:hAnsi="宋体"/>
                <w:b/>
                <w:color w:val="auto"/>
                <w:sz w:val="24"/>
                <w:highlight w:val="none"/>
              </w:rPr>
            </w:pPr>
            <w:r>
              <w:rPr>
                <w:rFonts w:hAnsi="宋体"/>
                <w:b/>
                <w:color w:val="auto"/>
                <w:sz w:val="24"/>
                <w:highlight w:val="none"/>
              </w:rPr>
              <w:t>表</w:t>
            </w:r>
            <w:r>
              <w:rPr>
                <w:b/>
                <w:color w:val="auto"/>
                <w:sz w:val="24"/>
                <w:highlight w:val="none"/>
              </w:rPr>
              <w:t xml:space="preserve">1-1 </w:t>
            </w:r>
            <w:r>
              <w:rPr>
                <w:rFonts w:hAnsi="宋体"/>
                <w:b/>
                <w:color w:val="auto"/>
                <w:sz w:val="24"/>
                <w:highlight w:val="none"/>
              </w:rPr>
              <w:t>项目组成一览表</w:t>
            </w:r>
          </w:p>
          <w:tbl>
            <w:tblPr>
              <w:tblStyle w:val="36"/>
              <w:tblW w:w="850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57"/>
              <w:gridCol w:w="866"/>
              <w:gridCol w:w="708"/>
              <w:gridCol w:w="4794"/>
              <w:gridCol w:w="1480"/>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657" w:type="dxa"/>
                  <w:tcBorders>
                    <w:right w:val="single" w:color="auto" w:sz="4" w:space="0"/>
                  </w:tcBorders>
                  <w:vAlign w:val="center"/>
                </w:tcPr>
                <w:p>
                  <w:pPr>
                    <w:jc w:val="center"/>
                    <w:rPr>
                      <w:color w:val="auto"/>
                      <w:szCs w:val="21"/>
                      <w:highlight w:val="none"/>
                    </w:rPr>
                  </w:pPr>
                  <w:r>
                    <w:rPr>
                      <w:rFonts w:hAnsi="宋体"/>
                      <w:color w:val="auto"/>
                      <w:szCs w:val="21"/>
                      <w:highlight w:val="none"/>
                    </w:rPr>
                    <w:t>项目</w:t>
                  </w:r>
                </w:p>
              </w:tc>
              <w:tc>
                <w:tcPr>
                  <w:tcW w:w="1574" w:type="dxa"/>
                  <w:gridSpan w:val="2"/>
                  <w:tcBorders>
                    <w:left w:val="single" w:color="auto" w:sz="4" w:space="0"/>
                  </w:tcBorders>
                  <w:vAlign w:val="center"/>
                </w:tcPr>
                <w:p>
                  <w:pPr>
                    <w:jc w:val="center"/>
                    <w:rPr>
                      <w:color w:val="auto"/>
                      <w:szCs w:val="21"/>
                      <w:highlight w:val="none"/>
                    </w:rPr>
                  </w:pPr>
                  <w:r>
                    <w:rPr>
                      <w:rFonts w:hAnsi="宋体"/>
                      <w:color w:val="auto"/>
                      <w:szCs w:val="21"/>
                      <w:highlight w:val="none"/>
                    </w:rPr>
                    <w:t>项目名称</w:t>
                  </w:r>
                </w:p>
              </w:tc>
              <w:tc>
                <w:tcPr>
                  <w:tcW w:w="4794" w:type="dxa"/>
                  <w:tcBorders>
                    <w:bottom w:val="single" w:color="auto" w:sz="4" w:space="0"/>
                  </w:tcBorders>
                  <w:vAlign w:val="center"/>
                </w:tcPr>
                <w:p>
                  <w:pPr>
                    <w:jc w:val="center"/>
                    <w:rPr>
                      <w:color w:val="auto"/>
                      <w:szCs w:val="21"/>
                      <w:highlight w:val="none"/>
                    </w:rPr>
                  </w:pPr>
                  <w:r>
                    <w:rPr>
                      <w:rFonts w:hAnsi="宋体"/>
                      <w:color w:val="auto"/>
                      <w:szCs w:val="21"/>
                      <w:highlight w:val="none"/>
                    </w:rPr>
                    <w:t>工程建设内容及规模</w:t>
                  </w:r>
                </w:p>
              </w:tc>
              <w:tc>
                <w:tcPr>
                  <w:tcW w:w="1480" w:type="dxa"/>
                  <w:tcBorders>
                    <w:bottom w:val="single" w:color="auto" w:sz="4" w:space="0"/>
                  </w:tcBorders>
                  <w:vAlign w:val="center"/>
                </w:tcPr>
                <w:p>
                  <w:pPr>
                    <w:jc w:val="center"/>
                    <w:rPr>
                      <w:color w:val="auto"/>
                      <w:szCs w:val="21"/>
                      <w:highlight w:val="none"/>
                    </w:rPr>
                  </w:pPr>
                  <w:r>
                    <w:rPr>
                      <w:rFonts w:hAnsi="宋体"/>
                      <w:color w:val="auto"/>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6" w:hRule="atLeast"/>
                <w:jc w:val="center"/>
              </w:trPr>
              <w:tc>
                <w:tcPr>
                  <w:tcW w:w="657" w:type="dxa"/>
                  <w:vMerge w:val="restart"/>
                  <w:tcBorders>
                    <w:right w:val="single" w:color="auto" w:sz="4" w:space="0"/>
                  </w:tcBorders>
                  <w:vAlign w:val="center"/>
                </w:tcPr>
                <w:p>
                  <w:pPr>
                    <w:jc w:val="center"/>
                    <w:rPr>
                      <w:color w:val="auto"/>
                      <w:szCs w:val="21"/>
                      <w:highlight w:val="none"/>
                    </w:rPr>
                  </w:pPr>
                  <w:r>
                    <w:rPr>
                      <w:rFonts w:hAnsi="宋体"/>
                      <w:color w:val="auto"/>
                      <w:szCs w:val="21"/>
                      <w:highlight w:val="none"/>
                    </w:rPr>
                    <w:t>主体工程</w:t>
                  </w:r>
                </w:p>
              </w:tc>
              <w:tc>
                <w:tcPr>
                  <w:tcW w:w="1574" w:type="dxa"/>
                  <w:gridSpan w:val="2"/>
                  <w:tcBorders>
                    <w:left w:val="single" w:color="auto" w:sz="4" w:space="0"/>
                  </w:tcBorders>
                  <w:vAlign w:val="center"/>
                </w:tcPr>
                <w:p>
                  <w:pPr>
                    <w:spacing w:line="276" w:lineRule="auto"/>
                    <w:jc w:val="center"/>
                    <w:rPr>
                      <w:rFonts w:hAnsi="宋体"/>
                      <w:color w:val="auto"/>
                      <w:szCs w:val="21"/>
                      <w:highlight w:val="none"/>
                    </w:rPr>
                  </w:pPr>
                  <w:r>
                    <w:rPr>
                      <w:rFonts w:ascii="Times New Roman" w:hAnsi="Times New Roman"/>
                      <w:color w:val="auto"/>
                      <w:szCs w:val="21"/>
                      <w:highlight w:val="none"/>
                    </w:rPr>
                    <w:t>锅炉房</w:t>
                  </w:r>
                </w:p>
              </w:tc>
              <w:tc>
                <w:tcPr>
                  <w:tcW w:w="4794" w:type="dxa"/>
                  <w:tcBorders>
                    <w:bottom w:val="single" w:color="auto" w:sz="4" w:space="0"/>
                  </w:tcBorders>
                  <w:vAlign w:val="center"/>
                </w:tcPr>
                <w:p>
                  <w:pPr>
                    <w:jc w:val="center"/>
                    <w:rPr>
                      <w:rFonts w:hint="eastAsia" w:hAnsi="宋体" w:eastAsia="宋体"/>
                      <w:color w:val="auto"/>
                      <w:szCs w:val="21"/>
                      <w:highlight w:val="none"/>
                      <w:lang w:val="en-US" w:eastAsia="zh-CN"/>
                    </w:rPr>
                  </w:pPr>
                  <w:r>
                    <w:rPr>
                      <w:rFonts w:hint="eastAsia"/>
                      <w:color w:val="auto"/>
                      <w:szCs w:val="21"/>
                      <w:highlight w:val="none"/>
                      <w:lang w:val="en-US" w:eastAsia="zh-CN"/>
                    </w:rPr>
                    <w:t>设置</w:t>
                  </w:r>
                  <w:r>
                    <w:rPr>
                      <w:rFonts w:hint="eastAsia" w:ascii="Times New Roman" w:hAnsi="Times New Roman"/>
                      <w:color w:val="auto"/>
                      <w:szCs w:val="21"/>
                      <w:highlight w:val="none"/>
                      <w:lang w:val="en-US" w:eastAsia="zh-CN"/>
                    </w:rPr>
                    <w:t>2</w:t>
                  </w:r>
                  <w:r>
                    <w:rPr>
                      <w:rFonts w:ascii="Times New Roman" w:hAnsi="Times New Roman"/>
                      <w:color w:val="auto"/>
                      <w:szCs w:val="21"/>
                      <w:highlight w:val="none"/>
                    </w:rPr>
                    <w:t>台</w:t>
                  </w:r>
                  <w:r>
                    <w:rPr>
                      <w:rFonts w:hint="eastAsia"/>
                      <w:color w:val="auto"/>
                      <w:szCs w:val="21"/>
                      <w:highlight w:val="none"/>
                      <w:lang w:val="en-US" w:eastAsia="zh-CN"/>
                    </w:rPr>
                    <w:t>14MW</w:t>
                  </w:r>
                  <w:r>
                    <w:rPr>
                      <w:rFonts w:ascii="Times New Roman" w:hAnsi="Times New Roman"/>
                      <w:color w:val="auto"/>
                      <w:szCs w:val="21"/>
                      <w:highlight w:val="none"/>
                    </w:rPr>
                    <w:t>燃煤锅炉</w:t>
                  </w:r>
                  <w:r>
                    <w:rPr>
                      <w:rFonts w:hint="eastAsia" w:ascii="Times New Roman" w:hAnsi="Times New Roman"/>
                      <w:color w:val="auto"/>
                      <w:szCs w:val="21"/>
                      <w:highlight w:val="none"/>
                    </w:rPr>
                    <w:t>（</w:t>
                  </w:r>
                  <w:r>
                    <w:rPr>
                      <w:rFonts w:hint="eastAsia" w:ascii="Times New Roman" w:hAnsi="Times New Roman"/>
                      <w:color w:val="auto"/>
                      <w:szCs w:val="21"/>
                      <w:highlight w:val="none"/>
                      <w:lang w:eastAsia="zh-CN"/>
                    </w:rPr>
                    <w:t>在</w:t>
                  </w:r>
                  <w:r>
                    <w:rPr>
                      <w:rFonts w:hint="eastAsia" w:ascii="Times New Roman" w:hAnsi="Times New Roman"/>
                      <w:color w:val="auto"/>
                      <w:szCs w:val="21"/>
                      <w:highlight w:val="none"/>
                    </w:rPr>
                    <w:t>用）和1台</w:t>
                  </w:r>
                  <w:r>
                    <w:rPr>
                      <w:rFonts w:hint="eastAsia"/>
                      <w:color w:val="auto"/>
                      <w:szCs w:val="21"/>
                      <w:highlight w:val="none"/>
                      <w:lang w:val="en-US" w:eastAsia="zh-CN"/>
                    </w:rPr>
                    <w:t>28MW</w:t>
                  </w:r>
                  <w:r>
                    <w:rPr>
                      <w:rFonts w:ascii="Times New Roman" w:hAnsi="Times New Roman"/>
                      <w:color w:val="auto"/>
                      <w:szCs w:val="21"/>
                      <w:highlight w:val="none"/>
                    </w:rPr>
                    <w:t>燃煤锅炉</w:t>
                  </w:r>
                  <w:r>
                    <w:rPr>
                      <w:rFonts w:hint="eastAsia" w:ascii="Times New Roman" w:hAnsi="Times New Roman"/>
                      <w:color w:val="auto"/>
                      <w:szCs w:val="21"/>
                      <w:highlight w:val="none"/>
                    </w:rPr>
                    <w:t>（</w:t>
                  </w:r>
                  <w:r>
                    <w:rPr>
                      <w:rFonts w:hint="eastAsia" w:ascii="Times New Roman" w:hAnsi="Times New Roman"/>
                      <w:color w:val="auto"/>
                      <w:szCs w:val="21"/>
                      <w:highlight w:val="none"/>
                      <w:lang w:eastAsia="zh-CN"/>
                    </w:rPr>
                    <w:t>备</w:t>
                  </w:r>
                  <w:r>
                    <w:rPr>
                      <w:rFonts w:hint="eastAsia" w:ascii="Times New Roman" w:hAnsi="Times New Roman"/>
                      <w:color w:val="auto"/>
                      <w:szCs w:val="21"/>
                      <w:highlight w:val="none"/>
                    </w:rPr>
                    <w:t>用）</w:t>
                  </w:r>
                  <w:r>
                    <w:rPr>
                      <w:rFonts w:hint="eastAsia"/>
                      <w:color w:val="auto"/>
                      <w:szCs w:val="21"/>
                      <w:highlight w:val="none"/>
                      <w:lang w:eastAsia="zh-CN"/>
                    </w:rPr>
                    <w:t>，</w:t>
                  </w:r>
                  <w:r>
                    <w:rPr>
                      <w:rFonts w:hint="eastAsia" w:ascii="Times New Roman" w:hAnsi="Times New Roman"/>
                      <w:color w:val="auto"/>
                      <w:szCs w:val="21"/>
                      <w:highlight w:val="none"/>
                      <w:lang w:val="en-US" w:eastAsia="zh-CN"/>
                    </w:rPr>
                    <w:t>烟囱</w:t>
                  </w:r>
                  <w:r>
                    <w:rPr>
                      <w:rFonts w:hint="eastAsia"/>
                      <w:color w:val="auto"/>
                      <w:szCs w:val="21"/>
                      <w:highlight w:val="none"/>
                      <w:lang w:val="en-US" w:eastAsia="zh-CN"/>
                    </w:rPr>
                    <w:t>高度为</w:t>
                  </w:r>
                  <w:r>
                    <w:rPr>
                      <w:rFonts w:hint="eastAsia" w:ascii="Times New Roman" w:hAnsi="Times New Roman"/>
                      <w:color w:val="auto"/>
                      <w:szCs w:val="21"/>
                      <w:highlight w:val="none"/>
                      <w:lang w:val="en-US" w:eastAsia="zh-CN"/>
                    </w:rPr>
                    <w:t>60米，燃煤量为15000</w:t>
                  </w:r>
                  <w:r>
                    <w:rPr>
                      <w:rFonts w:hint="eastAsia" w:ascii="Times New Roman" w:hAnsi="Times New Roman"/>
                      <w:color w:val="auto"/>
                      <w:szCs w:val="21"/>
                      <w:highlight w:val="none"/>
                    </w:rPr>
                    <w:t>t/</w:t>
                  </w:r>
                  <w:r>
                    <w:rPr>
                      <w:rFonts w:hint="eastAsia"/>
                      <w:color w:val="auto"/>
                      <w:szCs w:val="21"/>
                      <w:highlight w:val="none"/>
                      <w:lang w:val="en-US" w:eastAsia="zh-CN"/>
                    </w:rPr>
                    <w:t>a，设置自动监测系统</w:t>
                  </w:r>
                </w:p>
              </w:tc>
              <w:tc>
                <w:tcPr>
                  <w:tcW w:w="1480" w:type="dxa"/>
                  <w:tcBorders>
                    <w:bottom w:val="single" w:color="auto" w:sz="4" w:space="0"/>
                  </w:tcBorders>
                  <w:vAlign w:val="center"/>
                </w:tcPr>
                <w:p>
                  <w:pPr>
                    <w:jc w:val="center"/>
                    <w:rPr>
                      <w:rFonts w:hint="default" w:hAnsi="宋体" w:eastAsia="宋体"/>
                      <w:color w:val="auto"/>
                      <w:szCs w:val="21"/>
                      <w:highlight w:val="none"/>
                      <w:lang w:val="en-US" w:eastAsia="zh-CN"/>
                    </w:rPr>
                  </w:pPr>
                  <w:r>
                    <w:rPr>
                      <w:rFonts w:hint="eastAsia" w:hAnsi="宋体"/>
                      <w:color w:val="auto"/>
                      <w:szCs w:val="21"/>
                      <w:highlight w:val="none"/>
                      <w:lang w:eastAsia="zh-CN"/>
                    </w:rPr>
                    <w:t>依托原有锅炉房、锅炉及烟囱，新增</w:t>
                  </w:r>
                  <w:r>
                    <w:rPr>
                      <w:rFonts w:hint="eastAsia" w:hAnsi="宋体"/>
                      <w:color w:val="auto"/>
                      <w:szCs w:val="21"/>
                      <w:highlight w:val="none"/>
                      <w:lang w:val="en-US" w:eastAsia="zh-CN"/>
                    </w:rPr>
                    <w:t>3台布袋除尘器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657" w:type="dxa"/>
                  <w:vMerge w:val="continue"/>
                  <w:tcBorders>
                    <w:right w:val="single" w:color="auto" w:sz="4" w:space="0"/>
                  </w:tcBorders>
                  <w:vAlign w:val="center"/>
                </w:tcPr>
                <w:p>
                  <w:pPr>
                    <w:jc w:val="center"/>
                    <w:rPr>
                      <w:color w:val="auto"/>
                      <w:szCs w:val="21"/>
                      <w:highlight w:val="none"/>
                    </w:rPr>
                  </w:pPr>
                </w:p>
              </w:tc>
              <w:tc>
                <w:tcPr>
                  <w:tcW w:w="1574" w:type="dxa"/>
                  <w:gridSpan w:val="2"/>
                  <w:tcBorders>
                    <w:left w:val="single" w:color="auto" w:sz="4" w:space="0"/>
                  </w:tcBorders>
                  <w:vAlign w:val="center"/>
                </w:tcPr>
                <w:p>
                  <w:pPr>
                    <w:jc w:val="center"/>
                    <w:rPr>
                      <w:rFonts w:hint="eastAsia" w:hAnsi="宋体"/>
                      <w:color w:val="auto"/>
                      <w:szCs w:val="21"/>
                      <w:highlight w:val="none"/>
                      <w:lang w:eastAsia="zh-CN"/>
                    </w:rPr>
                  </w:pPr>
                  <w:r>
                    <w:rPr>
                      <w:rFonts w:hAnsi="宋体"/>
                      <w:color w:val="auto"/>
                      <w:sz w:val="21"/>
                      <w:szCs w:val="21"/>
                      <w:highlight w:val="none"/>
                    </w:rPr>
                    <w:t>脱硫系统</w:t>
                  </w:r>
                </w:p>
              </w:tc>
              <w:tc>
                <w:tcPr>
                  <w:tcW w:w="4794" w:type="dxa"/>
                  <w:vAlign w:val="center"/>
                </w:tcPr>
                <w:p>
                  <w:pPr>
                    <w:spacing w:line="360" w:lineRule="exact"/>
                    <w:jc w:val="center"/>
                    <w:rPr>
                      <w:rFonts w:hint="eastAsia"/>
                      <w:color w:val="auto"/>
                      <w:highlight w:val="none"/>
                      <w:lang w:val="en-US" w:eastAsia="zh-CN"/>
                    </w:rPr>
                  </w:pPr>
                  <w:r>
                    <w:rPr>
                      <w:color w:val="auto"/>
                      <w:sz w:val="21"/>
                      <w:szCs w:val="21"/>
                      <w:highlight w:val="none"/>
                    </w:rPr>
                    <w:t>1</w:t>
                  </w:r>
                  <w:r>
                    <w:rPr>
                      <w:rFonts w:hAnsi="宋体"/>
                      <w:color w:val="auto"/>
                      <w:sz w:val="21"/>
                      <w:szCs w:val="21"/>
                      <w:highlight w:val="none"/>
                    </w:rPr>
                    <w:t>座脱硫塔</w:t>
                  </w:r>
                  <w:r>
                    <w:rPr>
                      <w:rFonts w:hint="eastAsia" w:hAnsi="宋体"/>
                      <w:color w:val="auto"/>
                      <w:sz w:val="21"/>
                      <w:szCs w:val="21"/>
                      <w:highlight w:val="none"/>
                      <w:lang w:eastAsia="zh-CN"/>
                    </w:rPr>
                    <w:t>（三炉一塔配置）</w:t>
                  </w:r>
                  <w:r>
                    <w:rPr>
                      <w:rFonts w:hAnsi="宋体"/>
                      <w:color w:val="auto"/>
                      <w:sz w:val="21"/>
                      <w:szCs w:val="21"/>
                      <w:highlight w:val="none"/>
                    </w:rPr>
                    <w:t>，采用氧化</w:t>
                  </w:r>
                  <w:r>
                    <w:rPr>
                      <w:rFonts w:hint="eastAsia" w:hAnsi="宋体"/>
                      <w:color w:val="auto"/>
                      <w:sz w:val="21"/>
                      <w:szCs w:val="21"/>
                      <w:highlight w:val="none"/>
                      <w:lang w:eastAsia="zh-CN"/>
                    </w:rPr>
                    <w:t>镁</w:t>
                  </w:r>
                  <w:r>
                    <w:rPr>
                      <w:rFonts w:hAnsi="宋体"/>
                      <w:color w:val="auto"/>
                      <w:sz w:val="21"/>
                      <w:szCs w:val="21"/>
                      <w:highlight w:val="none"/>
                    </w:rPr>
                    <w:t>法脱硫工艺，</w:t>
                  </w:r>
                  <w:r>
                    <w:rPr>
                      <w:rFonts w:hint="eastAsia" w:hAnsi="宋体"/>
                      <w:color w:val="auto"/>
                      <w:sz w:val="21"/>
                      <w:szCs w:val="21"/>
                      <w:highlight w:val="none"/>
                      <w:lang w:eastAsia="zh-CN"/>
                    </w:rPr>
                    <w:t>脱硫效率</w:t>
                  </w:r>
                  <w:r>
                    <w:rPr>
                      <w:rFonts w:hAnsi="宋体"/>
                      <w:color w:val="auto"/>
                      <w:sz w:val="21"/>
                      <w:szCs w:val="21"/>
                      <w:highlight w:val="none"/>
                    </w:rPr>
                    <w:t>为</w:t>
                  </w:r>
                  <w:r>
                    <w:rPr>
                      <w:rFonts w:hint="eastAsia"/>
                      <w:color w:val="auto"/>
                      <w:sz w:val="21"/>
                      <w:szCs w:val="21"/>
                      <w:highlight w:val="none"/>
                      <w:lang w:val="en-US" w:eastAsia="zh-CN"/>
                    </w:rPr>
                    <w:t>8</w:t>
                  </w:r>
                  <w:r>
                    <w:rPr>
                      <w:color w:val="auto"/>
                      <w:sz w:val="21"/>
                      <w:szCs w:val="21"/>
                      <w:highlight w:val="none"/>
                    </w:rPr>
                    <w:t>0%</w:t>
                  </w:r>
                </w:p>
              </w:tc>
              <w:tc>
                <w:tcPr>
                  <w:tcW w:w="1480" w:type="dxa"/>
                  <w:vAlign w:val="center"/>
                </w:tcPr>
                <w:p>
                  <w:pPr>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657" w:type="dxa"/>
                  <w:vMerge w:val="continue"/>
                  <w:tcBorders>
                    <w:right w:val="single" w:color="auto" w:sz="4" w:space="0"/>
                  </w:tcBorders>
                  <w:vAlign w:val="center"/>
                </w:tcPr>
                <w:p>
                  <w:pPr>
                    <w:jc w:val="center"/>
                    <w:rPr>
                      <w:color w:val="auto"/>
                      <w:szCs w:val="21"/>
                      <w:highlight w:val="none"/>
                    </w:rPr>
                  </w:pPr>
                </w:p>
              </w:tc>
              <w:tc>
                <w:tcPr>
                  <w:tcW w:w="1574" w:type="dxa"/>
                  <w:gridSpan w:val="2"/>
                  <w:tcBorders>
                    <w:left w:val="single" w:color="auto" w:sz="4" w:space="0"/>
                  </w:tcBorders>
                  <w:vAlign w:val="center"/>
                </w:tcPr>
                <w:p>
                  <w:pPr>
                    <w:jc w:val="center"/>
                    <w:rPr>
                      <w:rFonts w:hint="eastAsia" w:hAnsi="宋体"/>
                      <w:color w:val="auto"/>
                      <w:szCs w:val="21"/>
                      <w:highlight w:val="none"/>
                      <w:lang w:eastAsia="zh-CN"/>
                    </w:rPr>
                  </w:pPr>
                  <w:r>
                    <w:rPr>
                      <w:rFonts w:hAnsi="宋体"/>
                      <w:color w:val="auto"/>
                      <w:sz w:val="21"/>
                      <w:szCs w:val="21"/>
                      <w:highlight w:val="none"/>
                    </w:rPr>
                    <w:t>脱硝系统</w:t>
                  </w:r>
                </w:p>
              </w:tc>
              <w:tc>
                <w:tcPr>
                  <w:tcW w:w="4794" w:type="dxa"/>
                  <w:vAlign w:val="center"/>
                </w:tcPr>
                <w:p>
                  <w:pPr>
                    <w:autoSpaceDE w:val="0"/>
                    <w:autoSpaceDN w:val="0"/>
                    <w:adjustRightInd w:val="0"/>
                    <w:jc w:val="center"/>
                    <w:rPr>
                      <w:rFonts w:hint="eastAsia"/>
                      <w:color w:val="auto"/>
                      <w:highlight w:val="none"/>
                      <w:lang w:val="en-US" w:eastAsia="zh-CN"/>
                    </w:rPr>
                  </w:pPr>
                  <w:r>
                    <w:rPr>
                      <w:rFonts w:hAnsi="宋体"/>
                      <w:color w:val="auto"/>
                      <w:sz w:val="21"/>
                      <w:szCs w:val="21"/>
                      <w:highlight w:val="none"/>
                    </w:rPr>
                    <w:t>采用</w:t>
                  </w:r>
                  <w:r>
                    <w:rPr>
                      <w:color w:val="auto"/>
                      <w:sz w:val="21"/>
                      <w:szCs w:val="21"/>
                      <w:highlight w:val="none"/>
                    </w:rPr>
                    <w:t>SNCR</w:t>
                  </w:r>
                  <w:r>
                    <w:rPr>
                      <w:rFonts w:hAnsi="宋体"/>
                      <w:color w:val="auto"/>
                      <w:sz w:val="21"/>
                      <w:szCs w:val="21"/>
                      <w:highlight w:val="none"/>
                    </w:rPr>
                    <w:t>技术脱硝</w:t>
                  </w:r>
                  <w:r>
                    <w:rPr>
                      <w:rFonts w:hint="eastAsia" w:hAnsi="宋体"/>
                      <w:color w:val="FF0000"/>
                      <w:sz w:val="21"/>
                      <w:szCs w:val="21"/>
                      <w:highlight w:val="none"/>
                      <w:lang w:eastAsia="zh-CN"/>
                    </w:rPr>
                    <w:t>（尿素脱硝）</w:t>
                  </w:r>
                  <w:r>
                    <w:rPr>
                      <w:rFonts w:hAnsi="宋体"/>
                      <w:color w:val="FF0000"/>
                      <w:sz w:val="21"/>
                      <w:szCs w:val="21"/>
                      <w:highlight w:val="none"/>
                    </w:rPr>
                    <w:t>，</w:t>
                  </w:r>
                  <w:r>
                    <w:rPr>
                      <w:rFonts w:hAnsi="宋体"/>
                      <w:color w:val="auto"/>
                      <w:sz w:val="21"/>
                      <w:szCs w:val="21"/>
                      <w:highlight w:val="none"/>
                    </w:rPr>
                    <w:t>脱硝效率</w:t>
                  </w:r>
                  <w:r>
                    <w:rPr>
                      <w:rFonts w:hint="eastAsia"/>
                      <w:color w:val="auto"/>
                      <w:sz w:val="21"/>
                      <w:szCs w:val="21"/>
                      <w:highlight w:val="none"/>
                      <w:lang w:val="en-US" w:eastAsia="zh-CN"/>
                    </w:rPr>
                    <w:t>5</w:t>
                  </w:r>
                  <w:r>
                    <w:rPr>
                      <w:color w:val="auto"/>
                      <w:sz w:val="21"/>
                      <w:szCs w:val="21"/>
                      <w:highlight w:val="none"/>
                    </w:rPr>
                    <w:t>0%</w:t>
                  </w:r>
                </w:p>
              </w:tc>
              <w:tc>
                <w:tcPr>
                  <w:tcW w:w="1480" w:type="dxa"/>
                  <w:vAlign w:val="center"/>
                </w:tcPr>
                <w:p>
                  <w:pPr>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657" w:type="dxa"/>
                  <w:vMerge w:val="continue"/>
                  <w:tcBorders>
                    <w:right w:val="single" w:color="auto" w:sz="4" w:space="0"/>
                  </w:tcBorders>
                  <w:vAlign w:val="center"/>
                </w:tcPr>
                <w:p>
                  <w:pPr>
                    <w:jc w:val="center"/>
                    <w:rPr>
                      <w:color w:val="auto"/>
                      <w:szCs w:val="21"/>
                      <w:highlight w:val="none"/>
                    </w:rPr>
                  </w:pPr>
                </w:p>
              </w:tc>
              <w:tc>
                <w:tcPr>
                  <w:tcW w:w="1574" w:type="dxa"/>
                  <w:gridSpan w:val="2"/>
                  <w:tcBorders>
                    <w:left w:val="single" w:color="auto" w:sz="4" w:space="0"/>
                  </w:tcBorders>
                  <w:vAlign w:val="center"/>
                </w:tcPr>
                <w:p>
                  <w:pPr>
                    <w:jc w:val="center"/>
                    <w:rPr>
                      <w:color w:val="auto"/>
                      <w:szCs w:val="21"/>
                      <w:highlight w:val="none"/>
                    </w:rPr>
                  </w:pPr>
                  <w:r>
                    <w:rPr>
                      <w:rFonts w:hAnsi="宋体"/>
                      <w:color w:val="auto"/>
                      <w:szCs w:val="21"/>
                      <w:highlight w:val="none"/>
                    </w:rPr>
                    <w:t>除尘系统</w:t>
                  </w:r>
                </w:p>
              </w:tc>
              <w:tc>
                <w:tcPr>
                  <w:tcW w:w="4794" w:type="dxa"/>
                  <w:vAlign w:val="center"/>
                </w:tcPr>
                <w:p>
                  <w:pPr>
                    <w:jc w:val="center"/>
                    <w:rPr>
                      <w:rFonts w:hint="eastAsia" w:eastAsia="宋体"/>
                      <w:color w:val="auto"/>
                      <w:szCs w:val="21"/>
                      <w:highlight w:val="none"/>
                      <w:lang w:eastAsia="zh-CN"/>
                    </w:rPr>
                  </w:pPr>
                  <w:r>
                    <w:rPr>
                      <w:rFonts w:hint="eastAsia" w:hAnsi="宋体"/>
                      <w:color w:val="auto"/>
                      <w:szCs w:val="21"/>
                      <w:highlight w:val="none"/>
                      <w:lang w:val="en-US" w:eastAsia="zh-CN"/>
                    </w:rPr>
                    <w:t>2台14MW的燃煤热水锅炉（在用）均采用</w:t>
                  </w:r>
                  <w:r>
                    <w:rPr>
                      <w:rFonts w:hint="eastAsia" w:hAnsi="宋体"/>
                      <w:color w:val="auto"/>
                      <w:szCs w:val="21"/>
                      <w:highlight w:val="none"/>
                      <w:lang w:eastAsia="zh-CN"/>
                    </w:rPr>
                    <w:t>干式</w:t>
                  </w:r>
                  <w:r>
                    <w:rPr>
                      <w:rFonts w:hint="eastAsia" w:hAnsi="宋体"/>
                      <w:color w:val="auto"/>
                      <w:szCs w:val="21"/>
                      <w:highlight w:val="none"/>
                      <w:lang w:val="en-US" w:eastAsia="zh-CN"/>
                    </w:rPr>
                    <w:t>除尘器+布袋除尘器，1台28MW的燃煤热水锅炉（备用）采用湿式除尘器+布袋除尘器</w:t>
                  </w:r>
                  <w:r>
                    <w:rPr>
                      <w:rFonts w:hint="eastAsia" w:hAnsi="宋体"/>
                      <w:color w:val="auto"/>
                      <w:szCs w:val="21"/>
                      <w:highlight w:val="none"/>
                    </w:rPr>
                    <w:t>，</w:t>
                  </w:r>
                  <w:r>
                    <w:rPr>
                      <w:rFonts w:hint="eastAsia" w:hAnsi="宋体"/>
                      <w:color w:val="auto"/>
                      <w:szCs w:val="21"/>
                      <w:highlight w:val="none"/>
                      <w:lang w:eastAsia="zh-CN"/>
                    </w:rPr>
                    <w:t>每</w:t>
                  </w:r>
                  <w:r>
                    <w:rPr>
                      <w:rFonts w:hAnsi="宋体"/>
                      <w:color w:val="auto"/>
                      <w:szCs w:val="21"/>
                      <w:highlight w:val="none"/>
                    </w:rPr>
                    <w:t>台</w:t>
                  </w:r>
                  <w:r>
                    <w:rPr>
                      <w:rFonts w:hint="eastAsia" w:hAnsi="宋体"/>
                      <w:color w:val="auto"/>
                      <w:szCs w:val="21"/>
                      <w:highlight w:val="none"/>
                    </w:rPr>
                    <w:t>锅</w:t>
                  </w:r>
                  <w:r>
                    <w:rPr>
                      <w:rFonts w:hAnsi="宋体"/>
                      <w:color w:val="auto"/>
                      <w:szCs w:val="21"/>
                      <w:highlight w:val="none"/>
                    </w:rPr>
                    <w:t>炉各配备</w:t>
                  </w:r>
                  <w:r>
                    <w:rPr>
                      <w:color w:val="auto"/>
                      <w:szCs w:val="21"/>
                      <w:highlight w:val="none"/>
                    </w:rPr>
                    <w:t>1</w:t>
                  </w:r>
                  <w:r>
                    <w:rPr>
                      <w:rFonts w:hAnsi="宋体"/>
                      <w:color w:val="auto"/>
                      <w:szCs w:val="21"/>
                      <w:highlight w:val="none"/>
                    </w:rPr>
                    <w:t>套除尘器</w:t>
                  </w:r>
                </w:p>
              </w:tc>
              <w:tc>
                <w:tcPr>
                  <w:tcW w:w="1480" w:type="dxa"/>
                  <w:vAlign w:val="center"/>
                </w:tcPr>
                <w:p>
                  <w:pPr>
                    <w:jc w:val="center"/>
                    <w:rPr>
                      <w:rFonts w:hint="eastAsia" w:eastAsia="宋体"/>
                      <w:color w:val="auto"/>
                      <w:szCs w:val="21"/>
                      <w:highlight w:val="none"/>
                      <w:lang w:eastAsia="zh-CN"/>
                    </w:rPr>
                  </w:pPr>
                  <w:r>
                    <w:rPr>
                      <w:rFonts w:hint="eastAsia" w:hAnsi="宋体"/>
                      <w:color w:val="auto"/>
                      <w:szCs w:val="21"/>
                      <w:highlight w:val="none"/>
                      <w:lang w:eastAsia="zh-CN"/>
                    </w:rPr>
                    <w:t>依托原有除尘设施，新增</w:t>
                  </w:r>
                  <w:r>
                    <w:rPr>
                      <w:rFonts w:hint="eastAsia" w:hAnsi="宋体"/>
                      <w:color w:val="auto"/>
                      <w:szCs w:val="21"/>
                      <w:highlight w:val="none"/>
                      <w:lang w:val="en-US" w:eastAsia="zh-CN"/>
                    </w:rPr>
                    <w:t>3台布袋除尘器</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657" w:type="dxa"/>
                  <w:vMerge w:val="continue"/>
                  <w:tcBorders>
                    <w:right w:val="single" w:color="auto" w:sz="4" w:space="0"/>
                  </w:tcBorders>
                  <w:vAlign w:val="center"/>
                </w:tcPr>
                <w:p>
                  <w:pPr>
                    <w:jc w:val="center"/>
                    <w:rPr>
                      <w:color w:val="auto"/>
                      <w:szCs w:val="21"/>
                      <w:highlight w:val="none"/>
                    </w:rPr>
                  </w:pPr>
                </w:p>
              </w:tc>
              <w:tc>
                <w:tcPr>
                  <w:tcW w:w="1574" w:type="dxa"/>
                  <w:gridSpan w:val="2"/>
                  <w:tcBorders>
                    <w:left w:val="single" w:color="auto" w:sz="4" w:space="0"/>
                  </w:tcBorders>
                  <w:vAlign w:val="center"/>
                </w:tcPr>
                <w:p>
                  <w:pPr>
                    <w:jc w:val="center"/>
                    <w:rPr>
                      <w:rFonts w:hAnsi="宋体"/>
                      <w:color w:val="auto"/>
                      <w:szCs w:val="21"/>
                      <w:highlight w:val="none"/>
                    </w:rPr>
                  </w:pPr>
                  <w:r>
                    <w:rPr>
                      <w:rFonts w:hint="eastAsia" w:hAnsi="宋体"/>
                      <w:color w:val="auto"/>
                      <w:szCs w:val="21"/>
                      <w:highlight w:val="none"/>
                      <w:lang w:eastAsia="zh-CN"/>
                    </w:rPr>
                    <w:t>脱硫脱硝设施用房</w:t>
                  </w:r>
                </w:p>
              </w:tc>
              <w:tc>
                <w:tcPr>
                  <w:tcW w:w="4794" w:type="dxa"/>
                  <w:vAlign w:val="center"/>
                </w:tcPr>
                <w:p>
                  <w:pPr>
                    <w:jc w:val="center"/>
                    <w:rPr>
                      <w:rFonts w:hint="default" w:hAnsi="宋体"/>
                      <w:color w:val="auto"/>
                      <w:szCs w:val="21"/>
                      <w:highlight w:val="none"/>
                      <w:lang w:val="en-US" w:eastAsia="zh-CN"/>
                    </w:rPr>
                  </w:pPr>
                  <w:r>
                    <w:rPr>
                      <w:rFonts w:hint="eastAsia"/>
                      <w:color w:val="auto"/>
                      <w:highlight w:val="none"/>
                      <w:lang w:val="en-US" w:eastAsia="zh-CN"/>
                    </w:rPr>
                    <w:t>1层砖混结构，建筑面积为</w:t>
                  </w:r>
                  <w:r>
                    <w:rPr>
                      <w:rFonts w:hint="eastAsia"/>
                      <w:color w:val="auto"/>
                      <w:highlight w:val="none"/>
                      <w:lang w:val="zh-CN"/>
                    </w:rPr>
                    <w:t>1487.27</w:t>
                  </w:r>
                  <w:r>
                    <w:rPr>
                      <w:rFonts w:hint="eastAsia"/>
                      <w:color w:val="auto"/>
                      <w:highlight w:val="none"/>
                      <w:lang w:val="en-US" w:eastAsia="zh-CN"/>
                    </w:rPr>
                    <w:t>m</w:t>
                  </w:r>
                  <w:r>
                    <w:rPr>
                      <w:rFonts w:hint="eastAsia"/>
                      <w:color w:val="auto"/>
                      <w:highlight w:val="none"/>
                      <w:vertAlign w:val="superscript"/>
                      <w:lang w:val="en-US" w:eastAsia="zh-CN"/>
                    </w:rPr>
                    <w:t>2</w:t>
                  </w:r>
                  <w:r>
                    <w:rPr>
                      <w:rFonts w:hint="eastAsia"/>
                      <w:color w:val="auto"/>
                      <w:highlight w:val="none"/>
                      <w:vertAlign w:val="baseline"/>
                      <w:lang w:val="en-US" w:eastAsia="zh-CN"/>
                    </w:rPr>
                    <w:t>，</w:t>
                  </w:r>
                  <w:r>
                    <w:rPr>
                      <w:rFonts w:hAnsi="宋体"/>
                      <w:color w:val="auto"/>
                      <w:szCs w:val="21"/>
                      <w:highlight w:val="none"/>
                    </w:rPr>
                    <w:t>储存氧化镁及尿素，氧化镁最大储存量为</w:t>
                  </w:r>
                  <w:r>
                    <w:rPr>
                      <w:rFonts w:hint="eastAsia"/>
                      <w:color w:val="auto"/>
                      <w:szCs w:val="21"/>
                      <w:highlight w:val="none"/>
                      <w:lang w:val="en-US" w:eastAsia="zh-CN"/>
                    </w:rPr>
                    <w:t>200</w:t>
                  </w:r>
                  <w:r>
                    <w:rPr>
                      <w:color w:val="auto"/>
                      <w:szCs w:val="21"/>
                      <w:highlight w:val="none"/>
                    </w:rPr>
                    <w:t>t</w:t>
                  </w:r>
                  <w:r>
                    <w:rPr>
                      <w:rFonts w:hAnsi="宋体"/>
                      <w:color w:val="auto"/>
                      <w:szCs w:val="21"/>
                      <w:highlight w:val="none"/>
                    </w:rPr>
                    <w:t>，尿素最大储存量为</w:t>
                  </w:r>
                  <w:r>
                    <w:rPr>
                      <w:rFonts w:hint="eastAsia"/>
                      <w:color w:val="auto"/>
                      <w:szCs w:val="21"/>
                      <w:highlight w:val="none"/>
                      <w:lang w:val="en-US" w:eastAsia="zh-CN"/>
                    </w:rPr>
                    <w:t>15</w:t>
                  </w:r>
                  <w:r>
                    <w:rPr>
                      <w:color w:val="auto"/>
                      <w:szCs w:val="21"/>
                      <w:highlight w:val="none"/>
                    </w:rPr>
                    <w:t>0t</w:t>
                  </w:r>
                  <w:r>
                    <w:rPr>
                      <w:rFonts w:hAnsi="宋体"/>
                      <w:color w:val="auto"/>
                      <w:szCs w:val="21"/>
                      <w:highlight w:val="none"/>
                    </w:rPr>
                    <w:t>，均为袋装储存</w:t>
                  </w:r>
                  <w:r>
                    <w:rPr>
                      <w:rFonts w:hint="eastAsia" w:hAnsi="宋体"/>
                      <w:color w:val="auto"/>
                      <w:szCs w:val="21"/>
                      <w:highlight w:val="none"/>
                      <w:lang w:eastAsia="zh-CN"/>
                    </w:rPr>
                    <w:t>，</w:t>
                  </w:r>
                  <w:r>
                    <w:rPr>
                      <w:rFonts w:hint="eastAsia"/>
                      <w:color w:val="FF0000"/>
                      <w:sz w:val="21"/>
                      <w:szCs w:val="21"/>
                      <w:highlight w:val="none"/>
                      <w:lang w:val="en-US" w:eastAsia="zh-CN"/>
                    </w:rPr>
                    <w:t>1个60m</w:t>
                  </w:r>
                  <w:r>
                    <w:rPr>
                      <w:rFonts w:hint="eastAsia"/>
                      <w:color w:val="FF0000"/>
                      <w:sz w:val="21"/>
                      <w:szCs w:val="21"/>
                      <w:highlight w:val="none"/>
                      <w:vertAlign w:val="superscript"/>
                      <w:lang w:val="en-US" w:eastAsia="zh-CN"/>
                    </w:rPr>
                    <w:t>3</w:t>
                  </w:r>
                  <w:r>
                    <w:rPr>
                      <w:rFonts w:hint="eastAsia"/>
                      <w:color w:val="FF0000"/>
                      <w:sz w:val="21"/>
                      <w:szCs w:val="21"/>
                      <w:highlight w:val="none"/>
                      <w:lang w:val="en-US" w:eastAsia="zh-CN"/>
                    </w:rPr>
                    <w:t>的</w:t>
                  </w:r>
                  <w:r>
                    <w:rPr>
                      <w:rFonts w:hint="eastAsia"/>
                      <w:color w:val="FF0000"/>
                      <w:sz w:val="21"/>
                      <w:szCs w:val="21"/>
                      <w:highlight w:val="none"/>
                      <w:lang w:eastAsia="zh-CN"/>
                    </w:rPr>
                    <w:t>尿素储罐、</w:t>
                  </w:r>
                  <w:r>
                    <w:rPr>
                      <w:rFonts w:hint="eastAsia"/>
                      <w:color w:val="FF0000"/>
                      <w:sz w:val="21"/>
                      <w:szCs w:val="21"/>
                      <w:highlight w:val="none"/>
                      <w:lang w:val="en-US" w:eastAsia="zh-CN"/>
                    </w:rPr>
                    <w:t>1个20m</w:t>
                  </w:r>
                  <w:r>
                    <w:rPr>
                      <w:rFonts w:hint="eastAsia"/>
                      <w:color w:val="FF0000"/>
                      <w:sz w:val="21"/>
                      <w:szCs w:val="21"/>
                      <w:highlight w:val="none"/>
                      <w:vertAlign w:val="superscript"/>
                      <w:lang w:val="en-US" w:eastAsia="zh-CN"/>
                    </w:rPr>
                    <w:t>3</w:t>
                  </w:r>
                  <w:r>
                    <w:rPr>
                      <w:rFonts w:hint="eastAsia"/>
                      <w:color w:val="FF0000"/>
                      <w:sz w:val="21"/>
                      <w:szCs w:val="21"/>
                      <w:highlight w:val="none"/>
                      <w:lang w:val="en-US" w:eastAsia="zh-CN"/>
                    </w:rPr>
                    <w:t>的氧化镁溶解罐</w:t>
                  </w:r>
                </w:p>
              </w:tc>
              <w:tc>
                <w:tcPr>
                  <w:tcW w:w="1480" w:type="dxa"/>
                  <w:vAlign w:val="center"/>
                </w:tcPr>
                <w:p>
                  <w:pPr>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657" w:type="dxa"/>
                  <w:vMerge w:val="continue"/>
                  <w:tcBorders>
                    <w:right w:val="single" w:color="auto" w:sz="4" w:space="0"/>
                  </w:tcBorders>
                  <w:vAlign w:val="center"/>
                </w:tcPr>
                <w:p>
                  <w:pPr>
                    <w:jc w:val="center"/>
                    <w:rPr>
                      <w:color w:val="auto"/>
                      <w:szCs w:val="21"/>
                      <w:highlight w:val="none"/>
                    </w:rPr>
                  </w:pPr>
                </w:p>
              </w:tc>
              <w:tc>
                <w:tcPr>
                  <w:tcW w:w="1574" w:type="dxa"/>
                  <w:gridSpan w:val="2"/>
                  <w:tcBorders>
                    <w:left w:val="single" w:color="auto" w:sz="4" w:space="0"/>
                  </w:tcBorders>
                  <w:vAlign w:val="center"/>
                </w:tcPr>
                <w:p>
                  <w:pPr>
                    <w:jc w:val="center"/>
                    <w:rPr>
                      <w:rFonts w:hint="eastAsia" w:hAnsi="宋体"/>
                      <w:color w:val="auto"/>
                      <w:szCs w:val="21"/>
                      <w:highlight w:val="none"/>
                      <w:lang w:eastAsia="zh-CN"/>
                    </w:rPr>
                  </w:pPr>
                  <w:r>
                    <w:rPr>
                      <w:rFonts w:hint="eastAsia"/>
                      <w:color w:val="auto"/>
                      <w:szCs w:val="21"/>
                      <w:highlight w:val="none"/>
                      <w:lang w:val="en-US" w:eastAsia="zh-CN"/>
                    </w:rPr>
                    <w:t>灰渣场</w:t>
                  </w:r>
                </w:p>
              </w:tc>
              <w:tc>
                <w:tcPr>
                  <w:tcW w:w="4794" w:type="dxa"/>
                  <w:vAlign w:val="center"/>
                </w:tcPr>
                <w:p>
                  <w:pPr>
                    <w:jc w:val="center"/>
                    <w:rPr>
                      <w:rFonts w:hint="eastAsia"/>
                      <w:color w:val="auto"/>
                      <w:highlight w:val="none"/>
                      <w:lang w:val="en-US" w:eastAsia="zh-CN"/>
                    </w:rPr>
                  </w:pPr>
                  <w:r>
                    <w:rPr>
                      <w:rFonts w:hint="eastAsia"/>
                      <w:color w:val="auto"/>
                      <w:szCs w:val="21"/>
                      <w:highlight w:val="none"/>
                      <w:lang w:eastAsia="zh-CN"/>
                    </w:rPr>
                    <w:t>占地</w:t>
                  </w:r>
                  <w:r>
                    <w:rPr>
                      <w:color w:val="auto"/>
                      <w:szCs w:val="21"/>
                      <w:highlight w:val="none"/>
                    </w:rPr>
                    <w:t>面积</w:t>
                  </w:r>
                  <w:r>
                    <w:rPr>
                      <w:rFonts w:hint="eastAsia"/>
                      <w:color w:val="auto"/>
                      <w:szCs w:val="21"/>
                      <w:highlight w:val="none"/>
                      <w:lang w:eastAsia="zh-CN"/>
                    </w:rPr>
                    <w:t>为</w:t>
                  </w:r>
                  <w:r>
                    <w:rPr>
                      <w:rFonts w:hint="eastAsia"/>
                      <w:color w:val="auto"/>
                      <w:szCs w:val="21"/>
                      <w:highlight w:val="none"/>
                      <w:lang w:val="en-US" w:eastAsia="zh-CN"/>
                    </w:rPr>
                    <w:t>610</w:t>
                  </w:r>
                  <w:r>
                    <w:rPr>
                      <w:color w:val="auto"/>
                      <w:szCs w:val="21"/>
                      <w:highlight w:val="none"/>
                    </w:rPr>
                    <w:t>m</w:t>
                  </w:r>
                  <w:r>
                    <w:rPr>
                      <w:color w:val="auto"/>
                      <w:szCs w:val="21"/>
                      <w:highlight w:val="none"/>
                      <w:vertAlign w:val="superscript"/>
                    </w:rPr>
                    <w:t>2</w:t>
                  </w:r>
                  <w:r>
                    <w:rPr>
                      <w:rFonts w:hint="eastAsia"/>
                      <w:color w:val="auto"/>
                      <w:szCs w:val="21"/>
                      <w:highlight w:val="none"/>
                      <w:vertAlign w:val="baseline"/>
                      <w:lang w:eastAsia="zh-CN"/>
                    </w:rPr>
                    <w:t>，</w:t>
                  </w:r>
                  <w:r>
                    <w:rPr>
                      <w:rFonts w:hint="eastAsia"/>
                      <w:color w:val="auto"/>
                      <w:szCs w:val="21"/>
                      <w:highlight w:val="none"/>
                      <w:vertAlign w:val="baseline"/>
                      <w:lang w:val="en-US" w:eastAsia="zh-CN"/>
                    </w:rPr>
                    <w:t>防风抑尘网，苫布遮盖，</w:t>
                  </w:r>
                  <w:r>
                    <w:rPr>
                      <w:rFonts w:hint="eastAsia"/>
                      <w:color w:val="auto"/>
                      <w:szCs w:val="21"/>
                      <w:highlight w:val="none"/>
                      <w:vertAlign w:val="baseline"/>
                      <w:lang w:eastAsia="zh-CN"/>
                    </w:rPr>
                    <w:t>用于储存锅炉灰渣</w:t>
                  </w:r>
                </w:p>
              </w:tc>
              <w:tc>
                <w:tcPr>
                  <w:tcW w:w="1480" w:type="dxa"/>
                  <w:vMerge w:val="restart"/>
                  <w:vAlign w:val="center"/>
                </w:tcPr>
                <w:p>
                  <w:pPr>
                    <w:jc w:val="center"/>
                    <w:rPr>
                      <w:rFonts w:hint="default"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657" w:type="dxa"/>
                  <w:vMerge w:val="continue"/>
                  <w:tcBorders>
                    <w:right w:val="single" w:color="auto" w:sz="4" w:space="0"/>
                  </w:tcBorders>
                  <w:vAlign w:val="center"/>
                </w:tcPr>
                <w:p>
                  <w:pPr>
                    <w:jc w:val="center"/>
                    <w:rPr>
                      <w:color w:val="auto"/>
                      <w:szCs w:val="21"/>
                      <w:highlight w:val="none"/>
                    </w:rPr>
                  </w:pPr>
                </w:p>
              </w:tc>
              <w:tc>
                <w:tcPr>
                  <w:tcW w:w="1574" w:type="dxa"/>
                  <w:gridSpan w:val="2"/>
                  <w:tcBorders>
                    <w:left w:val="single" w:color="auto" w:sz="4" w:space="0"/>
                  </w:tcBorders>
                  <w:vAlign w:val="center"/>
                </w:tcPr>
                <w:p>
                  <w:pPr>
                    <w:jc w:val="center"/>
                    <w:rPr>
                      <w:rFonts w:hint="eastAsia" w:hAnsi="宋体"/>
                      <w:color w:val="auto"/>
                      <w:szCs w:val="21"/>
                      <w:highlight w:val="none"/>
                      <w:lang w:eastAsia="zh-CN"/>
                    </w:rPr>
                  </w:pPr>
                  <w:r>
                    <w:rPr>
                      <w:rFonts w:hint="eastAsia"/>
                      <w:color w:val="auto"/>
                      <w:szCs w:val="21"/>
                      <w:highlight w:val="none"/>
                      <w:lang w:val="en-US" w:eastAsia="zh-CN"/>
                    </w:rPr>
                    <w:t>煤场</w:t>
                  </w:r>
                </w:p>
              </w:tc>
              <w:tc>
                <w:tcPr>
                  <w:tcW w:w="4794" w:type="dxa"/>
                  <w:vAlign w:val="center"/>
                </w:tcPr>
                <w:p>
                  <w:pPr>
                    <w:jc w:val="center"/>
                    <w:rPr>
                      <w:rFonts w:hint="eastAsia"/>
                      <w:color w:val="auto"/>
                      <w:highlight w:val="none"/>
                      <w:lang w:val="en-US" w:eastAsia="zh-CN"/>
                    </w:rPr>
                  </w:pPr>
                  <w:r>
                    <w:rPr>
                      <w:rFonts w:hint="eastAsia"/>
                      <w:color w:val="auto"/>
                      <w:szCs w:val="21"/>
                      <w:highlight w:val="none"/>
                      <w:lang w:eastAsia="zh-CN"/>
                    </w:rPr>
                    <w:t>占地面积</w:t>
                  </w:r>
                  <w:r>
                    <w:rPr>
                      <w:rFonts w:hint="eastAsia"/>
                      <w:color w:val="auto"/>
                      <w:szCs w:val="21"/>
                      <w:highlight w:val="none"/>
                      <w:lang w:val="en-US" w:eastAsia="zh-CN"/>
                    </w:rPr>
                    <w:t>1220m</w:t>
                  </w:r>
                  <w:r>
                    <w:rPr>
                      <w:rFonts w:hint="eastAsia"/>
                      <w:color w:val="auto"/>
                      <w:szCs w:val="21"/>
                      <w:highlight w:val="none"/>
                      <w:vertAlign w:val="superscript"/>
                      <w:lang w:val="en-US" w:eastAsia="zh-CN"/>
                    </w:rPr>
                    <w:t>2</w:t>
                  </w:r>
                  <w:r>
                    <w:rPr>
                      <w:rFonts w:hint="eastAsia"/>
                      <w:color w:val="auto"/>
                      <w:szCs w:val="21"/>
                      <w:highlight w:val="none"/>
                      <w:vertAlign w:val="baseline"/>
                      <w:lang w:val="en-US" w:eastAsia="zh-CN"/>
                    </w:rPr>
                    <w:t>，防风抑尘网，苫布遮盖</w:t>
                  </w:r>
                </w:p>
              </w:tc>
              <w:tc>
                <w:tcPr>
                  <w:tcW w:w="1480" w:type="dxa"/>
                  <w:vMerge w:val="continue"/>
                  <w:vAlign w:val="center"/>
                </w:tcPr>
                <w:p>
                  <w:pPr>
                    <w:jc w:val="center"/>
                    <w:rPr>
                      <w:rFonts w:hint="default" w:ascii="Times New Roman" w:hAnsi="Times New Roman" w:eastAsia="宋体" w:cs="Times New Roman"/>
                      <w:color w:val="auto"/>
                      <w:sz w:val="21"/>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30" w:hRule="atLeast"/>
                <w:jc w:val="center"/>
              </w:trPr>
              <w:tc>
                <w:tcPr>
                  <w:tcW w:w="657" w:type="dxa"/>
                  <w:vMerge w:val="restart"/>
                  <w:tcBorders>
                    <w:top w:val="single" w:color="auto" w:sz="4" w:space="0"/>
                    <w:right w:val="single" w:color="auto" w:sz="4" w:space="0"/>
                  </w:tcBorders>
                  <w:vAlign w:val="center"/>
                </w:tcPr>
                <w:p>
                  <w:pPr>
                    <w:jc w:val="center"/>
                    <w:rPr>
                      <w:color w:val="auto"/>
                      <w:szCs w:val="21"/>
                      <w:highlight w:val="none"/>
                    </w:rPr>
                  </w:pPr>
                  <w:r>
                    <w:rPr>
                      <w:rFonts w:hAnsi="宋体"/>
                      <w:color w:val="auto"/>
                      <w:szCs w:val="21"/>
                      <w:highlight w:val="none"/>
                    </w:rPr>
                    <w:t>辅助工程</w:t>
                  </w:r>
                </w:p>
              </w:tc>
              <w:tc>
                <w:tcPr>
                  <w:tcW w:w="1574" w:type="dxa"/>
                  <w:gridSpan w:val="2"/>
                  <w:tcBorders>
                    <w:left w:val="single" w:color="auto" w:sz="4" w:space="0"/>
                  </w:tcBorders>
                  <w:vAlign w:val="center"/>
                </w:tcPr>
                <w:p>
                  <w:pPr>
                    <w:jc w:val="center"/>
                    <w:rPr>
                      <w:color w:val="auto"/>
                      <w:szCs w:val="21"/>
                      <w:highlight w:val="none"/>
                    </w:rPr>
                  </w:pPr>
                  <w:r>
                    <w:rPr>
                      <w:rFonts w:hAnsi="宋体"/>
                      <w:color w:val="auto"/>
                      <w:szCs w:val="21"/>
                      <w:highlight w:val="none"/>
                    </w:rPr>
                    <w:t>电气系统</w:t>
                  </w:r>
                </w:p>
              </w:tc>
              <w:tc>
                <w:tcPr>
                  <w:tcW w:w="4794" w:type="dxa"/>
                  <w:vAlign w:val="center"/>
                </w:tcPr>
                <w:p>
                  <w:pPr>
                    <w:jc w:val="center"/>
                    <w:rPr>
                      <w:color w:val="auto"/>
                      <w:szCs w:val="21"/>
                      <w:highlight w:val="none"/>
                    </w:rPr>
                  </w:pPr>
                  <w:r>
                    <w:rPr>
                      <w:rFonts w:hint="default" w:ascii="Times New Roman" w:hAnsi="Times New Roman" w:cs="Times New Roman"/>
                      <w:color w:val="auto"/>
                      <w:szCs w:val="28"/>
                      <w:highlight w:val="none"/>
                      <w:lang w:val="zh-CN"/>
                    </w:rPr>
                    <w:t>一台安装箱式变压器</w:t>
                  </w:r>
                  <w:r>
                    <w:rPr>
                      <w:rFonts w:hint="eastAsia" w:cs="Times New Roman"/>
                      <w:color w:val="auto"/>
                      <w:szCs w:val="28"/>
                      <w:highlight w:val="none"/>
                      <w:lang w:val="zh-CN"/>
                    </w:rPr>
                    <w:t>，</w:t>
                  </w:r>
                  <w:r>
                    <w:rPr>
                      <w:rFonts w:hint="default" w:ascii="Times New Roman" w:hAnsi="Times New Roman" w:cs="Times New Roman"/>
                      <w:color w:val="auto"/>
                      <w:szCs w:val="28"/>
                      <w:highlight w:val="none"/>
                      <w:lang w:val="zh-CN"/>
                    </w:rPr>
                    <w:t>容量400KW</w:t>
                  </w:r>
                </w:p>
              </w:tc>
              <w:tc>
                <w:tcPr>
                  <w:tcW w:w="1480" w:type="dxa"/>
                  <w:vMerge w:val="restart"/>
                  <w:vAlign w:val="center"/>
                </w:tcPr>
                <w:p>
                  <w:pPr>
                    <w:jc w:val="center"/>
                    <w:rPr>
                      <w:color w:val="auto"/>
                      <w:szCs w:val="21"/>
                      <w:highlight w:val="none"/>
                    </w:rPr>
                  </w:pPr>
                  <w:r>
                    <w:rPr>
                      <w:rFonts w:hint="eastAsia" w:hAnsi="宋体"/>
                      <w:color w:val="auto"/>
                      <w:szCs w:val="21"/>
                      <w:highlight w:val="none"/>
                      <w:lang w:eastAsia="zh-CN"/>
                    </w:rPr>
                    <w:t>已</w:t>
                  </w:r>
                  <w:r>
                    <w:rPr>
                      <w:rFonts w:hint="eastAsia" w:hAnsi="宋体"/>
                      <w:color w:val="auto"/>
                      <w:szCs w:val="21"/>
                      <w:highlight w:val="none"/>
                    </w:rPr>
                    <w:t>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5" w:hRule="atLeast"/>
                <w:jc w:val="center"/>
              </w:trPr>
              <w:tc>
                <w:tcPr>
                  <w:tcW w:w="657" w:type="dxa"/>
                  <w:vMerge w:val="continue"/>
                  <w:tcBorders>
                    <w:right w:val="single" w:color="auto" w:sz="4" w:space="0"/>
                  </w:tcBorders>
                  <w:vAlign w:val="center"/>
                </w:tcPr>
                <w:p>
                  <w:pPr>
                    <w:jc w:val="center"/>
                    <w:rPr>
                      <w:color w:val="auto"/>
                      <w:szCs w:val="21"/>
                      <w:highlight w:val="none"/>
                    </w:rPr>
                  </w:pPr>
                </w:p>
              </w:tc>
              <w:tc>
                <w:tcPr>
                  <w:tcW w:w="1574" w:type="dxa"/>
                  <w:gridSpan w:val="2"/>
                  <w:tcBorders>
                    <w:left w:val="single" w:color="auto" w:sz="4" w:space="0"/>
                  </w:tcBorders>
                  <w:vAlign w:val="center"/>
                </w:tcPr>
                <w:p>
                  <w:pPr>
                    <w:jc w:val="center"/>
                    <w:rPr>
                      <w:color w:val="auto"/>
                      <w:szCs w:val="21"/>
                      <w:highlight w:val="none"/>
                    </w:rPr>
                  </w:pPr>
                  <w:r>
                    <w:rPr>
                      <w:rFonts w:hAnsi="宋体"/>
                      <w:color w:val="auto"/>
                      <w:szCs w:val="21"/>
                      <w:highlight w:val="none"/>
                    </w:rPr>
                    <w:t>控制系统</w:t>
                  </w:r>
                </w:p>
              </w:tc>
              <w:tc>
                <w:tcPr>
                  <w:tcW w:w="4794" w:type="dxa"/>
                  <w:vAlign w:val="center"/>
                </w:tcPr>
                <w:p>
                  <w:pPr>
                    <w:jc w:val="center"/>
                    <w:rPr>
                      <w:color w:val="auto"/>
                      <w:szCs w:val="21"/>
                      <w:highlight w:val="none"/>
                    </w:rPr>
                  </w:pPr>
                  <w:r>
                    <w:rPr>
                      <w:rFonts w:hAnsi="宋体"/>
                      <w:color w:val="auto"/>
                      <w:szCs w:val="21"/>
                      <w:highlight w:val="none"/>
                    </w:rPr>
                    <w:t>将新增设备相关控制接入控制系统中，控制系统主要设备包括</w:t>
                  </w:r>
                  <w:r>
                    <w:rPr>
                      <w:color w:val="auto"/>
                      <w:szCs w:val="21"/>
                      <w:highlight w:val="none"/>
                    </w:rPr>
                    <w:t>GGD</w:t>
                  </w:r>
                  <w:r>
                    <w:rPr>
                      <w:rFonts w:hAnsi="宋体"/>
                      <w:color w:val="auto"/>
                      <w:szCs w:val="21"/>
                      <w:highlight w:val="none"/>
                    </w:rPr>
                    <w:t>控制柜、</w:t>
                  </w:r>
                  <w:r>
                    <w:rPr>
                      <w:color w:val="auto"/>
                      <w:szCs w:val="21"/>
                      <w:highlight w:val="none"/>
                    </w:rPr>
                    <w:t>PLC</w:t>
                  </w:r>
                  <w:r>
                    <w:rPr>
                      <w:rFonts w:hAnsi="宋体"/>
                      <w:color w:val="auto"/>
                      <w:szCs w:val="21"/>
                      <w:highlight w:val="none"/>
                    </w:rPr>
                    <w:t>柜、组态软件等</w:t>
                  </w:r>
                </w:p>
              </w:tc>
              <w:tc>
                <w:tcPr>
                  <w:tcW w:w="1480" w:type="dxa"/>
                  <w:vMerge w:val="continue"/>
                  <w:vAlign w:val="center"/>
                </w:tcPr>
                <w:p>
                  <w:pPr>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0" w:hRule="atLeast"/>
                <w:jc w:val="center"/>
              </w:trPr>
              <w:tc>
                <w:tcPr>
                  <w:tcW w:w="657" w:type="dxa"/>
                  <w:vMerge w:val="continue"/>
                  <w:tcBorders>
                    <w:right w:val="single" w:color="auto" w:sz="4" w:space="0"/>
                  </w:tcBorders>
                  <w:vAlign w:val="center"/>
                </w:tcPr>
                <w:p>
                  <w:pPr>
                    <w:jc w:val="center"/>
                    <w:rPr>
                      <w:color w:val="auto"/>
                      <w:szCs w:val="21"/>
                      <w:highlight w:val="none"/>
                    </w:rPr>
                  </w:pPr>
                </w:p>
              </w:tc>
              <w:tc>
                <w:tcPr>
                  <w:tcW w:w="1574" w:type="dxa"/>
                  <w:gridSpan w:val="2"/>
                  <w:tcBorders>
                    <w:left w:val="single" w:color="auto" w:sz="4" w:space="0"/>
                  </w:tcBorders>
                  <w:vAlign w:val="center"/>
                </w:tcPr>
                <w:p>
                  <w:pPr>
                    <w:jc w:val="center"/>
                    <w:rPr>
                      <w:rFonts w:hAnsi="宋体"/>
                      <w:color w:val="auto"/>
                      <w:szCs w:val="21"/>
                      <w:highlight w:val="none"/>
                    </w:rPr>
                  </w:pPr>
                  <w:r>
                    <w:rPr>
                      <w:rFonts w:hint="default" w:ascii="Times New Roman" w:hAnsi="Times New Roman" w:cs="Times New Roman"/>
                      <w:color w:val="auto"/>
                      <w:sz w:val="21"/>
                      <w:szCs w:val="21"/>
                      <w:highlight w:val="none"/>
                      <w:lang w:eastAsia="zh-CN"/>
                    </w:rPr>
                    <w:t>软化水系统</w:t>
                  </w:r>
                </w:p>
              </w:tc>
              <w:tc>
                <w:tcPr>
                  <w:tcW w:w="4794" w:type="dxa"/>
                  <w:vAlign w:val="center"/>
                </w:tcPr>
                <w:p>
                  <w:pPr>
                    <w:jc w:val="center"/>
                    <w:rPr>
                      <w:rFonts w:hAnsi="宋体"/>
                      <w:color w:val="auto"/>
                      <w:szCs w:val="21"/>
                      <w:highlight w:val="none"/>
                    </w:rPr>
                  </w:pPr>
                  <w:r>
                    <w:rPr>
                      <w:rFonts w:hint="default" w:ascii="Times New Roman" w:hAnsi="Times New Roman" w:cs="Times New Roman"/>
                      <w:color w:val="auto"/>
                      <w:sz w:val="21"/>
                      <w:szCs w:val="21"/>
                      <w:highlight w:val="none"/>
                      <w:lang w:eastAsia="zh-CN"/>
                    </w:rPr>
                    <w:t>利用离子交换树脂罐对水进行软化</w:t>
                  </w:r>
                </w:p>
              </w:tc>
              <w:tc>
                <w:tcPr>
                  <w:tcW w:w="1480" w:type="dxa"/>
                  <w:vMerge w:val="restart"/>
                  <w:vAlign w:val="center"/>
                </w:tcPr>
                <w:p>
                  <w:pPr>
                    <w:jc w:val="center"/>
                    <w:rPr>
                      <w:rFonts w:hint="eastAsia" w:eastAsia="宋体"/>
                      <w:color w:val="auto"/>
                      <w:szCs w:val="21"/>
                      <w:highlight w:val="none"/>
                      <w:lang w:eastAsia="zh-CN"/>
                    </w:rPr>
                  </w:pPr>
                  <w:r>
                    <w:rPr>
                      <w:rFonts w:hint="eastAsia"/>
                      <w:color w:val="auto"/>
                      <w:szCs w:val="21"/>
                      <w:highlight w:val="none"/>
                      <w:lang w:eastAsia="zh-CN"/>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7" w:hRule="atLeast"/>
                <w:jc w:val="center"/>
              </w:trPr>
              <w:tc>
                <w:tcPr>
                  <w:tcW w:w="657" w:type="dxa"/>
                  <w:vMerge w:val="restart"/>
                  <w:vAlign w:val="center"/>
                </w:tcPr>
                <w:p>
                  <w:pPr>
                    <w:jc w:val="center"/>
                    <w:rPr>
                      <w:color w:val="auto"/>
                      <w:szCs w:val="21"/>
                      <w:highlight w:val="none"/>
                    </w:rPr>
                  </w:pPr>
                  <w:r>
                    <w:rPr>
                      <w:rFonts w:hint="eastAsia" w:hAnsi="宋体"/>
                      <w:color w:val="auto"/>
                      <w:szCs w:val="21"/>
                      <w:highlight w:val="none"/>
                    </w:rPr>
                    <w:t>依托</w:t>
                  </w:r>
                  <w:r>
                    <w:rPr>
                      <w:rFonts w:hAnsi="宋体"/>
                      <w:color w:val="auto"/>
                      <w:szCs w:val="21"/>
                      <w:highlight w:val="none"/>
                    </w:rPr>
                    <w:t>工程</w:t>
                  </w:r>
                </w:p>
              </w:tc>
              <w:tc>
                <w:tcPr>
                  <w:tcW w:w="1574" w:type="dxa"/>
                  <w:gridSpan w:val="2"/>
                  <w:vAlign w:val="center"/>
                </w:tcPr>
                <w:p>
                  <w:pPr>
                    <w:jc w:val="center"/>
                    <w:rPr>
                      <w:color w:val="auto"/>
                      <w:szCs w:val="21"/>
                      <w:highlight w:val="none"/>
                    </w:rPr>
                  </w:pPr>
                  <w:r>
                    <w:rPr>
                      <w:rFonts w:hAnsi="宋体"/>
                      <w:color w:val="auto"/>
                      <w:szCs w:val="21"/>
                      <w:highlight w:val="none"/>
                    </w:rPr>
                    <w:t>供水</w:t>
                  </w:r>
                  <w:r>
                    <w:rPr>
                      <w:rFonts w:hint="eastAsia" w:hAnsi="宋体"/>
                      <w:color w:val="auto"/>
                      <w:szCs w:val="21"/>
                      <w:highlight w:val="none"/>
                    </w:rPr>
                    <w:t>系统</w:t>
                  </w:r>
                </w:p>
              </w:tc>
              <w:tc>
                <w:tcPr>
                  <w:tcW w:w="4794" w:type="dxa"/>
                  <w:vAlign w:val="center"/>
                </w:tcPr>
                <w:p>
                  <w:pPr>
                    <w:jc w:val="center"/>
                    <w:rPr>
                      <w:rFonts w:hint="eastAsia" w:eastAsia="宋体"/>
                      <w:color w:val="auto"/>
                      <w:szCs w:val="21"/>
                      <w:highlight w:val="none"/>
                      <w:lang w:eastAsia="zh-CN"/>
                    </w:rPr>
                  </w:pPr>
                  <w:r>
                    <w:rPr>
                      <w:rFonts w:hint="eastAsia"/>
                      <w:color w:val="auto"/>
                      <w:highlight w:val="none"/>
                      <w:lang w:eastAsia="zh-CN"/>
                    </w:rPr>
                    <w:t>供水由城镇管网集中提供。</w:t>
                  </w:r>
                  <w:r>
                    <w:rPr>
                      <w:color w:val="auto"/>
                      <w:highlight w:val="none"/>
                    </w:rPr>
                    <w:t>无新增工作人员，故无新增生活污水</w:t>
                  </w:r>
                  <w:r>
                    <w:rPr>
                      <w:rFonts w:hint="eastAsia"/>
                      <w:color w:val="auto"/>
                      <w:highlight w:val="none"/>
                      <w:lang w:eastAsia="zh-CN"/>
                    </w:rPr>
                    <w:t>，</w:t>
                  </w:r>
                  <w:r>
                    <w:rPr>
                      <w:rFonts w:hAnsi="宋体"/>
                      <w:color w:val="auto"/>
                      <w:szCs w:val="21"/>
                      <w:highlight w:val="none"/>
                    </w:rPr>
                    <w:t>生产用水</w:t>
                  </w:r>
                  <w:r>
                    <w:rPr>
                      <w:rFonts w:hint="eastAsia" w:hAnsi="宋体"/>
                      <w:color w:val="auto"/>
                      <w:szCs w:val="21"/>
                      <w:highlight w:val="none"/>
                    </w:rPr>
                    <w:t>主要是</w:t>
                  </w:r>
                  <w:r>
                    <w:rPr>
                      <w:rFonts w:hAnsi="宋体"/>
                      <w:color w:val="auto"/>
                      <w:szCs w:val="21"/>
                      <w:highlight w:val="none"/>
                    </w:rPr>
                    <w:t>脱硝、脱硫系统补</w:t>
                  </w:r>
                  <w:r>
                    <w:rPr>
                      <w:rFonts w:hint="eastAsia" w:hAnsi="宋体"/>
                      <w:color w:val="auto"/>
                      <w:szCs w:val="21"/>
                      <w:highlight w:val="none"/>
                    </w:rPr>
                    <w:t>充</w:t>
                  </w:r>
                  <w:r>
                    <w:rPr>
                      <w:rFonts w:hint="eastAsia" w:hAnsi="宋体"/>
                      <w:color w:val="auto"/>
                      <w:szCs w:val="21"/>
                      <w:highlight w:val="none"/>
                      <w:lang w:eastAsia="zh-CN"/>
                    </w:rPr>
                    <w:t>水</w:t>
                  </w:r>
                </w:p>
              </w:tc>
              <w:tc>
                <w:tcPr>
                  <w:tcW w:w="1480" w:type="dxa"/>
                  <w:vMerge w:val="continue"/>
                  <w:vAlign w:val="center"/>
                </w:tcPr>
                <w:p>
                  <w:pPr>
                    <w:jc w:val="center"/>
                    <w:rPr>
                      <w:rFonts w:hint="eastAsia" w:eastAsia="宋体"/>
                      <w:color w:val="auto"/>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7" w:hRule="atLeast"/>
                <w:jc w:val="center"/>
              </w:trPr>
              <w:tc>
                <w:tcPr>
                  <w:tcW w:w="657" w:type="dxa"/>
                  <w:vMerge w:val="continue"/>
                  <w:vAlign w:val="center"/>
                </w:tcPr>
                <w:p>
                  <w:pPr>
                    <w:jc w:val="center"/>
                    <w:rPr>
                      <w:color w:val="auto"/>
                      <w:szCs w:val="21"/>
                      <w:highlight w:val="none"/>
                    </w:rPr>
                  </w:pPr>
                </w:p>
              </w:tc>
              <w:tc>
                <w:tcPr>
                  <w:tcW w:w="1574" w:type="dxa"/>
                  <w:gridSpan w:val="2"/>
                  <w:vAlign w:val="center"/>
                </w:tcPr>
                <w:p>
                  <w:pPr>
                    <w:jc w:val="center"/>
                    <w:rPr>
                      <w:color w:val="auto"/>
                      <w:szCs w:val="21"/>
                      <w:highlight w:val="none"/>
                    </w:rPr>
                  </w:pPr>
                  <w:r>
                    <w:rPr>
                      <w:rFonts w:hAnsi="宋体"/>
                      <w:color w:val="auto"/>
                      <w:szCs w:val="21"/>
                      <w:highlight w:val="none"/>
                    </w:rPr>
                    <w:t>排水</w:t>
                  </w:r>
                  <w:r>
                    <w:rPr>
                      <w:rFonts w:hint="eastAsia" w:hAnsi="宋体"/>
                      <w:color w:val="auto"/>
                      <w:szCs w:val="21"/>
                      <w:highlight w:val="none"/>
                    </w:rPr>
                    <w:t>系统</w:t>
                  </w:r>
                </w:p>
              </w:tc>
              <w:tc>
                <w:tcPr>
                  <w:tcW w:w="4794" w:type="dxa"/>
                  <w:vAlign w:val="center"/>
                </w:tcPr>
                <w:p>
                  <w:pPr>
                    <w:jc w:val="center"/>
                    <w:rPr>
                      <w:rFonts w:hint="eastAsia" w:eastAsia="宋体"/>
                      <w:color w:val="auto"/>
                      <w:szCs w:val="21"/>
                      <w:highlight w:val="none"/>
                      <w:lang w:eastAsia="zh-CN"/>
                    </w:rPr>
                  </w:pPr>
                  <w:r>
                    <w:rPr>
                      <w:color w:val="auto"/>
                      <w:szCs w:val="21"/>
                      <w:highlight w:val="none"/>
                    </w:rPr>
                    <w:t>无新增工作人员，无新增生活污水</w:t>
                  </w:r>
                  <w:r>
                    <w:rPr>
                      <w:rFonts w:hint="eastAsia"/>
                      <w:color w:val="auto"/>
                      <w:szCs w:val="21"/>
                      <w:highlight w:val="none"/>
                      <w:lang w:eastAsia="zh-CN"/>
                    </w:rPr>
                    <w:t>，</w:t>
                  </w:r>
                  <w:r>
                    <w:rPr>
                      <w:rFonts w:hint="eastAsia" w:hAnsi="宋体"/>
                      <w:color w:val="auto"/>
                      <w:szCs w:val="21"/>
                      <w:highlight w:val="none"/>
                    </w:rPr>
                    <w:t>脱硫废水</w:t>
                  </w:r>
                  <w:r>
                    <w:rPr>
                      <w:rFonts w:hint="eastAsia" w:hAnsi="宋体"/>
                      <w:color w:val="auto"/>
                      <w:szCs w:val="21"/>
                      <w:highlight w:val="none"/>
                      <w:lang w:eastAsia="zh-CN"/>
                    </w:rPr>
                    <w:t>混凝沉淀</w:t>
                  </w:r>
                  <w:r>
                    <w:rPr>
                      <w:rFonts w:hint="eastAsia" w:hAnsi="宋体"/>
                      <w:color w:val="auto"/>
                      <w:szCs w:val="21"/>
                      <w:highlight w:val="none"/>
                    </w:rPr>
                    <w:t>处理后循环</w:t>
                  </w:r>
                  <w:r>
                    <w:rPr>
                      <w:rFonts w:hint="eastAsia" w:hAnsi="宋体"/>
                      <w:color w:val="auto"/>
                      <w:szCs w:val="21"/>
                      <w:highlight w:val="none"/>
                      <w:lang w:eastAsia="zh-CN"/>
                    </w:rPr>
                    <w:t>使用，</w:t>
                  </w:r>
                  <w:r>
                    <w:rPr>
                      <w:rFonts w:hAnsi="宋体"/>
                      <w:color w:val="auto"/>
                      <w:szCs w:val="21"/>
                      <w:highlight w:val="none"/>
                    </w:rPr>
                    <w:t>不外排</w:t>
                  </w:r>
                </w:p>
              </w:tc>
              <w:tc>
                <w:tcPr>
                  <w:tcW w:w="1480" w:type="dxa"/>
                  <w:vMerge w:val="continue"/>
                  <w:vAlign w:val="center"/>
                </w:tcPr>
                <w:p>
                  <w:pPr>
                    <w:jc w:val="center"/>
                    <w:rPr>
                      <w:rFonts w:hint="eastAsia" w:eastAsia="宋体"/>
                      <w:color w:val="auto"/>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7" w:hRule="atLeast"/>
                <w:jc w:val="center"/>
              </w:trPr>
              <w:tc>
                <w:tcPr>
                  <w:tcW w:w="657" w:type="dxa"/>
                  <w:vMerge w:val="continue"/>
                  <w:vAlign w:val="center"/>
                </w:tcPr>
                <w:p>
                  <w:pPr>
                    <w:jc w:val="center"/>
                    <w:rPr>
                      <w:color w:val="auto"/>
                      <w:szCs w:val="21"/>
                      <w:highlight w:val="none"/>
                    </w:rPr>
                  </w:pPr>
                </w:p>
              </w:tc>
              <w:tc>
                <w:tcPr>
                  <w:tcW w:w="1574" w:type="dxa"/>
                  <w:gridSpan w:val="2"/>
                  <w:vAlign w:val="center"/>
                </w:tcPr>
                <w:p>
                  <w:pPr>
                    <w:jc w:val="center"/>
                    <w:rPr>
                      <w:color w:val="auto"/>
                      <w:szCs w:val="21"/>
                      <w:highlight w:val="none"/>
                    </w:rPr>
                  </w:pPr>
                  <w:r>
                    <w:rPr>
                      <w:rFonts w:hAnsi="宋体"/>
                      <w:color w:val="auto"/>
                      <w:szCs w:val="21"/>
                      <w:highlight w:val="none"/>
                    </w:rPr>
                    <w:t>供电</w:t>
                  </w:r>
                  <w:r>
                    <w:rPr>
                      <w:rFonts w:hint="eastAsia" w:hAnsi="宋体"/>
                      <w:color w:val="auto"/>
                      <w:szCs w:val="21"/>
                      <w:highlight w:val="none"/>
                    </w:rPr>
                    <w:t>系统</w:t>
                  </w:r>
                </w:p>
              </w:tc>
              <w:tc>
                <w:tcPr>
                  <w:tcW w:w="4794" w:type="dxa"/>
                  <w:vAlign w:val="center"/>
                </w:tcPr>
                <w:p>
                  <w:pPr>
                    <w:jc w:val="center"/>
                    <w:rPr>
                      <w:color w:val="auto"/>
                      <w:szCs w:val="21"/>
                      <w:highlight w:val="none"/>
                    </w:rPr>
                  </w:pPr>
                  <w:r>
                    <w:rPr>
                      <w:rFonts w:hAnsi="宋体"/>
                      <w:color w:val="auto"/>
                      <w:szCs w:val="21"/>
                      <w:highlight w:val="none"/>
                    </w:rPr>
                    <w:t>项目用电依托现有工程，由市政电网供给</w:t>
                  </w:r>
                </w:p>
              </w:tc>
              <w:tc>
                <w:tcPr>
                  <w:tcW w:w="1480" w:type="dxa"/>
                  <w:vMerge w:val="continue"/>
                  <w:vAlign w:val="center"/>
                </w:tcPr>
                <w:p>
                  <w:pPr>
                    <w:jc w:val="center"/>
                    <w:rPr>
                      <w:rFonts w:hint="eastAsia" w:eastAsia="宋体"/>
                      <w:color w:val="auto"/>
                      <w:szCs w:val="21"/>
                      <w:highlight w:val="none"/>
                      <w:lang w:eastAsia="zh-CN"/>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70" w:hRule="atLeast"/>
                <w:jc w:val="center"/>
              </w:trPr>
              <w:tc>
                <w:tcPr>
                  <w:tcW w:w="657" w:type="dxa"/>
                  <w:vMerge w:val="restart"/>
                  <w:vAlign w:val="center"/>
                </w:tcPr>
                <w:p>
                  <w:pPr>
                    <w:jc w:val="center"/>
                    <w:rPr>
                      <w:color w:val="auto"/>
                      <w:szCs w:val="21"/>
                      <w:highlight w:val="none"/>
                    </w:rPr>
                  </w:pPr>
                  <w:r>
                    <w:rPr>
                      <w:rFonts w:hAnsi="宋体"/>
                      <w:color w:val="auto"/>
                      <w:szCs w:val="21"/>
                      <w:highlight w:val="none"/>
                    </w:rPr>
                    <w:t>环保工程</w:t>
                  </w:r>
                </w:p>
              </w:tc>
              <w:tc>
                <w:tcPr>
                  <w:tcW w:w="866" w:type="dxa"/>
                  <w:tcBorders>
                    <w:right w:val="single" w:color="auto" w:sz="4" w:space="0"/>
                  </w:tcBorders>
                  <w:vAlign w:val="center"/>
                </w:tcPr>
                <w:p>
                  <w:pPr>
                    <w:jc w:val="center"/>
                    <w:rPr>
                      <w:bCs/>
                      <w:iCs/>
                      <w:color w:val="auto"/>
                      <w:szCs w:val="21"/>
                      <w:highlight w:val="none"/>
                    </w:rPr>
                  </w:pPr>
                  <w:r>
                    <w:rPr>
                      <w:rFonts w:hAnsi="宋体"/>
                      <w:bCs/>
                      <w:iCs/>
                      <w:color w:val="auto"/>
                      <w:szCs w:val="21"/>
                      <w:highlight w:val="none"/>
                    </w:rPr>
                    <w:t>锅炉</w:t>
                  </w:r>
                </w:p>
                <w:p>
                  <w:pPr>
                    <w:jc w:val="center"/>
                    <w:rPr>
                      <w:color w:val="auto"/>
                      <w:szCs w:val="21"/>
                      <w:highlight w:val="none"/>
                    </w:rPr>
                  </w:pPr>
                  <w:r>
                    <w:rPr>
                      <w:rFonts w:hAnsi="宋体"/>
                      <w:bCs/>
                      <w:iCs/>
                      <w:color w:val="auto"/>
                      <w:szCs w:val="21"/>
                      <w:highlight w:val="none"/>
                    </w:rPr>
                    <w:t>废气</w:t>
                  </w:r>
                </w:p>
              </w:tc>
              <w:tc>
                <w:tcPr>
                  <w:tcW w:w="5502" w:type="dxa"/>
                  <w:gridSpan w:val="2"/>
                  <w:tcBorders>
                    <w:left w:val="single" w:color="auto" w:sz="4" w:space="0"/>
                  </w:tcBorders>
                  <w:vAlign w:val="center"/>
                </w:tcPr>
                <w:p>
                  <w:pPr>
                    <w:jc w:val="center"/>
                    <w:rPr>
                      <w:bCs/>
                      <w:iCs/>
                      <w:color w:val="auto"/>
                      <w:szCs w:val="21"/>
                      <w:highlight w:val="none"/>
                    </w:rPr>
                  </w:pPr>
                  <w:r>
                    <w:rPr>
                      <w:rFonts w:hAnsi="宋体"/>
                      <w:bCs/>
                      <w:iCs/>
                      <w:color w:val="auto"/>
                      <w:szCs w:val="21"/>
                      <w:highlight w:val="none"/>
                    </w:rPr>
                    <w:t>本项目锅炉烟气采用</w:t>
                  </w:r>
                  <w:r>
                    <w:rPr>
                      <w:color w:val="auto"/>
                      <w:szCs w:val="21"/>
                      <w:highlight w:val="none"/>
                    </w:rPr>
                    <w:t>SNCR</w:t>
                  </w:r>
                  <w:r>
                    <w:rPr>
                      <w:rFonts w:hAnsi="宋体"/>
                      <w:color w:val="auto"/>
                      <w:szCs w:val="21"/>
                      <w:highlight w:val="none"/>
                    </w:rPr>
                    <w:t>技术脱硝（脱硝效率</w:t>
                  </w:r>
                  <w:r>
                    <w:rPr>
                      <w:rFonts w:hint="eastAsia"/>
                      <w:color w:val="auto"/>
                      <w:szCs w:val="21"/>
                      <w:highlight w:val="none"/>
                      <w:lang w:val="en-US" w:eastAsia="zh-CN"/>
                    </w:rPr>
                    <w:t>5</w:t>
                  </w:r>
                  <w:r>
                    <w:rPr>
                      <w:color w:val="auto"/>
                      <w:szCs w:val="21"/>
                      <w:highlight w:val="none"/>
                    </w:rPr>
                    <w:t>0%</w:t>
                  </w:r>
                  <w:r>
                    <w:rPr>
                      <w:rFonts w:hAnsi="宋体"/>
                      <w:color w:val="auto"/>
                      <w:szCs w:val="21"/>
                      <w:highlight w:val="none"/>
                    </w:rPr>
                    <w:t>）</w:t>
                  </w:r>
                  <w:r>
                    <w:rPr>
                      <w:rFonts w:hint="eastAsia" w:hAnsi="宋体"/>
                      <w:color w:val="auto"/>
                      <w:szCs w:val="21"/>
                      <w:highlight w:val="none"/>
                      <w:lang w:eastAsia="zh-CN"/>
                    </w:rPr>
                    <w:t>、干式</w:t>
                  </w:r>
                  <w:r>
                    <w:rPr>
                      <w:rFonts w:hAnsi="宋体"/>
                      <w:color w:val="auto"/>
                      <w:szCs w:val="21"/>
                      <w:highlight w:val="none"/>
                    </w:rPr>
                    <w:t>除尘器</w:t>
                  </w:r>
                  <w:r>
                    <w:rPr>
                      <w:rFonts w:hint="eastAsia" w:hAnsi="宋体"/>
                      <w:color w:val="auto"/>
                      <w:szCs w:val="21"/>
                      <w:highlight w:val="none"/>
                      <w:lang w:val="en-US" w:eastAsia="zh-CN"/>
                    </w:rPr>
                    <w:t>+布袋</w:t>
                  </w:r>
                  <w:r>
                    <w:rPr>
                      <w:rFonts w:hAnsi="宋体"/>
                      <w:bCs/>
                      <w:iCs/>
                      <w:color w:val="auto"/>
                      <w:szCs w:val="21"/>
                      <w:highlight w:val="none"/>
                    </w:rPr>
                    <w:t>除尘</w:t>
                  </w:r>
                  <w:r>
                    <w:rPr>
                      <w:rFonts w:hint="eastAsia" w:hAnsi="宋体"/>
                      <w:bCs/>
                      <w:iCs/>
                      <w:color w:val="auto"/>
                      <w:szCs w:val="21"/>
                      <w:highlight w:val="none"/>
                      <w:lang w:eastAsia="zh-CN"/>
                    </w:rPr>
                    <w:t>器（</w:t>
                  </w:r>
                  <w:r>
                    <w:rPr>
                      <w:rFonts w:hAnsi="宋体"/>
                      <w:bCs/>
                      <w:iCs/>
                      <w:color w:val="auto"/>
                      <w:szCs w:val="21"/>
                      <w:highlight w:val="none"/>
                    </w:rPr>
                    <w:t>除尘效率</w:t>
                  </w:r>
                  <w:r>
                    <w:rPr>
                      <w:rFonts w:hint="eastAsia"/>
                      <w:bCs/>
                      <w:iCs/>
                      <w:color w:val="auto"/>
                      <w:szCs w:val="21"/>
                      <w:highlight w:val="none"/>
                      <w:lang w:val="en-US" w:eastAsia="zh-CN"/>
                    </w:rPr>
                    <w:t>99.9</w:t>
                  </w:r>
                  <w:r>
                    <w:rPr>
                      <w:bCs/>
                      <w:iCs/>
                      <w:color w:val="auto"/>
                      <w:szCs w:val="21"/>
                      <w:highlight w:val="none"/>
                    </w:rPr>
                    <w:t>%</w:t>
                  </w:r>
                  <w:r>
                    <w:rPr>
                      <w:rFonts w:hint="eastAsia" w:hAnsi="宋体"/>
                      <w:bCs/>
                      <w:iCs/>
                      <w:color w:val="auto"/>
                      <w:szCs w:val="21"/>
                      <w:highlight w:val="none"/>
                      <w:lang w:eastAsia="zh-CN"/>
                    </w:rPr>
                    <w:t>）、</w:t>
                  </w:r>
                  <w:r>
                    <w:rPr>
                      <w:rFonts w:hAnsi="宋体"/>
                      <w:color w:val="auto"/>
                      <w:szCs w:val="21"/>
                      <w:highlight w:val="none"/>
                    </w:rPr>
                    <w:t>氧化镁法脱硫（脱硫效率</w:t>
                  </w:r>
                  <w:r>
                    <w:rPr>
                      <w:rFonts w:hint="eastAsia"/>
                      <w:color w:val="auto"/>
                      <w:szCs w:val="21"/>
                      <w:highlight w:val="none"/>
                      <w:lang w:val="en-US" w:eastAsia="zh-CN"/>
                    </w:rPr>
                    <w:t>8</w:t>
                  </w:r>
                  <w:r>
                    <w:rPr>
                      <w:color w:val="auto"/>
                      <w:szCs w:val="21"/>
                      <w:highlight w:val="none"/>
                    </w:rPr>
                    <w:t>0%</w:t>
                  </w:r>
                  <w:r>
                    <w:rPr>
                      <w:rFonts w:hAnsi="宋体"/>
                      <w:color w:val="auto"/>
                      <w:szCs w:val="21"/>
                      <w:highlight w:val="none"/>
                    </w:rPr>
                    <w:t>）后经</w:t>
                  </w:r>
                  <w:r>
                    <w:rPr>
                      <w:rFonts w:hint="eastAsia"/>
                      <w:color w:val="auto"/>
                      <w:szCs w:val="21"/>
                      <w:highlight w:val="none"/>
                      <w:lang w:val="en-US" w:eastAsia="zh-CN"/>
                    </w:rPr>
                    <w:t>60</w:t>
                  </w:r>
                  <w:r>
                    <w:rPr>
                      <w:rFonts w:hint="eastAsia" w:hAnsi="宋体"/>
                      <w:color w:val="auto"/>
                      <w:szCs w:val="21"/>
                      <w:highlight w:val="none"/>
                      <w:lang w:val="en-US" w:eastAsia="zh-CN"/>
                    </w:rPr>
                    <w:t>m</w:t>
                  </w:r>
                  <w:r>
                    <w:rPr>
                      <w:rFonts w:hAnsi="宋体"/>
                      <w:color w:val="auto"/>
                      <w:szCs w:val="21"/>
                      <w:highlight w:val="none"/>
                    </w:rPr>
                    <w:t>高烟囱排放</w:t>
                  </w:r>
                </w:p>
              </w:tc>
              <w:tc>
                <w:tcPr>
                  <w:tcW w:w="1480" w:type="dxa"/>
                  <w:vAlign w:val="center"/>
                </w:tcPr>
                <w:p>
                  <w:pPr>
                    <w:jc w:val="center"/>
                    <w:rPr>
                      <w:rFonts w:hint="eastAsia" w:eastAsia="宋体"/>
                      <w:color w:val="auto"/>
                      <w:szCs w:val="21"/>
                      <w:highlight w:val="none"/>
                      <w:lang w:eastAsia="zh-CN"/>
                    </w:rPr>
                  </w:pPr>
                  <w:r>
                    <w:rPr>
                      <w:rFonts w:hint="eastAsia" w:hAnsi="宋体"/>
                      <w:color w:val="auto"/>
                      <w:szCs w:val="21"/>
                      <w:highlight w:val="none"/>
                      <w:lang w:eastAsia="zh-CN"/>
                    </w:rPr>
                    <w:t>已建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jc w:val="center"/>
              </w:trPr>
              <w:tc>
                <w:tcPr>
                  <w:tcW w:w="657" w:type="dxa"/>
                  <w:vMerge w:val="continue"/>
                  <w:vAlign w:val="center"/>
                </w:tcPr>
                <w:p>
                  <w:pPr>
                    <w:jc w:val="center"/>
                    <w:rPr>
                      <w:color w:val="auto"/>
                      <w:szCs w:val="21"/>
                      <w:highlight w:val="none"/>
                    </w:rPr>
                  </w:pPr>
                </w:p>
              </w:tc>
              <w:tc>
                <w:tcPr>
                  <w:tcW w:w="866" w:type="dxa"/>
                  <w:vMerge w:val="restart"/>
                  <w:tcBorders>
                    <w:right w:val="single" w:color="auto" w:sz="4" w:space="0"/>
                  </w:tcBorders>
                  <w:vAlign w:val="center"/>
                </w:tcPr>
                <w:p>
                  <w:pPr>
                    <w:jc w:val="center"/>
                    <w:rPr>
                      <w:color w:val="auto"/>
                      <w:szCs w:val="21"/>
                      <w:highlight w:val="none"/>
                    </w:rPr>
                  </w:pPr>
                  <w:r>
                    <w:rPr>
                      <w:rFonts w:hAnsi="宋体"/>
                      <w:color w:val="auto"/>
                      <w:szCs w:val="21"/>
                      <w:highlight w:val="none"/>
                    </w:rPr>
                    <w:t>废水</w:t>
                  </w:r>
                </w:p>
              </w:tc>
              <w:tc>
                <w:tcPr>
                  <w:tcW w:w="5502" w:type="dxa"/>
                  <w:gridSpan w:val="2"/>
                  <w:tcBorders>
                    <w:left w:val="single" w:color="auto" w:sz="4" w:space="0"/>
                  </w:tcBorders>
                  <w:vAlign w:val="center"/>
                </w:tcPr>
                <w:p>
                  <w:pPr>
                    <w:jc w:val="center"/>
                    <w:rPr>
                      <w:color w:val="auto"/>
                      <w:szCs w:val="21"/>
                      <w:highlight w:val="none"/>
                    </w:rPr>
                  </w:pPr>
                  <w:r>
                    <w:rPr>
                      <w:rFonts w:hint="eastAsia" w:hAnsi="宋体"/>
                      <w:color w:val="auto"/>
                      <w:szCs w:val="21"/>
                      <w:highlight w:val="none"/>
                    </w:rPr>
                    <w:t>脱硫废水</w:t>
                  </w:r>
                  <w:r>
                    <w:rPr>
                      <w:rFonts w:hint="eastAsia" w:hAnsi="宋体"/>
                      <w:color w:val="auto"/>
                      <w:szCs w:val="21"/>
                      <w:highlight w:val="none"/>
                      <w:lang w:eastAsia="zh-CN"/>
                    </w:rPr>
                    <w:t>混凝沉淀</w:t>
                  </w:r>
                  <w:r>
                    <w:rPr>
                      <w:rFonts w:hint="eastAsia" w:hAnsi="宋体"/>
                      <w:color w:val="auto"/>
                      <w:szCs w:val="21"/>
                      <w:highlight w:val="none"/>
                    </w:rPr>
                    <w:t>处理后循环</w:t>
                  </w:r>
                  <w:r>
                    <w:rPr>
                      <w:rFonts w:hint="eastAsia" w:hAnsi="宋体"/>
                      <w:color w:val="auto"/>
                      <w:szCs w:val="21"/>
                      <w:highlight w:val="none"/>
                      <w:lang w:eastAsia="zh-CN"/>
                    </w:rPr>
                    <w:t>使用，</w:t>
                  </w:r>
                  <w:r>
                    <w:rPr>
                      <w:rFonts w:hAnsi="宋体"/>
                      <w:color w:val="auto"/>
                      <w:szCs w:val="21"/>
                      <w:highlight w:val="none"/>
                    </w:rPr>
                    <w:t>不外排</w:t>
                  </w:r>
                </w:p>
              </w:tc>
              <w:tc>
                <w:tcPr>
                  <w:tcW w:w="1480" w:type="dxa"/>
                  <w:vAlign w:val="center"/>
                </w:tcPr>
                <w:p>
                  <w:pPr>
                    <w:jc w:val="center"/>
                    <w:rPr>
                      <w:color w:val="auto"/>
                      <w:szCs w:val="21"/>
                      <w:highlight w:val="none"/>
                    </w:rPr>
                  </w:pPr>
                  <w:r>
                    <w:rPr>
                      <w:rFonts w:hint="eastAsia" w:hAnsi="宋体"/>
                      <w:color w:val="auto"/>
                      <w:szCs w:val="21"/>
                      <w:highlight w:val="none"/>
                      <w:lang w:eastAsia="zh-CN"/>
                    </w:rPr>
                    <w:t>已</w:t>
                  </w:r>
                  <w:r>
                    <w:rPr>
                      <w:rFonts w:hint="eastAsia" w:hAnsi="宋体"/>
                      <w:color w:val="auto"/>
                      <w:szCs w:val="21"/>
                      <w:highlight w:val="none"/>
                    </w:rPr>
                    <w:t>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29" w:hRule="atLeast"/>
                <w:jc w:val="center"/>
              </w:trPr>
              <w:tc>
                <w:tcPr>
                  <w:tcW w:w="657" w:type="dxa"/>
                  <w:vMerge w:val="continue"/>
                  <w:vAlign w:val="center"/>
                </w:tcPr>
                <w:p>
                  <w:pPr>
                    <w:jc w:val="center"/>
                    <w:rPr>
                      <w:color w:val="auto"/>
                      <w:szCs w:val="21"/>
                      <w:highlight w:val="none"/>
                    </w:rPr>
                  </w:pPr>
                </w:p>
              </w:tc>
              <w:tc>
                <w:tcPr>
                  <w:tcW w:w="866" w:type="dxa"/>
                  <w:vMerge w:val="continue"/>
                  <w:tcBorders>
                    <w:right w:val="single" w:color="auto" w:sz="4" w:space="0"/>
                  </w:tcBorders>
                  <w:vAlign w:val="center"/>
                </w:tcPr>
                <w:p>
                  <w:pPr>
                    <w:jc w:val="center"/>
                    <w:rPr>
                      <w:rFonts w:hAnsi="宋体"/>
                      <w:color w:val="auto"/>
                      <w:szCs w:val="21"/>
                      <w:highlight w:val="none"/>
                    </w:rPr>
                  </w:pPr>
                </w:p>
              </w:tc>
              <w:tc>
                <w:tcPr>
                  <w:tcW w:w="5502" w:type="dxa"/>
                  <w:gridSpan w:val="2"/>
                  <w:tcBorders>
                    <w:left w:val="single" w:color="auto" w:sz="4" w:space="0"/>
                  </w:tcBorders>
                  <w:vAlign w:val="center"/>
                </w:tcPr>
                <w:p>
                  <w:pPr>
                    <w:jc w:val="center"/>
                    <w:rPr>
                      <w:color w:val="auto"/>
                      <w:szCs w:val="21"/>
                      <w:highlight w:val="none"/>
                    </w:rPr>
                  </w:pPr>
                  <w:r>
                    <w:rPr>
                      <w:rFonts w:ascii="Times New Roman" w:hAnsi="Times New Roman"/>
                      <w:color w:val="auto"/>
                      <w:szCs w:val="21"/>
                      <w:highlight w:val="none"/>
                    </w:rPr>
                    <w:t>生活污水排入</w:t>
                  </w:r>
                  <w:r>
                    <w:rPr>
                      <w:rFonts w:hint="eastAsia" w:ascii="Times New Roman" w:hAnsi="Times New Roman"/>
                      <w:color w:val="auto"/>
                      <w:szCs w:val="21"/>
                      <w:highlight w:val="none"/>
                    </w:rPr>
                    <w:t>市镇管网，经农场污水处理厂处理后排入</w:t>
                  </w:r>
                  <w:r>
                    <w:rPr>
                      <w:rFonts w:hint="eastAsia" w:ascii="Times New Roman" w:hAnsi="Times New Roman"/>
                      <w:color w:val="auto"/>
                      <w:szCs w:val="21"/>
                      <w:highlight w:val="none"/>
                      <w:lang w:eastAsia="zh-CN"/>
                    </w:rPr>
                    <w:t>松花江</w:t>
                  </w:r>
                  <w:r>
                    <w:rPr>
                      <w:rFonts w:hint="eastAsia"/>
                      <w:color w:val="auto"/>
                      <w:szCs w:val="21"/>
                      <w:highlight w:val="none"/>
                      <w:lang w:eastAsia="zh-CN"/>
                    </w:rPr>
                    <w:t>。锅炉排水用于冲渣，不外排</w:t>
                  </w:r>
                </w:p>
              </w:tc>
              <w:tc>
                <w:tcPr>
                  <w:tcW w:w="1480" w:type="dxa"/>
                  <w:vAlign w:val="center"/>
                </w:tcPr>
                <w:p>
                  <w:pPr>
                    <w:jc w:val="center"/>
                    <w:rPr>
                      <w:rFonts w:hint="eastAsia" w:hAnsi="宋体" w:eastAsia="宋体"/>
                      <w:color w:val="auto"/>
                      <w:szCs w:val="21"/>
                      <w:highlight w:val="none"/>
                      <w:lang w:eastAsia="zh-CN"/>
                    </w:rPr>
                  </w:pPr>
                  <w:r>
                    <w:rPr>
                      <w:rFonts w:hint="eastAsia" w:hAnsi="宋体"/>
                      <w:color w:val="auto"/>
                      <w:szCs w:val="21"/>
                      <w:highlight w:val="none"/>
                      <w:lang w:eastAsia="zh-CN"/>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8" w:hRule="atLeast"/>
                <w:jc w:val="center"/>
              </w:trPr>
              <w:tc>
                <w:tcPr>
                  <w:tcW w:w="657" w:type="dxa"/>
                  <w:vMerge w:val="continue"/>
                  <w:vAlign w:val="center"/>
                </w:tcPr>
                <w:p>
                  <w:pPr>
                    <w:jc w:val="center"/>
                    <w:rPr>
                      <w:color w:val="auto"/>
                      <w:szCs w:val="21"/>
                      <w:highlight w:val="none"/>
                    </w:rPr>
                  </w:pPr>
                </w:p>
              </w:tc>
              <w:tc>
                <w:tcPr>
                  <w:tcW w:w="866" w:type="dxa"/>
                  <w:vMerge w:val="restart"/>
                  <w:tcBorders>
                    <w:right w:val="single" w:color="auto" w:sz="4" w:space="0"/>
                  </w:tcBorders>
                  <w:vAlign w:val="center"/>
                </w:tcPr>
                <w:p>
                  <w:pPr>
                    <w:jc w:val="center"/>
                    <w:rPr>
                      <w:color w:val="auto"/>
                      <w:szCs w:val="21"/>
                      <w:highlight w:val="none"/>
                    </w:rPr>
                  </w:pPr>
                  <w:r>
                    <w:rPr>
                      <w:rFonts w:hAnsi="宋体"/>
                      <w:color w:val="auto"/>
                      <w:szCs w:val="21"/>
                      <w:highlight w:val="none"/>
                    </w:rPr>
                    <w:t>固体</w:t>
                  </w:r>
                </w:p>
                <w:p>
                  <w:pPr>
                    <w:jc w:val="center"/>
                    <w:rPr>
                      <w:color w:val="auto"/>
                      <w:szCs w:val="21"/>
                      <w:highlight w:val="none"/>
                    </w:rPr>
                  </w:pPr>
                  <w:r>
                    <w:rPr>
                      <w:rFonts w:hAnsi="宋体"/>
                      <w:color w:val="auto"/>
                      <w:szCs w:val="21"/>
                      <w:highlight w:val="none"/>
                    </w:rPr>
                    <w:t>废物</w:t>
                  </w:r>
                </w:p>
              </w:tc>
              <w:tc>
                <w:tcPr>
                  <w:tcW w:w="5502" w:type="dxa"/>
                  <w:gridSpan w:val="2"/>
                  <w:tcBorders>
                    <w:left w:val="single" w:color="auto" w:sz="4" w:space="0"/>
                  </w:tcBorders>
                  <w:vAlign w:val="center"/>
                </w:tcPr>
                <w:p>
                  <w:pPr>
                    <w:jc w:val="center"/>
                    <w:rPr>
                      <w:rFonts w:hint="eastAsia" w:eastAsia="宋体"/>
                      <w:color w:val="auto"/>
                      <w:szCs w:val="21"/>
                      <w:highlight w:val="none"/>
                      <w:lang w:eastAsia="zh-CN"/>
                    </w:rPr>
                  </w:pPr>
                  <w:r>
                    <w:rPr>
                      <w:rFonts w:hint="eastAsia" w:hAnsi="宋体"/>
                      <w:color w:val="auto"/>
                      <w:szCs w:val="21"/>
                      <w:highlight w:val="none"/>
                    </w:rPr>
                    <w:t>除尘器收集粉尘</w:t>
                  </w:r>
                  <w:r>
                    <w:rPr>
                      <w:rFonts w:hint="eastAsia" w:hAnsi="宋体"/>
                      <w:color w:val="auto"/>
                      <w:szCs w:val="21"/>
                      <w:highlight w:val="none"/>
                      <w:lang w:eastAsia="zh-CN"/>
                    </w:rPr>
                    <w:t>统一收集后暂存于灰场，定期外售综合利用；脱硫副产物定期</w:t>
                  </w:r>
                  <w:r>
                    <w:rPr>
                      <w:rFonts w:hAnsi="宋体"/>
                      <w:color w:val="auto"/>
                      <w:szCs w:val="21"/>
                      <w:highlight w:val="none"/>
                    </w:rPr>
                    <w:t>收集后外售</w:t>
                  </w:r>
                  <w:r>
                    <w:rPr>
                      <w:rFonts w:hint="eastAsia" w:hAnsi="宋体"/>
                      <w:color w:val="auto"/>
                      <w:szCs w:val="21"/>
                      <w:highlight w:val="none"/>
                    </w:rPr>
                    <w:t>，综合利用</w:t>
                  </w:r>
                  <w:r>
                    <w:rPr>
                      <w:rFonts w:hint="eastAsia"/>
                      <w:color w:val="auto"/>
                      <w:szCs w:val="21"/>
                      <w:highlight w:val="none"/>
                      <w:lang w:eastAsia="zh-CN"/>
                    </w:rPr>
                    <w:t>，厂区内不储存</w:t>
                  </w:r>
                </w:p>
              </w:tc>
              <w:tc>
                <w:tcPr>
                  <w:tcW w:w="1480" w:type="dxa"/>
                  <w:vAlign w:val="center"/>
                </w:tcPr>
                <w:p>
                  <w:pPr>
                    <w:jc w:val="center"/>
                    <w:rPr>
                      <w:color w:val="auto"/>
                      <w:szCs w:val="21"/>
                      <w:highlight w:val="none"/>
                    </w:rPr>
                  </w:pPr>
                  <w:r>
                    <w:rPr>
                      <w:rFonts w:hint="eastAsia" w:hAnsi="宋体"/>
                      <w:color w:val="auto"/>
                      <w:szCs w:val="21"/>
                      <w:highlight w:val="none"/>
                      <w:lang w:eastAsia="zh-CN"/>
                    </w:rPr>
                    <w:t>已</w:t>
                  </w:r>
                  <w:r>
                    <w:rPr>
                      <w:rFonts w:hAnsi="宋体"/>
                      <w:color w:val="auto"/>
                      <w:szCs w:val="21"/>
                      <w:highlight w:val="none"/>
                    </w:rPr>
                    <w:t>建</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8" w:hRule="atLeast"/>
                <w:jc w:val="center"/>
              </w:trPr>
              <w:tc>
                <w:tcPr>
                  <w:tcW w:w="657" w:type="dxa"/>
                  <w:vMerge w:val="continue"/>
                  <w:vAlign w:val="center"/>
                </w:tcPr>
                <w:p>
                  <w:pPr>
                    <w:jc w:val="center"/>
                    <w:rPr>
                      <w:color w:val="auto"/>
                      <w:szCs w:val="21"/>
                      <w:highlight w:val="none"/>
                    </w:rPr>
                  </w:pPr>
                </w:p>
              </w:tc>
              <w:tc>
                <w:tcPr>
                  <w:tcW w:w="866" w:type="dxa"/>
                  <w:vMerge w:val="continue"/>
                  <w:tcBorders>
                    <w:right w:val="single" w:color="auto" w:sz="4" w:space="0"/>
                  </w:tcBorders>
                  <w:vAlign w:val="center"/>
                </w:tcPr>
                <w:p>
                  <w:pPr>
                    <w:jc w:val="center"/>
                    <w:rPr>
                      <w:rFonts w:hAnsi="宋体"/>
                      <w:color w:val="auto"/>
                      <w:szCs w:val="21"/>
                      <w:highlight w:val="none"/>
                    </w:rPr>
                  </w:pPr>
                </w:p>
              </w:tc>
              <w:tc>
                <w:tcPr>
                  <w:tcW w:w="5502" w:type="dxa"/>
                  <w:gridSpan w:val="2"/>
                  <w:tcBorders>
                    <w:left w:val="single" w:color="auto" w:sz="4" w:space="0"/>
                  </w:tcBorders>
                  <w:vAlign w:val="center"/>
                </w:tcPr>
                <w:p>
                  <w:pPr>
                    <w:jc w:val="center"/>
                    <w:rPr>
                      <w:color w:val="auto"/>
                      <w:szCs w:val="21"/>
                      <w:highlight w:val="none"/>
                    </w:rPr>
                  </w:pPr>
                  <w:r>
                    <w:rPr>
                      <w:rFonts w:hint="eastAsia" w:ascii="Times New Roman" w:hAnsi="Times New Roman"/>
                      <w:color w:val="auto"/>
                      <w:szCs w:val="21"/>
                      <w:highlight w:val="none"/>
                      <w:lang w:eastAsia="zh-CN"/>
                    </w:rPr>
                    <w:t>生活垃圾</w:t>
                  </w:r>
                  <w:r>
                    <w:rPr>
                      <w:rFonts w:hint="eastAsia"/>
                      <w:color w:val="auto"/>
                      <w:szCs w:val="21"/>
                      <w:highlight w:val="none"/>
                      <w:lang w:eastAsia="zh-CN"/>
                    </w:rPr>
                    <w:t>设置垃圾</w:t>
                  </w:r>
                  <w:r>
                    <w:rPr>
                      <w:rFonts w:hint="eastAsia" w:ascii="Times New Roman" w:hAnsi="Times New Roman"/>
                      <w:color w:val="auto"/>
                      <w:szCs w:val="21"/>
                      <w:highlight w:val="none"/>
                      <w:lang w:eastAsia="zh-CN"/>
                    </w:rPr>
                    <w:t>收集装置</w:t>
                  </w:r>
                  <w:r>
                    <w:rPr>
                      <w:rFonts w:hint="eastAsia" w:ascii="Times New Roman" w:hAnsi="Times New Roman"/>
                      <w:color w:val="auto"/>
                      <w:szCs w:val="21"/>
                      <w:highlight w:val="none"/>
                    </w:rPr>
                    <w:t>2</w:t>
                  </w:r>
                  <w:r>
                    <w:rPr>
                      <w:rFonts w:ascii="Times New Roman" w:hAnsi="Times New Roman"/>
                      <w:color w:val="auto"/>
                      <w:szCs w:val="21"/>
                      <w:highlight w:val="none"/>
                    </w:rPr>
                    <w:t>个</w:t>
                  </w:r>
                  <w:r>
                    <w:rPr>
                      <w:rFonts w:hint="eastAsia"/>
                      <w:color w:val="auto"/>
                      <w:szCs w:val="21"/>
                      <w:highlight w:val="none"/>
                      <w:lang w:eastAsia="zh-CN"/>
                    </w:rPr>
                    <w:t>，由环卫部门统一处理；</w:t>
                  </w:r>
                  <w:r>
                    <w:rPr>
                      <w:rFonts w:hint="eastAsia" w:hAnsi="宋体"/>
                      <w:color w:val="auto"/>
                      <w:szCs w:val="21"/>
                      <w:highlight w:val="none"/>
                      <w:lang w:eastAsia="zh-CN"/>
                    </w:rPr>
                    <w:t>炉渣统一收集后暂存于灰场，定期外售综合利用；废</w:t>
                  </w:r>
                  <w:r>
                    <w:rPr>
                      <w:rFonts w:hint="eastAsia"/>
                      <w:color w:val="auto"/>
                      <w:szCs w:val="21"/>
                      <w:highlight w:val="none"/>
                    </w:rPr>
                    <w:t>离子交换树脂</w:t>
                  </w:r>
                  <w:r>
                    <w:rPr>
                      <w:rFonts w:hint="eastAsia"/>
                      <w:color w:val="auto"/>
                      <w:szCs w:val="21"/>
                      <w:highlight w:val="none"/>
                      <w:lang w:eastAsia="zh-CN"/>
                    </w:rPr>
                    <w:t>收集后定期交由有资质部门统一处理，厂区内不储存</w:t>
                  </w:r>
                </w:p>
              </w:tc>
              <w:tc>
                <w:tcPr>
                  <w:tcW w:w="1480" w:type="dxa"/>
                  <w:vAlign w:val="center"/>
                </w:tcPr>
                <w:p>
                  <w:pPr>
                    <w:jc w:val="center"/>
                    <w:rPr>
                      <w:rFonts w:hint="eastAsia" w:hAnsi="宋体" w:eastAsia="宋体"/>
                      <w:color w:val="auto"/>
                      <w:szCs w:val="21"/>
                      <w:highlight w:val="none"/>
                      <w:lang w:eastAsia="zh-CN"/>
                    </w:rPr>
                  </w:pPr>
                  <w:r>
                    <w:rPr>
                      <w:rFonts w:hint="eastAsia" w:hAnsi="宋体"/>
                      <w:color w:val="auto"/>
                      <w:szCs w:val="21"/>
                      <w:highlight w:val="none"/>
                      <w:lang w:eastAsia="zh-CN"/>
                    </w:rPr>
                    <w:t>依托</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90" w:hRule="atLeast"/>
                <w:jc w:val="center"/>
              </w:trPr>
              <w:tc>
                <w:tcPr>
                  <w:tcW w:w="657" w:type="dxa"/>
                  <w:vMerge w:val="continue"/>
                  <w:vAlign w:val="center"/>
                </w:tcPr>
                <w:p>
                  <w:pPr>
                    <w:jc w:val="center"/>
                    <w:rPr>
                      <w:color w:val="auto"/>
                      <w:szCs w:val="21"/>
                      <w:highlight w:val="none"/>
                    </w:rPr>
                  </w:pPr>
                </w:p>
              </w:tc>
              <w:tc>
                <w:tcPr>
                  <w:tcW w:w="866" w:type="dxa"/>
                  <w:vAlign w:val="center"/>
                </w:tcPr>
                <w:p>
                  <w:pPr>
                    <w:jc w:val="center"/>
                    <w:rPr>
                      <w:color w:val="auto"/>
                      <w:szCs w:val="21"/>
                      <w:highlight w:val="none"/>
                    </w:rPr>
                  </w:pPr>
                  <w:r>
                    <w:rPr>
                      <w:rFonts w:hAnsi="宋体"/>
                      <w:color w:val="auto"/>
                      <w:szCs w:val="21"/>
                      <w:highlight w:val="none"/>
                    </w:rPr>
                    <w:t>噪声</w:t>
                  </w:r>
                </w:p>
              </w:tc>
              <w:tc>
                <w:tcPr>
                  <w:tcW w:w="5502" w:type="dxa"/>
                  <w:gridSpan w:val="2"/>
                  <w:vAlign w:val="center"/>
                </w:tcPr>
                <w:p>
                  <w:pPr>
                    <w:jc w:val="center"/>
                    <w:rPr>
                      <w:color w:val="auto"/>
                      <w:szCs w:val="21"/>
                      <w:highlight w:val="none"/>
                    </w:rPr>
                  </w:pPr>
                  <w:r>
                    <w:rPr>
                      <w:rFonts w:hAnsi="宋体"/>
                      <w:color w:val="auto"/>
                      <w:szCs w:val="21"/>
                      <w:highlight w:val="none"/>
                    </w:rPr>
                    <w:t>采用低噪声设备、厂房隔声、基础减振、厂区绿化等</w:t>
                  </w:r>
                </w:p>
              </w:tc>
              <w:tc>
                <w:tcPr>
                  <w:tcW w:w="1480" w:type="dxa"/>
                  <w:vAlign w:val="center"/>
                </w:tcPr>
                <w:p>
                  <w:pPr>
                    <w:jc w:val="center"/>
                    <w:rPr>
                      <w:color w:val="auto"/>
                      <w:szCs w:val="21"/>
                      <w:highlight w:val="none"/>
                    </w:rPr>
                  </w:pPr>
                  <w:r>
                    <w:rPr>
                      <w:rFonts w:hint="eastAsia" w:hAnsi="宋体"/>
                      <w:color w:val="auto"/>
                      <w:szCs w:val="21"/>
                      <w:highlight w:val="none"/>
                      <w:lang w:eastAsia="zh-CN"/>
                    </w:rPr>
                    <w:t>已</w:t>
                  </w:r>
                  <w:r>
                    <w:rPr>
                      <w:rFonts w:hAnsi="宋体"/>
                      <w:color w:val="auto"/>
                      <w:szCs w:val="21"/>
                      <w:highlight w:val="none"/>
                    </w:rPr>
                    <w:t>建</w:t>
                  </w:r>
                </w:p>
              </w:tc>
            </w:tr>
          </w:tbl>
          <w:p>
            <w:pPr>
              <w:tabs>
                <w:tab w:val="left" w:pos="6480"/>
              </w:tabs>
              <w:spacing w:line="500" w:lineRule="exact"/>
              <w:ind w:firstLine="482" w:firstLineChars="200"/>
              <w:rPr>
                <w:b/>
                <w:bCs/>
                <w:color w:val="auto"/>
                <w:sz w:val="24"/>
                <w:highlight w:val="none"/>
              </w:rPr>
            </w:pPr>
            <w:r>
              <w:rPr>
                <w:rFonts w:hint="eastAsia"/>
                <w:b/>
                <w:bCs/>
                <w:color w:val="auto"/>
                <w:sz w:val="24"/>
                <w:highlight w:val="none"/>
              </w:rPr>
              <w:t>3.</w:t>
            </w:r>
            <w:r>
              <w:rPr>
                <w:b/>
                <w:bCs/>
                <w:color w:val="auto"/>
                <w:sz w:val="24"/>
                <w:highlight w:val="none"/>
              </w:rPr>
              <w:t>主要原辅材料</w:t>
            </w:r>
          </w:p>
          <w:p>
            <w:pPr>
              <w:spacing w:line="500" w:lineRule="exact"/>
              <w:ind w:firstLine="480" w:firstLineChars="200"/>
              <w:rPr>
                <w:rFonts w:hAnsi="宋体"/>
                <w:color w:val="auto"/>
                <w:sz w:val="24"/>
                <w:highlight w:val="none"/>
              </w:rPr>
            </w:pPr>
            <w:r>
              <w:rPr>
                <w:rFonts w:hint="eastAsia" w:hAnsi="宋体"/>
                <w:color w:val="auto"/>
                <w:sz w:val="24"/>
                <w:highlight w:val="none"/>
              </w:rPr>
              <w:t>本项目原辅材料用量见表1-2。</w:t>
            </w:r>
          </w:p>
          <w:p>
            <w:pPr>
              <w:pStyle w:val="4"/>
              <w:spacing w:line="500" w:lineRule="exact"/>
              <w:ind w:firstLine="0"/>
              <w:jc w:val="center"/>
              <w:rPr>
                <w:rFonts w:ascii="Times New Roman" w:hAnsi="Times New Roman"/>
                <w:b/>
                <w:color w:val="auto"/>
                <w:highlight w:val="none"/>
              </w:rPr>
            </w:pPr>
            <w:r>
              <w:rPr>
                <w:rFonts w:ascii="Times New Roman" w:hAnsi="宋体"/>
                <w:b/>
                <w:color w:val="auto"/>
                <w:highlight w:val="none"/>
              </w:rPr>
              <w:t>表</w:t>
            </w:r>
            <w:r>
              <w:rPr>
                <w:rFonts w:hint="eastAsia" w:ascii="Times New Roman" w:hAnsi="宋体"/>
                <w:b/>
                <w:color w:val="auto"/>
                <w:highlight w:val="none"/>
              </w:rPr>
              <w:t>1-</w:t>
            </w:r>
            <w:r>
              <w:rPr>
                <w:rFonts w:hint="eastAsia" w:ascii="Times New Roman" w:hAnsi="Times New Roman"/>
                <w:b/>
                <w:color w:val="auto"/>
                <w:highlight w:val="none"/>
              </w:rPr>
              <w:t>2 原辅材料</w:t>
            </w:r>
            <w:r>
              <w:rPr>
                <w:rFonts w:hint="eastAsia" w:ascii="Times New Roman" w:hAnsi="宋体"/>
                <w:b/>
                <w:color w:val="auto"/>
                <w:highlight w:val="none"/>
              </w:rPr>
              <w:t>消耗量</w:t>
            </w:r>
          </w:p>
          <w:tbl>
            <w:tblPr>
              <w:tblStyle w:val="36"/>
              <w:tblW w:w="85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2"/>
              <w:gridCol w:w="1740"/>
              <w:gridCol w:w="1453"/>
              <w:gridCol w:w="1596"/>
              <w:gridCol w:w="284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2" w:type="dxa"/>
                  <w:shd w:val="clear" w:color="auto" w:fill="auto"/>
                  <w:vAlign w:val="center"/>
                </w:tcPr>
                <w:p>
                  <w:pPr>
                    <w:widowControl/>
                    <w:spacing w:line="280" w:lineRule="exact"/>
                    <w:jc w:val="center"/>
                    <w:rPr>
                      <w:b/>
                      <w:color w:val="FF0000"/>
                      <w:kern w:val="0"/>
                      <w:szCs w:val="21"/>
                      <w:highlight w:val="none"/>
                    </w:rPr>
                  </w:pPr>
                  <w:r>
                    <w:rPr>
                      <w:b/>
                      <w:color w:val="FF0000"/>
                      <w:kern w:val="0"/>
                      <w:szCs w:val="21"/>
                      <w:highlight w:val="none"/>
                    </w:rPr>
                    <w:t>序号</w:t>
                  </w:r>
                </w:p>
              </w:tc>
              <w:tc>
                <w:tcPr>
                  <w:tcW w:w="1740" w:type="dxa"/>
                  <w:shd w:val="clear" w:color="auto" w:fill="auto"/>
                  <w:vAlign w:val="center"/>
                </w:tcPr>
                <w:p>
                  <w:pPr>
                    <w:widowControl/>
                    <w:spacing w:line="280" w:lineRule="exact"/>
                    <w:jc w:val="center"/>
                    <w:rPr>
                      <w:b/>
                      <w:color w:val="FF0000"/>
                      <w:kern w:val="0"/>
                      <w:szCs w:val="21"/>
                      <w:highlight w:val="none"/>
                    </w:rPr>
                  </w:pPr>
                  <w:r>
                    <w:rPr>
                      <w:b/>
                      <w:color w:val="FF0000"/>
                      <w:kern w:val="0"/>
                      <w:szCs w:val="21"/>
                      <w:highlight w:val="none"/>
                    </w:rPr>
                    <w:t>项目</w:t>
                  </w:r>
                </w:p>
              </w:tc>
              <w:tc>
                <w:tcPr>
                  <w:tcW w:w="1453" w:type="dxa"/>
                  <w:vAlign w:val="center"/>
                </w:tcPr>
                <w:p>
                  <w:pPr>
                    <w:widowControl/>
                    <w:spacing w:line="280" w:lineRule="exact"/>
                    <w:jc w:val="center"/>
                    <w:rPr>
                      <w:b/>
                      <w:color w:val="FF0000"/>
                      <w:kern w:val="0"/>
                      <w:szCs w:val="21"/>
                      <w:highlight w:val="none"/>
                    </w:rPr>
                  </w:pPr>
                  <w:r>
                    <w:rPr>
                      <w:b/>
                      <w:color w:val="FF0000"/>
                      <w:kern w:val="0"/>
                      <w:szCs w:val="21"/>
                      <w:highlight w:val="none"/>
                    </w:rPr>
                    <w:t>单位</w:t>
                  </w:r>
                </w:p>
              </w:tc>
              <w:tc>
                <w:tcPr>
                  <w:tcW w:w="1596" w:type="dxa"/>
                  <w:vAlign w:val="center"/>
                </w:tcPr>
                <w:p>
                  <w:pPr>
                    <w:tabs>
                      <w:tab w:val="left" w:pos="600"/>
                      <w:tab w:val="left" w:pos="840"/>
                      <w:tab w:val="left" w:pos="4800"/>
                    </w:tabs>
                    <w:spacing w:line="280" w:lineRule="exact"/>
                    <w:jc w:val="center"/>
                    <w:rPr>
                      <w:b/>
                      <w:color w:val="FF0000"/>
                      <w:szCs w:val="21"/>
                      <w:highlight w:val="none"/>
                    </w:rPr>
                  </w:pPr>
                  <w:r>
                    <w:rPr>
                      <w:rFonts w:hint="eastAsia"/>
                      <w:b/>
                      <w:color w:val="FF0000"/>
                      <w:szCs w:val="21"/>
                      <w:highlight w:val="none"/>
                    </w:rPr>
                    <w:t>用量</w:t>
                  </w:r>
                </w:p>
              </w:tc>
              <w:tc>
                <w:tcPr>
                  <w:tcW w:w="2844" w:type="dxa"/>
                  <w:vAlign w:val="center"/>
                </w:tcPr>
                <w:p>
                  <w:pPr>
                    <w:spacing w:line="280" w:lineRule="exact"/>
                    <w:jc w:val="center"/>
                    <w:rPr>
                      <w:b/>
                      <w:snapToGrid w:val="0"/>
                      <w:color w:val="FF0000"/>
                      <w:kern w:val="24"/>
                      <w:szCs w:val="21"/>
                      <w:highlight w:val="none"/>
                    </w:rPr>
                  </w:pPr>
                  <w:r>
                    <w:rPr>
                      <w:b/>
                      <w:snapToGrid w:val="0"/>
                      <w:color w:val="FF0000"/>
                      <w:kern w:val="24"/>
                      <w:szCs w:val="21"/>
                      <w:highlight w:val="none"/>
                    </w:rPr>
                    <w:t>备注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2" w:type="dxa"/>
                  <w:shd w:val="clear" w:color="auto" w:fill="auto"/>
                  <w:vAlign w:val="center"/>
                </w:tcPr>
                <w:p>
                  <w:pPr>
                    <w:spacing w:line="280" w:lineRule="exact"/>
                    <w:jc w:val="center"/>
                    <w:rPr>
                      <w:rFonts w:hint="eastAsia" w:eastAsia="宋体"/>
                      <w:color w:val="FF0000"/>
                      <w:szCs w:val="21"/>
                      <w:highlight w:val="none"/>
                      <w:lang w:eastAsia="zh-CN"/>
                    </w:rPr>
                  </w:pPr>
                  <w:r>
                    <w:rPr>
                      <w:rFonts w:hint="eastAsia"/>
                      <w:color w:val="FF0000"/>
                      <w:szCs w:val="21"/>
                      <w:highlight w:val="none"/>
                      <w:lang w:val="en-US" w:eastAsia="zh-CN"/>
                    </w:rPr>
                    <w:t>1</w:t>
                  </w:r>
                </w:p>
              </w:tc>
              <w:tc>
                <w:tcPr>
                  <w:tcW w:w="1740" w:type="dxa"/>
                  <w:shd w:val="clear" w:color="auto" w:fill="auto"/>
                  <w:vAlign w:val="center"/>
                </w:tcPr>
                <w:p>
                  <w:pPr>
                    <w:pStyle w:val="209"/>
                    <w:spacing w:line="280" w:lineRule="exact"/>
                    <w:jc w:val="center"/>
                    <w:rPr>
                      <w:rFonts w:ascii="Times New Roman" w:hAnsi="宋体"/>
                      <w:color w:val="FF0000"/>
                      <w:spacing w:val="-3"/>
                      <w:sz w:val="21"/>
                      <w:szCs w:val="21"/>
                      <w:highlight w:val="none"/>
                      <w:lang w:eastAsia="zh-CN"/>
                    </w:rPr>
                  </w:pPr>
                  <w:r>
                    <w:rPr>
                      <w:rFonts w:hint="eastAsia" w:ascii="Times New Roman" w:hAnsi="宋体"/>
                      <w:color w:val="FF0000"/>
                      <w:spacing w:val="-3"/>
                      <w:sz w:val="21"/>
                      <w:szCs w:val="21"/>
                      <w:highlight w:val="none"/>
                      <w:lang w:eastAsia="zh-CN"/>
                    </w:rPr>
                    <w:t>氧化镁</w:t>
                  </w:r>
                </w:p>
              </w:tc>
              <w:tc>
                <w:tcPr>
                  <w:tcW w:w="1453" w:type="dxa"/>
                  <w:vAlign w:val="center"/>
                </w:tcPr>
                <w:p>
                  <w:pPr>
                    <w:pStyle w:val="209"/>
                    <w:spacing w:line="280" w:lineRule="exact"/>
                    <w:jc w:val="center"/>
                    <w:rPr>
                      <w:rFonts w:ascii="Times New Roman" w:hAnsi="Times New Roman"/>
                      <w:color w:val="FF0000"/>
                      <w:sz w:val="21"/>
                      <w:szCs w:val="21"/>
                      <w:highlight w:val="none"/>
                      <w:lang w:eastAsia="zh-CN"/>
                    </w:rPr>
                  </w:pPr>
                  <w:r>
                    <w:rPr>
                      <w:rFonts w:hint="eastAsia" w:ascii="Times New Roman" w:hAnsi="Times New Roman"/>
                      <w:color w:val="FF0000"/>
                      <w:sz w:val="21"/>
                      <w:szCs w:val="21"/>
                      <w:highlight w:val="none"/>
                      <w:lang w:eastAsia="zh-CN"/>
                    </w:rPr>
                    <w:t>t/a</w:t>
                  </w:r>
                </w:p>
              </w:tc>
              <w:tc>
                <w:tcPr>
                  <w:tcW w:w="1596" w:type="dxa"/>
                  <w:vAlign w:val="center"/>
                </w:tcPr>
                <w:p>
                  <w:pPr>
                    <w:pStyle w:val="209"/>
                    <w:spacing w:line="280" w:lineRule="exact"/>
                    <w:jc w:val="center"/>
                    <w:rPr>
                      <w:rFonts w:hint="default" w:ascii="Times New Roman" w:hAnsi="Times New Roman"/>
                      <w:color w:val="FF0000"/>
                      <w:sz w:val="21"/>
                      <w:szCs w:val="21"/>
                      <w:highlight w:val="none"/>
                      <w:lang w:val="en-US" w:eastAsia="zh-CN"/>
                    </w:rPr>
                  </w:pPr>
                  <w:r>
                    <w:rPr>
                      <w:rFonts w:hint="eastAsia" w:ascii="Times New Roman" w:hAnsi="Times New Roman"/>
                      <w:color w:val="FF0000"/>
                      <w:sz w:val="21"/>
                      <w:szCs w:val="21"/>
                      <w:highlight w:val="none"/>
                      <w:lang w:val="en-US" w:eastAsia="zh-CN"/>
                    </w:rPr>
                    <w:t>200</w:t>
                  </w:r>
                </w:p>
              </w:tc>
              <w:tc>
                <w:tcPr>
                  <w:tcW w:w="2844" w:type="dxa"/>
                  <w:vAlign w:val="center"/>
                </w:tcPr>
                <w:p>
                  <w:pPr>
                    <w:tabs>
                      <w:tab w:val="left" w:pos="600"/>
                      <w:tab w:val="left" w:pos="840"/>
                      <w:tab w:val="left" w:pos="4800"/>
                    </w:tabs>
                    <w:spacing w:line="280" w:lineRule="exact"/>
                    <w:jc w:val="center"/>
                    <w:rPr>
                      <w:color w:val="FF0000"/>
                      <w:szCs w:val="21"/>
                      <w:highlight w:val="none"/>
                    </w:rPr>
                  </w:pPr>
                  <w:r>
                    <w:rPr>
                      <w:rFonts w:hint="eastAsia"/>
                      <w:color w:val="FF0000"/>
                      <w:szCs w:val="21"/>
                      <w:highlight w:val="none"/>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2" w:type="dxa"/>
                  <w:shd w:val="clear" w:color="auto" w:fill="auto"/>
                  <w:vAlign w:val="center"/>
                </w:tcPr>
                <w:p>
                  <w:pPr>
                    <w:spacing w:line="280" w:lineRule="exact"/>
                    <w:jc w:val="center"/>
                    <w:rPr>
                      <w:rFonts w:hint="eastAsia" w:eastAsia="宋体"/>
                      <w:color w:val="FF0000"/>
                      <w:szCs w:val="21"/>
                      <w:highlight w:val="none"/>
                      <w:lang w:eastAsia="zh-CN"/>
                    </w:rPr>
                  </w:pPr>
                  <w:r>
                    <w:rPr>
                      <w:rFonts w:hint="eastAsia"/>
                      <w:color w:val="FF0000"/>
                      <w:szCs w:val="21"/>
                      <w:highlight w:val="none"/>
                      <w:lang w:val="en-US" w:eastAsia="zh-CN"/>
                    </w:rPr>
                    <w:t>2</w:t>
                  </w:r>
                </w:p>
              </w:tc>
              <w:tc>
                <w:tcPr>
                  <w:tcW w:w="1740" w:type="dxa"/>
                  <w:shd w:val="clear" w:color="auto" w:fill="auto"/>
                  <w:vAlign w:val="center"/>
                </w:tcPr>
                <w:p>
                  <w:pPr>
                    <w:pStyle w:val="209"/>
                    <w:spacing w:line="280" w:lineRule="exact"/>
                    <w:jc w:val="center"/>
                    <w:rPr>
                      <w:rFonts w:ascii="Times New Roman" w:hAnsi="宋体"/>
                      <w:color w:val="FF0000"/>
                      <w:spacing w:val="-3"/>
                      <w:sz w:val="21"/>
                      <w:szCs w:val="21"/>
                      <w:highlight w:val="none"/>
                      <w:lang w:eastAsia="zh-CN"/>
                    </w:rPr>
                  </w:pPr>
                  <w:r>
                    <w:rPr>
                      <w:rFonts w:hint="eastAsia" w:ascii="Times New Roman" w:hAnsi="宋体"/>
                      <w:color w:val="FF0000"/>
                      <w:spacing w:val="-3"/>
                      <w:sz w:val="21"/>
                      <w:szCs w:val="21"/>
                      <w:highlight w:val="none"/>
                      <w:lang w:eastAsia="zh-CN"/>
                    </w:rPr>
                    <w:t>尿素</w:t>
                  </w:r>
                </w:p>
              </w:tc>
              <w:tc>
                <w:tcPr>
                  <w:tcW w:w="1453" w:type="dxa"/>
                  <w:vAlign w:val="center"/>
                </w:tcPr>
                <w:p>
                  <w:pPr>
                    <w:pStyle w:val="209"/>
                    <w:spacing w:line="280" w:lineRule="exact"/>
                    <w:jc w:val="center"/>
                    <w:rPr>
                      <w:rFonts w:ascii="Times New Roman" w:hAnsi="Times New Roman"/>
                      <w:color w:val="FF0000"/>
                      <w:sz w:val="21"/>
                      <w:szCs w:val="21"/>
                      <w:highlight w:val="none"/>
                      <w:lang w:eastAsia="zh-CN"/>
                    </w:rPr>
                  </w:pPr>
                  <w:r>
                    <w:rPr>
                      <w:rFonts w:hint="eastAsia" w:ascii="Times New Roman" w:hAnsi="Times New Roman"/>
                      <w:color w:val="FF0000"/>
                      <w:sz w:val="21"/>
                      <w:szCs w:val="21"/>
                      <w:highlight w:val="none"/>
                      <w:lang w:eastAsia="zh-CN"/>
                    </w:rPr>
                    <w:t>t/a</w:t>
                  </w:r>
                </w:p>
              </w:tc>
              <w:tc>
                <w:tcPr>
                  <w:tcW w:w="1596" w:type="dxa"/>
                  <w:vAlign w:val="center"/>
                </w:tcPr>
                <w:p>
                  <w:pPr>
                    <w:pStyle w:val="209"/>
                    <w:spacing w:line="280" w:lineRule="exact"/>
                    <w:jc w:val="center"/>
                    <w:rPr>
                      <w:rFonts w:hint="default" w:ascii="Times New Roman" w:hAnsi="Times New Roman"/>
                      <w:color w:val="FF0000"/>
                      <w:sz w:val="21"/>
                      <w:szCs w:val="21"/>
                      <w:highlight w:val="none"/>
                      <w:lang w:val="en-US" w:eastAsia="zh-CN"/>
                    </w:rPr>
                  </w:pPr>
                  <w:r>
                    <w:rPr>
                      <w:rFonts w:hint="eastAsia" w:ascii="Times New Roman" w:hAnsi="Times New Roman"/>
                      <w:color w:val="FF0000"/>
                      <w:sz w:val="21"/>
                      <w:szCs w:val="21"/>
                      <w:highlight w:val="none"/>
                      <w:lang w:val="en-US" w:eastAsia="zh-CN"/>
                    </w:rPr>
                    <w:t>150</w:t>
                  </w:r>
                </w:p>
              </w:tc>
              <w:tc>
                <w:tcPr>
                  <w:tcW w:w="2844" w:type="dxa"/>
                  <w:vAlign w:val="center"/>
                </w:tcPr>
                <w:p>
                  <w:pPr>
                    <w:tabs>
                      <w:tab w:val="left" w:pos="600"/>
                      <w:tab w:val="left" w:pos="840"/>
                      <w:tab w:val="left" w:pos="4800"/>
                    </w:tabs>
                    <w:spacing w:line="280" w:lineRule="exact"/>
                    <w:jc w:val="center"/>
                    <w:rPr>
                      <w:color w:val="FF0000"/>
                      <w:szCs w:val="21"/>
                      <w:highlight w:val="none"/>
                    </w:rPr>
                  </w:pPr>
                  <w:r>
                    <w:rPr>
                      <w:rFonts w:hint="eastAsia"/>
                      <w:color w:val="FF0000"/>
                      <w:szCs w:val="21"/>
                      <w:highlight w:val="none"/>
                    </w:rPr>
                    <w:t>外购</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72" w:type="dxa"/>
                  <w:shd w:val="clear" w:color="auto" w:fill="auto"/>
                  <w:vAlign w:val="center"/>
                </w:tcPr>
                <w:p>
                  <w:pPr>
                    <w:spacing w:line="280" w:lineRule="exact"/>
                    <w:jc w:val="center"/>
                    <w:rPr>
                      <w:rFonts w:hint="default"/>
                      <w:color w:val="FF0000"/>
                      <w:szCs w:val="21"/>
                      <w:highlight w:val="none"/>
                      <w:lang w:val="en-US" w:eastAsia="zh-CN"/>
                    </w:rPr>
                  </w:pPr>
                  <w:r>
                    <w:rPr>
                      <w:rFonts w:hint="eastAsia"/>
                      <w:color w:val="FF0000"/>
                      <w:szCs w:val="21"/>
                      <w:highlight w:val="none"/>
                      <w:lang w:val="en-US" w:eastAsia="zh-CN"/>
                    </w:rPr>
                    <w:t>3</w:t>
                  </w:r>
                </w:p>
              </w:tc>
              <w:tc>
                <w:tcPr>
                  <w:tcW w:w="1740" w:type="dxa"/>
                  <w:shd w:val="clear" w:color="auto" w:fill="auto"/>
                  <w:vAlign w:val="center"/>
                </w:tcPr>
                <w:p>
                  <w:pPr>
                    <w:pStyle w:val="209"/>
                    <w:spacing w:line="280" w:lineRule="exact"/>
                    <w:jc w:val="center"/>
                    <w:rPr>
                      <w:rFonts w:hint="eastAsia" w:ascii="Times New Roman" w:hAnsi="宋体"/>
                      <w:color w:val="FF0000"/>
                      <w:spacing w:val="-3"/>
                      <w:sz w:val="21"/>
                      <w:szCs w:val="21"/>
                      <w:highlight w:val="none"/>
                      <w:lang w:eastAsia="zh-CN"/>
                    </w:rPr>
                  </w:pPr>
                  <w:r>
                    <w:rPr>
                      <w:rFonts w:hint="eastAsia" w:ascii="Times New Roman" w:hAnsi="宋体"/>
                      <w:color w:val="FF0000"/>
                      <w:spacing w:val="-3"/>
                      <w:sz w:val="21"/>
                      <w:szCs w:val="21"/>
                      <w:highlight w:val="none"/>
                      <w:lang w:eastAsia="zh-CN"/>
                    </w:rPr>
                    <w:t>煤</w:t>
                  </w:r>
                </w:p>
              </w:tc>
              <w:tc>
                <w:tcPr>
                  <w:tcW w:w="1453" w:type="dxa"/>
                  <w:vAlign w:val="center"/>
                </w:tcPr>
                <w:p>
                  <w:pPr>
                    <w:pStyle w:val="209"/>
                    <w:spacing w:line="280" w:lineRule="exact"/>
                    <w:jc w:val="center"/>
                    <w:rPr>
                      <w:rFonts w:hint="default" w:ascii="Times New Roman" w:hAnsi="Times New Roman"/>
                      <w:color w:val="FF0000"/>
                      <w:sz w:val="21"/>
                      <w:szCs w:val="21"/>
                      <w:highlight w:val="none"/>
                      <w:lang w:val="en-US" w:eastAsia="zh-CN"/>
                    </w:rPr>
                  </w:pPr>
                  <w:r>
                    <w:rPr>
                      <w:rFonts w:hint="eastAsia" w:ascii="Times New Roman" w:hAnsi="Times New Roman"/>
                      <w:color w:val="FF0000"/>
                      <w:sz w:val="21"/>
                      <w:szCs w:val="21"/>
                      <w:highlight w:val="none"/>
                      <w:lang w:val="en-US" w:eastAsia="zh-CN"/>
                    </w:rPr>
                    <w:t>t/a</w:t>
                  </w:r>
                </w:p>
              </w:tc>
              <w:tc>
                <w:tcPr>
                  <w:tcW w:w="1596" w:type="dxa"/>
                  <w:vAlign w:val="center"/>
                </w:tcPr>
                <w:p>
                  <w:pPr>
                    <w:pStyle w:val="209"/>
                    <w:spacing w:line="280" w:lineRule="exact"/>
                    <w:jc w:val="center"/>
                    <w:rPr>
                      <w:rFonts w:hint="default" w:ascii="Times New Roman" w:hAnsi="Times New Roman"/>
                      <w:color w:val="FF0000"/>
                      <w:sz w:val="21"/>
                      <w:szCs w:val="21"/>
                      <w:highlight w:val="none"/>
                      <w:lang w:val="en-US" w:eastAsia="zh-CN"/>
                    </w:rPr>
                  </w:pPr>
                  <w:r>
                    <w:rPr>
                      <w:rFonts w:hint="eastAsia" w:ascii="Times New Roman" w:hAnsi="Times New Roman"/>
                      <w:color w:val="FF0000"/>
                      <w:sz w:val="21"/>
                      <w:szCs w:val="21"/>
                      <w:highlight w:val="none"/>
                      <w:lang w:val="en-US" w:eastAsia="zh-CN"/>
                    </w:rPr>
                    <w:t>15000</w:t>
                  </w:r>
                </w:p>
              </w:tc>
              <w:tc>
                <w:tcPr>
                  <w:tcW w:w="2844" w:type="dxa"/>
                  <w:vAlign w:val="center"/>
                </w:tcPr>
                <w:p>
                  <w:pPr>
                    <w:tabs>
                      <w:tab w:val="left" w:pos="600"/>
                      <w:tab w:val="left" w:pos="840"/>
                      <w:tab w:val="left" w:pos="4800"/>
                    </w:tabs>
                    <w:spacing w:line="280" w:lineRule="exact"/>
                    <w:jc w:val="center"/>
                    <w:rPr>
                      <w:rFonts w:hint="default" w:eastAsia="宋体"/>
                      <w:color w:val="FF0000"/>
                      <w:szCs w:val="21"/>
                      <w:highlight w:val="none"/>
                      <w:lang w:val="en-US" w:eastAsia="zh-CN"/>
                    </w:rPr>
                  </w:pPr>
                  <w:r>
                    <w:rPr>
                      <w:rFonts w:hint="eastAsia"/>
                      <w:color w:val="FF0000"/>
                      <w:szCs w:val="21"/>
                      <w:highlight w:val="none"/>
                      <w:lang w:val="en-US" w:eastAsia="zh-CN"/>
                    </w:rPr>
                    <w:t>外购</w:t>
                  </w:r>
                </w:p>
              </w:tc>
            </w:tr>
          </w:tbl>
          <w:p>
            <w:pPr>
              <w:adjustRightInd w:val="0"/>
              <w:spacing w:line="360" w:lineRule="auto"/>
              <w:ind w:right="113" w:firstLine="482" w:firstLineChars="200"/>
              <w:textAlignment w:val="baseline"/>
              <w:rPr>
                <w:b/>
                <w:color w:val="auto"/>
                <w:kern w:val="0"/>
                <w:sz w:val="24"/>
                <w:szCs w:val="28"/>
                <w:highlight w:val="none"/>
              </w:rPr>
            </w:pPr>
            <w:r>
              <w:rPr>
                <w:rFonts w:hint="eastAsia"/>
                <w:b/>
                <w:color w:val="auto"/>
                <w:kern w:val="0"/>
                <w:sz w:val="24"/>
                <w:szCs w:val="28"/>
                <w:highlight w:val="none"/>
              </w:rPr>
              <w:t>4.</w:t>
            </w:r>
            <w:r>
              <w:rPr>
                <w:b/>
                <w:color w:val="auto"/>
                <w:kern w:val="0"/>
                <w:sz w:val="24"/>
                <w:szCs w:val="28"/>
                <w:highlight w:val="none"/>
              </w:rPr>
              <w:t>主要设备</w:t>
            </w:r>
          </w:p>
          <w:p>
            <w:pPr>
              <w:spacing w:line="360" w:lineRule="auto"/>
              <w:ind w:firstLine="480" w:firstLineChars="200"/>
              <w:rPr>
                <w:color w:val="auto"/>
                <w:sz w:val="24"/>
                <w:szCs w:val="28"/>
                <w:highlight w:val="none"/>
              </w:rPr>
            </w:pPr>
            <w:r>
              <w:rPr>
                <w:color w:val="auto"/>
                <w:sz w:val="24"/>
                <w:szCs w:val="28"/>
                <w:highlight w:val="none"/>
              </w:rPr>
              <w:t>本项目主要设备见表</w:t>
            </w:r>
            <w:r>
              <w:rPr>
                <w:rFonts w:hint="eastAsia"/>
                <w:color w:val="auto"/>
                <w:sz w:val="24"/>
                <w:szCs w:val="28"/>
                <w:highlight w:val="none"/>
              </w:rPr>
              <w:t>1-3</w:t>
            </w:r>
            <w:r>
              <w:rPr>
                <w:color w:val="auto"/>
                <w:sz w:val="24"/>
                <w:szCs w:val="28"/>
                <w:highlight w:val="none"/>
              </w:rPr>
              <w:t>。</w:t>
            </w:r>
          </w:p>
          <w:p>
            <w:pPr>
              <w:adjustRightInd w:val="0"/>
              <w:snapToGrid w:val="0"/>
              <w:ind w:firstLine="482" w:firstLineChars="200"/>
              <w:jc w:val="center"/>
              <w:rPr>
                <w:b/>
                <w:color w:val="auto"/>
                <w:sz w:val="24"/>
                <w:szCs w:val="20"/>
                <w:highlight w:val="none"/>
              </w:rPr>
            </w:pPr>
            <w:r>
              <w:rPr>
                <w:b/>
                <w:color w:val="auto"/>
                <w:sz w:val="24"/>
                <w:szCs w:val="20"/>
                <w:highlight w:val="none"/>
              </w:rPr>
              <w:t>表</w:t>
            </w:r>
            <w:r>
              <w:rPr>
                <w:rFonts w:hint="eastAsia"/>
                <w:b/>
                <w:color w:val="auto"/>
                <w:sz w:val="24"/>
                <w:szCs w:val="20"/>
                <w:highlight w:val="none"/>
              </w:rPr>
              <w:t>1-3</w:t>
            </w:r>
            <w:r>
              <w:rPr>
                <w:b/>
                <w:color w:val="auto"/>
                <w:sz w:val="24"/>
                <w:szCs w:val="20"/>
                <w:highlight w:val="none"/>
              </w:rPr>
              <w:t>主要设备一览表</w:t>
            </w:r>
          </w:p>
          <w:tbl>
            <w:tblPr>
              <w:tblStyle w:val="36"/>
              <w:tblW w:w="8505" w:type="dxa"/>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108" w:type="dxa"/>
                <w:bottom w:w="0" w:type="dxa"/>
                <w:right w:w="108" w:type="dxa"/>
              </w:tblCellMar>
            </w:tblPr>
            <w:tblGrid>
              <w:gridCol w:w="561"/>
              <w:gridCol w:w="2064"/>
              <w:gridCol w:w="3491"/>
              <w:gridCol w:w="846"/>
              <w:gridCol w:w="1543"/>
            </w:tblGrid>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序号</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项目名称</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规格型号</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单位</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数量</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一</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除尘系统</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布袋除尘器</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LCM-20</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color w:val="auto"/>
                      <w:sz w:val="21"/>
                      <w:szCs w:val="21"/>
                      <w:highlight w:val="none"/>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手动插板阀</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240*240</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个</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3</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星型卸料器</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240*240</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4</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振动电机</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0.37kw</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5</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冷风阀</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φ300</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6</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减压阀</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个</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7</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气动三联件</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AC5000-10</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个</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8</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差压变送器</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0-5000Pa</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9</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温度传感器</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PT100</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10</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球阀</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6分</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个</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11</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球阀</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2吋</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个</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5</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12</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蝶阀</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2.5吋</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个</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6</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13</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止回阀</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2吋</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个</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14</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法兰、管件、螺栓</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各种规格</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批</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15</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螺杆空压机</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FD30A22kw</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16</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储气罐</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2m</w:t>
                  </w:r>
                  <w:r>
                    <w:rPr>
                      <w:rFonts w:hint="default" w:ascii="Times New Roman" w:hAnsi="Times New Roman" w:cs="Times New Roman"/>
                      <w:color w:val="auto"/>
                      <w:sz w:val="21"/>
                      <w:szCs w:val="21"/>
                      <w:highlight w:val="none"/>
                      <w:vertAlign w:val="superscript"/>
                    </w:rPr>
                    <w:t>3</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17</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压缩空气管路</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2.5吋</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m</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60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18</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刮板机</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FU270×8000</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19</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除尘器烟道</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2000×1000</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68.59</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20</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除尘器烟道</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1500×1500</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12.54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21</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除尘器烟道</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Φ1200</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21.22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22</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脉冲控制柜</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PLC脉冲控制（含卸灰）</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23</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传感器屏蔽电缆</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RVVP 2×0.5（PLC柜引出）</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米</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24</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脉冲阀控制电缆</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KVV 12×0.75（PLC柜引出）</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米</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100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25</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振打电机电缆</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VV 4×2.5（小于4kw）（PLC柜引出）</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米</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26</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星型卸料器电缆</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VV 4×2.5（小于4kw）（PLC柜引出）</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米</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27</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螺杆空压机电缆</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VV 3×16+1×10（小于30kw）单独供电</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米</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40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28</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刮板机电缆</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VV3×2.5+1×1.5</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米</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50</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29</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引风机</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30</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鼓风机</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二</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脱硫系统</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氧化镁脱硫塔</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Q=65000m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/h  效率90%  Φ3400×H21000</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座</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169"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塔内旋流板</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δ=3mm，一层，316L</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Cs/>
                      <w:color w:val="auto"/>
                      <w:sz w:val="21"/>
                      <w:szCs w:val="21"/>
                      <w:highlight w:val="none"/>
                      <w:lang w:eastAsia="zh-CN"/>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3</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塔内喷淋装置喷嘴</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四层，涡流，碳化硅</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个</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48</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塔内喷淋装置喷淋管</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材质316L</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套</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4</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5</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塔内装置支架</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材质碳钢防腐</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套</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6</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扰流泵</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Q=80m</w:t>
                  </w:r>
                  <w:r>
                    <w:rPr>
                      <w:rFonts w:hint="eastAsia"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rPr>
                    <w:t>/h，H=28m</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7</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除雾器</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两层除雾器+三层反冲洗</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val="en-US" w:eastAsia="zh-CN"/>
                    </w:rPr>
                    <w:t>8</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循环</w:t>
                  </w:r>
                  <w:r>
                    <w:rPr>
                      <w:rFonts w:hint="eastAsia" w:cs="Times New Roman"/>
                      <w:color w:val="auto"/>
                      <w:sz w:val="21"/>
                      <w:szCs w:val="21"/>
                      <w:highlight w:val="none"/>
                      <w:lang w:eastAsia="zh-CN"/>
                    </w:rPr>
                    <w:t>水</w:t>
                  </w:r>
                  <w:r>
                    <w:rPr>
                      <w:rFonts w:hint="default" w:ascii="Times New Roman" w:hAnsi="Times New Roman" w:cs="Times New Roman"/>
                      <w:color w:val="auto"/>
                      <w:sz w:val="21"/>
                      <w:szCs w:val="21"/>
                      <w:highlight w:val="none"/>
                    </w:rPr>
                    <w:t>泵</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Q=15080m</w:t>
                  </w:r>
                  <w:r>
                    <w:rPr>
                      <w:rFonts w:hint="eastAsia" w:ascii="Times New Roman" w:hAnsi="Times New Roman" w:cs="Times New Roman"/>
                      <w:color w:val="auto"/>
                      <w:sz w:val="21"/>
                      <w:szCs w:val="21"/>
                      <w:highlight w:val="none"/>
                      <w:vertAlign w:val="superscript"/>
                      <w:lang w:val="en-US" w:eastAsia="zh-CN"/>
                    </w:rPr>
                    <w:t>3</w:t>
                  </w:r>
                  <w:r>
                    <w:rPr>
                      <w:rFonts w:hint="default" w:ascii="Times New Roman" w:hAnsi="Times New Roman" w:cs="Times New Roman"/>
                      <w:color w:val="auto"/>
                      <w:sz w:val="21"/>
                      <w:szCs w:val="21"/>
                      <w:highlight w:val="none"/>
                    </w:rPr>
                    <w:t>/h，H=28m/20m/32m/34m</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eastAsia" w:ascii="Times New Roman" w:hAnsi="Times New Roman" w:eastAsia="宋体" w:cs="Times New Roman"/>
                      <w:bCs/>
                      <w:color w:val="auto"/>
                      <w:sz w:val="21"/>
                      <w:szCs w:val="21"/>
                      <w:highlight w:val="none"/>
                      <w:lang w:eastAsia="zh-CN"/>
                    </w:rPr>
                  </w:pPr>
                  <w:r>
                    <w:rPr>
                      <w:rFonts w:hint="eastAsia" w:cs="Times New Roman"/>
                      <w:color w:val="auto"/>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9</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水泵</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三</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脱硝系统</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eastAsia" w:cs="Times New Roman"/>
                      <w:color w:val="auto"/>
                      <w:sz w:val="21"/>
                      <w:szCs w:val="21"/>
                      <w:highlight w:val="none"/>
                      <w:lang w:val="en-US" w:eastAsia="zh-CN"/>
                    </w:rPr>
                    <w:t>-</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1</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SNCR脱硝系统</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eastAsia" w:cs="Times New Roman"/>
                      <w:color w:val="auto"/>
                      <w:sz w:val="21"/>
                      <w:szCs w:val="21"/>
                      <w:highlight w:val="none"/>
                      <w:lang w:val="en-US" w:eastAsia="zh-CN"/>
                    </w:rPr>
                    <w:t>-</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套</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Cs/>
                      <w:color w:val="auto"/>
                      <w:sz w:val="21"/>
                      <w:szCs w:val="21"/>
                      <w:highlight w:val="none"/>
                      <w:lang w:eastAsia="zh-CN"/>
                    </w:rPr>
                  </w:pPr>
                  <w:r>
                    <w:rPr>
                      <w:rFonts w:hint="eastAsia" w:cs="Times New Roman"/>
                      <w:color w:val="auto"/>
                      <w:sz w:val="21"/>
                      <w:szCs w:val="21"/>
                      <w:highlight w:val="none"/>
                      <w:lang w:val="en-US" w:eastAsia="zh-CN"/>
                    </w:rPr>
                    <w:t>3</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储罐</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eastAsia" w:cs="Times New Roman"/>
                      <w:color w:val="auto"/>
                      <w:sz w:val="21"/>
                      <w:szCs w:val="21"/>
                      <w:highlight w:val="none"/>
                      <w:lang w:val="en-US" w:eastAsia="zh-CN"/>
                    </w:rPr>
                    <w:t>-</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水泵</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eastAsia" w:cs="Times New Roman"/>
                      <w:color w:val="auto"/>
                      <w:sz w:val="21"/>
                      <w:szCs w:val="21"/>
                      <w:highlight w:val="none"/>
                      <w:lang w:val="en-US" w:eastAsia="zh-CN"/>
                    </w:rPr>
                    <w:t>-</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r>
            <w:tr>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28" w:hRule="atLeast"/>
                <w:jc w:val="center"/>
              </w:trPr>
              <w:tc>
                <w:tcPr>
                  <w:tcW w:w="56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4</w:t>
                  </w:r>
                </w:p>
              </w:tc>
              <w:tc>
                <w:tcPr>
                  <w:tcW w:w="2064"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循环水泵</w:t>
                  </w:r>
                </w:p>
              </w:tc>
              <w:tc>
                <w:tcPr>
                  <w:tcW w:w="3491"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color w:val="auto"/>
                      <w:sz w:val="21"/>
                      <w:szCs w:val="21"/>
                      <w:highlight w:val="none"/>
                    </w:rPr>
                  </w:pPr>
                  <w:r>
                    <w:rPr>
                      <w:rFonts w:hint="eastAsia" w:cs="Times New Roman"/>
                      <w:color w:val="auto"/>
                      <w:sz w:val="21"/>
                      <w:szCs w:val="21"/>
                      <w:highlight w:val="none"/>
                      <w:lang w:val="en-US" w:eastAsia="zh-CN"/>
                    </w:rPr>
                    <w:t>-</w:t>
                  </w:r>
                </w:p>
              </w:tc>
              <w:tc>
                <w:tcPr>
                  <w:tcW w:w="846"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台</w:t>
                  </w:r>
                </w:p>
              </w:tc>
              <w:tc>
                <w:tcPr>
                  <w:tcW w:w="1543" w:type="dxa"/>
                  <w:tcMar>
                    <w:top w:w="15" w:type="dxa"/>
                    <w:left w:w="15" w:type="dxa"/>
                    <w:bottom w:w="15" w:type="dxa"/>
                    <w:right w:w="15" w:type="dxa"/>
                  </w:tcMar>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2</w:t>
                  </w:r>
                </w:p>
              </w:tc>
            </w:tr>
          </w:tbl>
          <w:p>
            <w:pPr>
              <w:tabs>
                <w:tab w:val="left" w:pos="6480"/>
              </w:tabs>
              <w:adjustRightInd w:val="0"/>
              <w:snapToGrid w:val="0"/>
              <w:spacing w:line="360" w:lineRule="auto"/>
              <w:ind w:firstLine="482" w:firstLineChars="200"/>
              <w:rPr>
                <w:b/>
                <w:bCs/>
                <w:color w:val="auto"/>
                <w:sz w:val="24"/>
                <w:highlight w:val="none"/>
              </w:rPr>
            </w:pPr>
            <w:r>
              <w:rPr>
                <w:rFonts w:hint="eastAsia"/>
                <w:b/>
                <w:bCs/>
                <w:color w:val="auto"/>
                <w:sz w:val="24"/>
                <w:highlight w:val="none"/>
              </w:rPr>
              <w:t>5</w:t>
            </w:r>
            <w:r>
              <w:rPr>
                <w:b/>
                <w:bCs/>
                <w:color w:val="auto"/>
                <w:sz w:val="24"/>
                <w:highlight w:val="none"/>
              </w:rPr>
              <w:t>.</w:t>
            </w:r>
            <w:r>
              <w:rPr>
                <w:rFonts w:hint="eastAsia"/>
                <w:b/>
                <w:bCs/>
                <w:color w:val="auto"/>
                <w:sz w:val="24"/>
                <w:highlight w:val="none"/>
              </w:rPr>
              <w:t>公用工程</w:t>
            </w:r>
          </w:p>
          <w:p>
            <w:pPr>
              <w:adjustRightInd w:val="0"/>
              <w:snapToGrid w:val="0"/>
              <w:spacing w:line="360" w:lineRule="auto"/>
              <w:ind w:firstLine="480" w:firstLineChars="200"/>
              <w:textAlignment w:val="center"/>
              <w:rPr>
                <w:color w:val="auto"/>
                <w:sz w:val="24"/>
                <w:highlight w:val="none"/>
              </w:rPr>
            </w:pPr>
            <w:r>
              <w:rPr>
                <w:rFonts w:hint="eastAsia"/>
                <w:color w:val="auto"/>
                <w:sz w:val="24"/>
                <w:highlight w:val="none"/>
              </w:rPr>
              <w:t>（1）给水</w:t>
            </w:r>
          </w:p>
          <w:p>
            <w:pPr>
              <w:tabs>
                <w:tab w:val="left" w:pos="6480"/>
              </w:tabs>
              <w:adjustRightInd w:val="0"/>
              <w:snapToGrid w:val="0"/>
              <w:spacing w:line="360" w:lineRule="auto"/>
              <w:ind w:firstLine="480" w:firstLineChars="200"/>
              <w:jc w:val="left"/>
              <w:rPr>
                <w:rFonts w:hAnsi="宋体"/>
                <w:color w:val="auto"/>
                <w:sz w:val="24"/>
                <w:highlight w:val="none"/>
              </w:rPr>
            </w:pPr>
            <w:r>
              <w:rPr>
                <w:rFonts w:hint="eastAsia" w:hAnsi="宋体"/>
                <w:color w:val="auto"/>
                <w:sz w:val="24"/>
                <w:highlight w:val="none"/>
              </w:rPr>
              <w:t>本项目供水水源依托现有工程，不新建。</w:t>
            </w:r>
            <w:r>
              <w:rPr>
                <w:rFonts w:hAnsi="宋体"/>
                <w:color w:val="auto"/>
                <w:sz w:val="24"/>
                <w:highlight w:val="none"/>
              </w:rPr>
              <w:t>本项目不新增员工，不增加员工生活用水</w:t>
            </w:r>
            <w:r>
              <w:rPr>
                <w:rFonts w:hint="eastAsia" w:hAnsi="宋体"/>
                <w:color w:val="auto"/>
                <w:sz w:val="24"/>
                <w:highlight w:val="none"/>
                <w:lang w:eastAsia="zh-CN"/>
              </w:rPr>
              <w:t>，</w:t>
            </w:r>
            <w:r>
              <w:rPr>
                <w:rFonts w:hint="eastAsia" w:hAnsi="宋体"/>
                <w:color w:val="auto"/>
                <w:sz w:val="24"/>
                <w:highlight w:val="none"/>
              </w:rPr>
              <w:t>生产用水</w:t>
            </w:r>
            <w:r>
              <w:rPr>
                <w:rFonts w:hint="eastAsia" w:hAnsi="宋体"/>
                <w:color w:val="auto"/>
                <w:sz w:val="24"/>
                <w:highlight w:val="none"/>
                <w:lang w:eastAsia="zh-CN"/>
              </w:rPr>
              <w:t>主要</w:t>
            </w:r>
            <w:r>
              <w:rPr>
                <w:rFonts w:hint="eastAsia" w:hAnsi="宋体"/>
                <w:color w:val="auto"/>
                <w:sz w:val="24"/>
                <w:highlight w:val="none"/>
              </w:rPr>
              <w:t>为脱硫系统补水和脱硝系统补水。</w:t>
            </w:r>
          </w:p>
          <w:p>
            <w:pPr>
              <w:tabs>
                <w:tab w:val="left" w:pos="6480"/>
              </w:tabs>
              <w:adjustRightInd w:val="0"/>
              <w:snapToGrid w:val="0"/>
              <w:spacing w:line="360" w:lineRule="auto"/>
              <w:ind w:firstLine="480" w:firstLineChars="200"/>
              <w:jc w:val="left"/>
              <w:rPr>
                <w:rFonts w:hint="eastAsia" w:hAnsi="宋体"/>
                <w:color w:val="auto"/>
                <w:sz w:val="24"/>
                <w:highlight w:val="none"/>
                <w:lang w:val="en-US" w:eastAsia="zh-CN"/>
              </w:rPr>
            </w:pPr>
            <w:r>
              <w:rPr>
                <w:rFonts w:hint="eastAsia" w:hAnsi="宋体"/>
                <w:color w:val="auto"/>
                <w:sz w:val="24"/>
                <w:highlight w:val="none"/>
              </w:rPr>
              <w:t>脱硝系统补水量为</w:t>
            </w:r>
            <w:r>
              <w:rPr>
                <w:rFonts w:hint="eastAsia" w:hAnsi="宋体"/>
                <w:color w:val="auto"/>
                <w:sz w:val="24"/>
                <w:highlight w:val="none"/>
                <w:lang w:val="en-US" w:eastAsia="zh-CN"/>
              </w:rPr>
              <w:t>6</w:t>
            </w:r>
            <w:r>
              <w:rPr>
                <w:rFonts w:hint="eastAsia" w:hAnsi="宋体"/>
                <w:color w:val="auto"/>
                <w:sz w:val="24"/>
                <w:highlight w:val="none"/>
              </w:rPr>
              <w:t>t/d，脱硫系统</w:t>
            </w:r>
            <w:r>
              <w:rPr>
                <w:rFonts w:hint="eastAsia" w:hAnsi="宋体"/>
                <w:color w:val="auto"/>
                <w:sz w:val="24"/>
                <w:highlight w:val="none"/>
                <w:lang w:eastAsia="zh-CN"/>
              </w:rPr>
              <w:t>需</w:t>
            </w:r>
            <w:r>
              <w:rPr>
                <w:rFonts w:hint="eastAsia" w:hAnsi="宋体"/>
                <w:color w:val="auto"/>
                <w:sz w:val="24"/>
                <w:highlight w:val="none"/>
              </w:rPr>
              <w:t>水量为</w:t>
            </w:r>
            <w:r>
              <w:rPr>
                <w:rFonts w:hint="eastAsia" w:hAnsi="宋体"/>
                <w:color w:val="auto"/>
                <w:sz w:val="24"/>
                <w:highlight w:val="none"/>
                <w:lang w:val="en-US" w:eastAsia="zh-CN"/>
              </w:rPr>
              <w:t>8</w:t>
            </w:r>
            <w:r>
              <w:rPr>
                <w:rFonts w:hAnsi="宋体"/>
                <w:color w:val="auto"/>
                <w:sz w:val="24"/>
                <w:highlight w:val="none"/>
              </w:rPr>
              <w:t>t/d</w:t>
            </w:r>
            <w:r>
              <w:rPr>
                <w:rFonts w:hint="eastAsia" w:hAnsi="宋体"/>
                <w:color w:val="auto"/>
                <w:sz w:val="24"/>
                <w:highlight w:val="none"/>
                <w:lang w:eastAsia="zh-CN"/>
              </w:rPr>
              <w:t>（其中新鲜补水量为</w:t>
            </w:r>
            <w:r>
              <w:rPr>
                <w:rFonts w:hint="eastAsia" w:hAnsi="宋体"/>
                <w:color w:val="auto"/>
                <w:sz w:val="24"/>
                <w:highlight w:val="none"/>
                <w:lang w:val="en-US" w:eastAsia="zh-CN"/>
              </w:rPr>
              <w:t>6</w:t>
            </w:r>
            <w:r>
              <w:rPr>
                <w:rFonts w:hAnsi="宋体"/>
                <w:color w:val="auto"/>
                <w:sz w:val="24"/>
                <w:highlight w:val="none"/>
              </w:rPr>
              <w:t>t/d</w:t>
            </w:r>
            <w:r>
              <w:rPr>
                <w:rFonts w:hint="eastAsia" w:hAnsi="宋体"/>
                <w:color w:val="auto"/>
                <w:sz w:val="24"/>
                <w:highlight w:val="none"/>
                <w:lang w:eastAsia="zh-CN"/>
              </w:rPr>
              <w:t>，循环水量为</w:t>
            </w:r>
            <w:r>
              <w:rPr>
                <w:rFonts w:hint="eastAsia" w:hAnsi="宋体"/>
                <w:color w:val="auto"/>
                <w:sz w:val="24"/>
                <w:highlight w:val="none"/>
                <w:lang w:val="en-US" w:eastAsia="zh-CN"/>
              </w:rPr>
              <w:t>2t/d</w:t>
            </w:r>
            <w:r>
              <w:rPr>
                <w:rFonts w:hint="eastAsia" w:hAnsi="宋体"/>
                <w:color w:val="auto"/>
                <w:sz w:val="24"/>
                <w:highlight w:val="none"/>
                <w:lang w:eastAsia="zh-CN"/>
              </w:rPr>
              <w:t>），脱硫系统用水量为</w:t>
            </w:r>
            <w:r>
              <w:rPr>
                <w:rFonts w:hint="eastAsia" w:hAnsi="宋体"/>
                <w:color w:val="auto"/>
                <w:sz w:val="24"/>
                <w:highlight w:val="none"/>
                <w:lang w:val="en-US" w:eastAsia="zh-CN"/>
              </w:rPr>
              <w:t>1082</w:t>
            </w:r>
            <w:r>
              <w:rPr>
                <w:rFonts w:hint="eastAsia" w:hAnsi="宋体"/>
                <w:color w:val="auto"/>
                <w:sz w:val="24"/>
                <w:highlight w:val="none"/>
              </w:rPr>
              <w:t>t/a</w:t>
            </w:r>
            <w:r>
              <w:rPr>
                <w:rFonts w:hint="eastAsia" w:hAnsi="宋体"/>
                <w:color w:val="auto"/>
                <w:sz w:val="24"/>
                <w:highlight w:val="none"/>
                <w:lang w:eastAsia="zh-CN"/>
              </w:rPr>
              <w:t>，脱硝系统用水量为</w:t>
            </w:r>
            <w:r>
              <w:rPr>
                <w:rFonts w:hint="eastAsia" w:hAnsi="宋体"/>
                <w:color w:val="auto"/>
                <w:sz w:val="24"/>
                <w:highlight w:val="none"/>
                <w:lang w:val="en-US" w:eastAsia="zh-CN"/>
              </w:rPr>
              <w:t>1080</w:t>
            </w:r>
            <w:r>
              <w:rPr>
                <w:rFonts w:hint="eastAsia" w:hAnsi="宋体"/>
                <w:color w:val="auto"/>
                <w:sz w:val="24"/>
                <w:highlight w:val="none"/>
              </w:rPr>
              <w:t>t/a</w:t>
            </w:r>
            <w:r>
              <w:rPr>
                <w:rFonts w:hint="eastAsia" w:hAnsi="宋体"/>
                <w:color w:val="auto"/>
                <w:sz w:val="24"/>
                <w:highlight w:val="none"/>
                <w:lang w:eastAsia="zh-CN"/>
              </w:rPr>
              <w:t>，</w:t>
            </w:r>
            <w:r>
              <w:rPr>
                <w:rFonts w:hint="eastAsia" w:hAnsi="宋体"/>
                <w:color w:val="auto"/>
                <w:sz w:val="24"/>
                <w:highlight w:val="none"/>
              </w:rPr>
              <w:t>因此</w:t>
            </w:r>
            <w:r>
              <w:rPr>
                <w:rFonts w:hAnsi="宋体"/>
                <w:color w:val="auto"/>
                <w:sz w:val="24"/>
                <w:highlight w:val="none"/>
              </w:rPr>
              <w:t>项目总用水量为</w:t>
            </w:r>
            <w:r>
              <w:rPr>
                <w:rFonts w:hint="eastAsia" w:hAnsi="宋体"/>
                <w:color w:val="auto"/>
                <w:sz w:val="24"/>
                <w:highlight w:val="none"/>
                <w:lang w:val="en-US" w:eastAsia="zh-CN"/>
              </w:rPr>
              <w:t>2162</w:t>
            </w:r>
            <w:r>
              <w:rPr>
                <w:rFonts w:hint="eastAsia" w:hAnsi="宋体"/>
                <w:color w:val="auto"/>
                <w:sz w:val="24"/>
                <w:highlight w:val="none"/>
              </w:rPr>
              <w:t>t/a</w:t>
            </w:r>
            <w:r>
              <w:rPr>
                <w:rFonts w:hAnsi="宋体"/>
                <w:color w:val="auto"/>
                <w:sz w:val="24"/>
                <w:highlight w:val="none"/>
              </w:rPr>
              <w:t>。</w:t>
            </w:r>
          </w:p>
          <w:p>
            <w:pPr>
              <w:adjustRightInd w:val="0"/>
              <w:snapToGrid w:val="0"/>
              <w:spacing w:line="360" w:lineRule="auto"/>
              <w:ind w:firstLine="480" w:firstLineChars="200"/>
              <w:textAlignment w:val="center"/>
              <w:rPr>
                <w:color w:val="auto"/>
                <w:sz w:val="24"/>
                <w:highlight w:val="none"/>
              </w:rPr>
            </w:pPr>
            <w:r>
              <w:rPr>
                <w:rFonts w:hint="eastAsia"/>
                <w:color w:val="auto"/>
                <w:sz w:val="24"/>
                <w:highlight w:val="none"/>
              </w:rPr>
              <w:t>（2）排水</w:t>
            </w:r>
          </w:p>
          <w:p>
            <w:pPr>
              <w:tabs>
                <w:tab w:val="left" w:pos="6480"/>
              </w:tabs>
              <w:adjustRightInd w:val="0"/>
              <w:snapToGrid w:val="0"/>
              <w:spacing w:line="360" w:lineRule="auto"/>
              <w:ind w:firstLine="480" w:firstLineChars="200"/>
              <w:jc w:val="left"/>
              <w:rPr>
                <w:rFonts w:hint="eastAsia"/>
                <w:color w:val="auto"/>
                <w:sz w:val="24"/>
                <w:highlight w:val="none"/>
              </w:rPr>
            </w:pPr>
            <w:r>
              <w:rPr>
                <w:rFonts w:hAnsi="宋体"/>
                <w:color w:val="auto"/>
                <w:sz w:val="24"/>
                <w:highlight w:val="none"/>
              </w:rPr>
              <w:t>本项目不新增员工，</w:t>
            </w:r>
            <w:r>
              <w:rPr>
                <w:rFonts w:hint="eastAsia" w:hAnsi="宋体"/>
                <w:color w:val="auto"/>
                <w:sz w:val="24"/>
                <w:highlight w:val="none"/>
              </w:rPr>
              <w:t>故</w:t>
            </w:r>
            <w:r>
              <w:rPr>
                <w:rFonts w:hAnsi="宋体"/>
                <w:color w:val="auto"/>
                <w:sz w:val="24"/>
                <w:highlight w:val="none"/>
              </w:rPr>
              <w:t>不增加员工生活</w:t>
            </w:r>
            <w:r>
              <w:rPr>
                <w:rFonts w:hint="eastAsia" w:hAnsi="宋体"/>
                <w:color w:val="auto"/>
                <w:sz w:val="24"/>
                <w:highlight w:val="none"/>
              </w:rPr>
              <w:t>污</w:t>
            </w:r>
            <w:r>
              <w:rPr>
                <w:rFonts w:hAnsi="宋体"/>
                <w:color w:val="auto"/>
                <w:sz w:val="24"/>
                <w:highlight w:val="none"/>
              </w:rPr>
              <w:t>水；</w:t>
            </w:r>
            <w:r>
              <w:rPr>
                <w:rFonts w:hint="eastAsia" w:hAnsi="宋体"/>
                <w:color w:val="auto"/>
                <w:sz w:val="24"/>
                <w:highlight w:val="none"/>
              </w:rPr>
              <w:t>生产废水主要是脱硫废水。脱硫水</w:t>
            </w:r>
            <w:r>
              <w:rPr>
                <w:rFonts w:hint="eastAsia" w:hAnsi="宋体"/>
                <w:color w:val="auto"/>
                <w:sz w:val="24"/>
                <w:highlight w:val="none"/>
                <w:lang w:eastAsia="zh-CN"/>
              </w:rPr>
              <w:t>消耗量按脱硫系统补水量的</w:t>
            </w:r>
            <w:r>
              <w:rPr>
                <w:rFonts w:hint="eastAsia" w:hAnsi="宋体"/>
                <w:color w:val="auto"/>
                <w:sz w:val="24"/>
                <w:highlight w:val="none"/>
                <w:lang w:val="en-US" w:eastAsia="zh-CN"/>
              </w:rPr>
              <w:t>25</w:t>
            </w:r>
            <w:r>
              <w:rPr>
                <w:rFonts w:hAnsi="宋体"/>
                <w:color w:val="auto"/>
                <w:sz w:val="24"/>
                <w:highlight w:val="none"/>
              </w:rPr>
              <w:t>%</w:t>
            </w:r>
            <w:r>
              <w:rPr>
                <w:rFonts w:hint="eastAsia" w:hAnsi="宋体"/>
                <w:color w:val="auto"/>
                <w:sz w:val="24"/>
                <w:highlight w:val="none"/>
              </w:rPr>
              <w:t>，</w:t>
            </w:r>
            <w:r>
              <w:rPr>
                <w:rFonts w:hint="eastAsia" w:hAnsi="宋体"/>
                <w:color w:val="auto"/>
                <w:sz w:val="24"/>
                <w:highlight w:val="none"/>
                <w:lang w:eastAsia="zh-CN"/>
              </w:rPr>
              <w:t>消耗</w:t>
            </w:r>
            <w:r>
              <w:rPr>
                <w:rFonts w:hint="eastAsia" w:hAnsi="宋体"/>
                <w:color w:val="auto"/>
                <w:sz w:val="24"/>
                <w:highlight w:val="none"/>
              </w:rPr>
              <w:t>量为</w:t>
            </w:r>
            <w:r>
              <w:rPr>
                <w:rFonts w:hint="eastAsia" w:hAnsi="宋体"/>
                <w:color w:val="auto"/>
                <w:sz w:val="24"/>
                <w:highlight w:val="none"/>
                <w:lang w:val="en-US" w:eastAsia="zh-CN"/>
              </w:rPr>
              <w:t>2t/d，360</w:t>
            </w:r>
            <w:r>
              <w:rPr>
                <w:rFonts w:hAnsi="宋体"/>
                <w:color w:val="auto"/>
                <w:sz w:val="24"/>
                <w:highlight w:val="none"/>
              </w:rPr>
              <w:t>t/</w:t>
            </w:r>
            <w:r>
              <w:rPr>
                <w:rFonts w:hint="eastAsia" w:hAnsi="宋体"/>
                <w:color w:val="auto"/>
                <w:sz w:val="24"/>
                <w:highlight w:val="none"/>
                <w:lang w:val="en-US" w:eastAsia="zh-CN"/>
              </w:rPr>
              <w:t>a</w:t>
            </w:r>
            <w:r>
              <w:rPr>
                <w:rFonts w:hint="eastAsia" w:hAnsi="宋体"/>
                <w:color w:val="auto"/>
                <w:sz w:val="24"/>
                <w:highlight w:val="none"/>
                <w:lang w:eastAsia="zh-CN"/>
              </w:rPr>
              <w:t>。</w:t>
            </w:r>
            <w:r>
              <w:rPr>
                <w:rFonts w:hint="eastAsia" w:hAnsi="宋体"/>
                <w:color w:val="auto"/>
                <w:sz w:val="24"/>
                <w:highlight w:val="none"/>
              </w:rPr>
              <w:t>脱硫</w:t>
            </w:r>
            <w:r>
              <w:rPr>
                <w:rFonts w:hint="eastAsia" w:hAnsi="宋体"/>
                <w:color w:val="auto"/>
                <w:sz w:val="24"/>
                <w:highlight w:val="none"/>
                <w:lang w:eastAsia="zh-CN"/>
              </w:rPr>
              <w:t>废</w:t>
            </w:r>
            <w:r>
              <w:rPr>
                <w:rFonts w:hint="eastAsia" w:hAnsi="宋体"/>
                <w:color w:val="auto"/>
                <w:sz w:val="24"/>
                <w:highlight w:val="none"/>
              </w:rPr>
              <w:t>水</w:t>
            </w:r>
            <w:r>
              <w:rPr>
                <w:rFonts w:hint="eastAsia" w:hAnsi="宋体"/>
                <w:color w:val="auto"/>
                <w:sz w:val="24"/>
                <w:highlight w:val="none"/>
                <w:lang w:eastAsia="zh-CN"/>
              </w:rPr>
              <w:t>经混凝沉淀处理后循环使用，不外排</w:t>
            </w:r>
            <w:r>
              <w:rPr>
                <w:rFonts w:hint="eastAsia" w:hAnsi="宋体"/>
                <w:color w:val="auto"/>
                <w:sz w:val="24"/>
                <w:highlight w:val="none"/>
              </w:rPr>
              <w:t>。</w:t>
            </w:r>
            <w:r>
              <w:rPr>
                <w:rFonts w:hint="eastAsia" w:hAnsi="宋体"/>
                <w:color w:val="auto"/>
                <w:sz w:val="24"/>
                <w:highlight w:val="none"/>
                <w:lang w:eastAsia="zh-CN"/>
              </w:rPr>
              <w:t>脱硫水循环水量</w:t>
            </w:r>
            <w:r>
              <w:rPr>
                <w:rFonts w:hint="eastAsia" w:hAnsi="宋体"/>
                <w:color w:val="auto"/>
                <w:sz w:val="24"/>
                <w:highlight w:val="none"/>
              </w:rPr>
              <w:t>为</w:t>
            </w:r>
            <w:r>
              <w:rPr>
                <w:rFonts w:hint="eastAsia" w:hAnsi="宋体"/>
                <w:color w:val="auto"/>
                <w:sz w:val="24"/>
                <w:highlight w:val="none"/>
                <w:lang w:val="en-US" w:eastAsia="zh-CN"/>
              </w:rPr>
              <w:t>6t/d，1080</w:t>
            </w:r>
            <w:r>
              <w:rPr>
                <w:rFonts w:hAnsi="宋体"/>
                <w:color w:val="auto"/>
                <w:sz w:val="24"/>
                <w:highlight w:val="none"/>
              </w:rPr>
              <w:t>t/</w:t>
            </w:r>
            <w:r>
              <w:rPr>
                <w:rFonts w:hint="eastAsia" w:hAnsi="宋体"/>
                <w:color w:val="auto"/>
                <w:sz w:val="24"/>
                <w:highlight w:val="none"/>
                <w:lang w:val="en-US" w:eastAsia="zh-CN"/>
              </w:rPr>
              <w:t>a</w:t>
            </w:r>
            <w:r>
              <w:rPr>
                <w:rFonts w:hint="eastAsia" w:hAnsi="宋体"/>
                <w:color w:val="auto"/>
                <w:sz w:val="24"/>
                <w:highlight w:val="none"/>
                <w:lang w:eastAsia="zh-CN"/>
              </w:rPr>
              <w:t>。</w:t>
            </w:r>
            <w:r>
              <w:rPr>
                <w:rFonts w:hint="eastAsia" w:hAnsi="宋体"/>
                <w:color w:val="auto"/>
                <w:sz w:val="24"/>
                <w:highlight w:val="none"/>
              </w:rPr>
              <w:t>见</w:t>
            </w:r>
            <w:r>
              <w:rPr>
                <w:rFonts w:hint="eastAsia"/>
                <w:color w:val="auto"/>
                <w:sz w:val="24"/>
                <w:highlight w:val="none"/>
              </w:rPr>
              <w:t>水量平衡图1-1。</w:t>
            </w:r>
          </w:p>
          <w:p>
            <w:pPr>
              <w:pStyle w:val="35"/>
              <w:jc w:val="center"/>
              <w:rPr>
                <w:rFonts w:hint="eastAsia"/>
                <w:color w:val="auto"/>
                <w:sz w:val="24"/>
                <w:highlight w:val="none"/>
              </w:rPr>
            </w:pPr>
            <w:r>
              <w:rPr>
                <w:color w:val="auto"/>
                <w:highlight w:val="none"/>
              </w:rPr>
              <w:object>
                <v:shape id="_x0000_i1025" o:spt="75" type="#_x0000_t75" style="height:107.2pt;width:333.15pt;" o:ole="t" filled="f" o:preferrelative="t" stroked="f" coordsize="21600,21600">
                  <v:path/>
                  <v:fill on="f" focussize="0,0"/>
                  <v:stroke on="f"/>
                  <v:imagedata r:id="rId11" cropleft="585f" cropbottom="28256f" o:title=""/>
                  <o:lock v:ext="edit" aspectratio="f"/>
                  <w10:wrap type="none"/>
                  <w10:anchorlock/>
                </v:shape>
                <o:OLEObject Type="Embed" ProgID="Visio.Drawing.11" ShapeID="_x0000_i1025" DrawAspect="Content" ObjectID="_1468075725" r:id="rId10">
                  <o:LockedField>false</o:LockedField>
                </o:OLEObject>
              </w:object>
            </w:r>
          </w:p>
          <w:p>
            <w:pPr>
              <w:jc w:val="center"/>
              <w:rPr>
                <w:b/>
                <w:color w:val="auto"/>
                <w:sz w:val="24"/>
                <w:highlight w:val="none"/>
              </w:rPr>
            </w:pPr>
            <w:r>
              <w:rPr>
                <w:rFonts w:hint="eastAsia"/>
                <w:b/>
                <w:color w:val="auto"/>
                <w:sz w:val="24"/>
                <w:highlight w:val="none"/>
              </w:rPr>
              <w:t>图1-</w:t>
            </w:r>
            <w:r>
              <w:rPr>
                <w:b/>
                <w:color w:val="auto"/>
                <w:sz w:val="24"/>
                <w:highlight w:val="none"/>
              </w:rPr>
              <w:t xml:space="preserve">1  </w:t>
            </w:r>
            <w:r>
              <w:rPr>
                <w:rFonts w:hint="eastAsia"/>
                <w:b/>
                <w:color w:val="auto"/>
                <w:sz w:val="24"/>
                <w:highlight w:val="none"/>
              </w:rPr>
              <w:t>水平衡图  单位：</w:t>
            </w:r>
            <w:r>
              <w:rPr>
                <w:b/>
                <w:color w:val="auto"/>
                <w:sz w:val="24"/>
                <w:highlight w:val="none"/>
              </w:rPr>
              <w:t>t/d</w:t>
            </w:r>
          </w:p>
          <w:p>
            <w:pPr>
              <w:tabs>
                <w:tab w:val="left" w:pos="6480"/>
              </w:tabs>
              <w:spacing w:line="360" w:lineRule="auto"/>
              <w:ind w:firstLine="480" w:firstLineChars="200"/>
              <w:rPr>
                <w:bCs/>
                <w:color w:val="auto"/>
                <w:sz w:val="24"/>
                <w:highlight w:val="none"/>
              </w:rPr>
            </w:pPr>
            <w:r>
              <w:rPr>
                <w:rFonts w:hint="eastAsia"/>
                <w:bCs/>
                <w:color w:val="auto"/>
                <w:sz w:val="24"/>
                <w:highlight w:val="none"/>
              </w:rPr>
              <w:t>（</w:t>
            </w:r>
            <w:r>
              <w:rPr>
                <w:bCs/>
                <w:color w:val="auto"/>
                <w:sz w:val="24"/>
                <w:highlight w:val="none"/>
              </w:rPr>
              <w:t>3</w:t>
            </w:r>
            <w:r>
              <w:rPr>
                <w:rFonts w:hint="eastAsia"/>
                <w:bCs/>
                <w:color w:val="auto"/>
                <w:sz w:val="24"/>
                <w:highlight w:val="none"/>
              </w:rPr>
              <w:t>）供电</w:t>
            </w:r>
          </w:p>
          <w:p>
            <w:pPr>
              <w:tabs>
                <w:tab w:val="left" w:pos="6480"/>
              </w:tabs>
              <w:spacing w:line="360" w:lineRule="auto"/>
              <w:ind w:firstLine="480" w:firstLineChars="200"/>
              <w:rPr>
                <w:snapToGrid w:val="0"/>
                <w:color w:val="auto"/>
                <w:kern w:val="0"/>
                <w:sz w:val="24"/>
                <w:highlight w:val="none"/>
              </w:rPr>
            </w:pPr>
            <w:r>
              <w:rPr>
                <w:rFonts w:hint="eastAsia"/>
                <w:snapToGrid w:val="0"/>
                <w:color w:val="auto"/>
                <w:kern w:val="0"/>
                <w:sz w:val="24"/>
                <w:highlight w:val="none"/>
              </w:rPr>
              <w:t>本项目供电由当地供电管网供给。</w:t>
            </w:r>
          </w:p>
          <w:p>
            <w:pPr>
              <w:tabs>
                <w:tab w:val="left" w:pos="6480"/>
              </w:tabs>
              <w:spacing w:line="360" w:lineRule="auto"/>
              <w:ind w:firstLine="480" w:firstLineChars="200"/>
              <w:rPr>
                <w:bCs/>
                <w:color w:val="auto"/>
                <w:sz w:val="24"/>
                <w:highlight w:val="none"/>
              </w:rPr>
            </w:pPr>
            <w:r>
              <w:rPr>
                <w:rFonts w:hint="eastAsia"/>
                <w:bCs/>
                <w:color w:val="auto"/>
                <w:sz w:val="24"/>
                <w:highlight w:val="none"/>
              </w:rPr>
              <w:t>（4）劳动定员及工作制度</w:t>
            </w:r>
          </w:p>
          <w:p>
            <w:pPr>
              <w:tabs>
                <w:tab w:val="left" w:pos="6480"/>
              </w:tabs>
              <w:spacing w:line="360" w:lineRule="auto"/>
              <w:ind w:firstLine="480" w:firstLineChars="200"/>
              <w:rPr>
                <w:color w:val="auto"/>
                <w:sz w:val="24"/>
                <w:highlight w:val="none"/>
              </w:rPr>
            </w:pPr>
            <w:r>
              <w:rPr>
                <w:rFonts w:hint="eastAsia"/>
                <w:color w:val="auto"/>
                <w:sz w:val="24"/>
                <w:highlight w:val="none"/>
              </w:rPr>
              <w:t>本项目</w:t>
            </w:r>
            <w:r>
              <w:rPr>
                <w:rFonts w:hint="eastAsia"/>
                <w:color w:val="auto"/>
                <w:sz w:val="24"/>
                <w:highlight w:val="none"/>
                <w:lang w:eastAsia="zh-CN"/>
              </w:rPr>
              <w:t>不新增</w:t>
            </w:r>
            <w:r>
              <w:rPr>
                <w:rFonts w:hint="eastAsia"/>
                <w:color w:val="auto"/>
                <w:sz w:val="24"/>
                <w:highlight w:val="none"/>
              </w:rPr>
              <w:t>工作人员。锅炉年运行时间每年10月15日至第二年4月15日，年运行4320小时。</w:t>
            </w:r>
          </w:p>
          <w:p>
            <w:pPr>
              <w:spacing w:line="360" w:lineRule="auto"/>
              <w:ind w:firstLine="482" w:firstLineChars="200"/>
              <w:rPr>
                <w:b/>
                <w:bCs/>
                <w:color w:val="auto"/>
                <w:sz w:val="24"/>
                <w:highlight w:val="none"/>
              </w:rPr>
            </w:pPr>
            <w:r>
              <w:rPr>
                <w:rFonts w:hint="eastAsia"/>
                <w:b/>
                <w:bCs/>
                <w:color w:val="auto"/>
                <w:sz w:val="24"/>
                <w:highlight w:val="none"/>
              </w:rPr>
              <w:t>6</w:t>
            </w:r>
            <w:r>
              <w:rPr>
                <w:b/>
                <w:bCs/>
                <w:color w:val="auto"/>
                <w:sz w:val="24"/>
                <w:highlight w:val="none"/>
              </w:rPr>
              <w:t>.</w:t>
            </w:r>
            <w:r>
              <w:rPr>
                <w:rFonts w:hint="eastAsia"/>
                <w:b/>
                <w:bCs/>
                <w:color w:val="auto"/>
                <w:sz w:val="24"/>
                <w:highlight w:val="none"/>
              </w:rPr>
              <w:t>产业政策符合性分析</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本项目</w:t>
            </w:r>
            <w:r>
              <w:rPr>
                <w:rFonts w:hint="eastAsia" w:cs="Times New Roman"/>
                <w:b w:val="0"/>
                <w:bCs/>
                <w:color w:val="auto"/>
                <w:sz w:val="24"/>
                <w:highlight w:val="none"/>
                <w:lang w:eastAsia="zh-CN"/>
              </w:rPr>
              <w:t>为</w:t>
            </w:r>
            <w:r>
              <w:rPr>
                <w:rFonts w:hint="eastAsia" w:hAnsi="宋体"/>
                <w:snapToGrid w:val="0"/>
                <w:color w:val="auto"/>
                <w:kern w:val="0"/>
                <w:sz w:val="24"/>
                <w:highlight w:val="none"/>
              </w:rPr>
              <w:t>大气污染治理项目</w:t>
            </w:r>
            <w:r>
              <w:rPr>
                <w:rFonts w:hint="eastAsia"/>
                <w:color w:val="auto"/>
                <w:sz w:val="24"/>
                <w:szCs w:val="24"/>
                <w:highlight w:val="none"/>
              </w:rPr>
              <w:t>，</w:t>
            </w:r>
            <w:r>
              <w:rPr>
                <w:rFonts w:hint="default" w:ascii="Times New Roman" w:hAnsi="Times New Roman" w:cs="Times New Roman"/>
                <w:b w:val="0"/>
                <w:bCs/>
                <w:color w:val="auto"/>
                <w:sz w:val="24"/>
                <w:highlight w:val="none"/>
              </w:rPr>
              <w:t>属于《产业结构调整指导目录（201</w:t>
            </w:r>
            <w:r>
              <w:rPr>
                <w:rFonts w:hint="default" w:ascii="Times New Roman" w:hAnsi="Times New Roman" w:cs="Times New Roman"/>
                <w:b w:val="0"/>
                <w:bCs/>
                <w:color w:val="auto"/>
                <w:sz w:val="24"/>
                <w:highlight w:val="none"/>
                <w:lang w:val="en-US" w:eastAsia="zh-CN"/>
              </w:rPr>
              <w:t>9</w:t>
            </w:r>
            <w:r>
              <w:rPr>
                <w:rFonts w:hint="default" w:ascii="Times New Roman" w:hAnsi="Times New Roman" w:cs="Times New Roman"/>
                <w:b w:val="0"/>
                <w:bCs/>
                <w:color w:val="auto"/>
                <w:sz w:val="24"/>
                <w:highlight w:val="none"/>
              </w:rPr>
              <w:t>年本）》（2020年1月1日实施）</w:t>
            </w:r>
            <w:r>
              <w:rPr>
                <w:rFonts w:hint="default" w:ascii="Times New Roman" w:hAnsi="Times New Roman" w:cs="Times New Roman"/>
                <w:b w:val="0"/>
                <w:bCs/>
                <w:color w:val="auto"/>
                <w:sz w:val="24"/>
                <w:highlight w:val="none"/>
                <w:lang w:eastAsia="zh-CN"/>
              </w:rPr>
              <w:t>中“鼓励类”项目，中“二十二、城镇基础设施，</w:t>
            </w:r>
            <w:r>
              <w:rPr>
                <w:rFonts w:hint="default" w:ascii="Times New Roman" w:hAnsi="Times New Roman" w:cs="Times New Roman"/>
                <w:b w:val="0"/>
                <w:bCs/>
                <w:color w:val="auto"/>
                <w:sz w:val="24"/>
                <w:highlight w:val="none"/>
                <w:lang w:val="en-US" w:eastAsia="zh-CN"/>
              </w:rPr>
              <w:t>10城镇集中供热建设和改造工程</w:t>
            </w:r>
            <w:r>
              <w:rPr>
                <w:rFonts w:hint="default" w:ascii="Times New Roman" w:hAnsi="Times New Roman" w:cs="Times New Roman"/>
                <w:b w:val="0"/>
                <w:bCs/>
                <w:color w:val="auto"/>
                <w:sz w:val="24"/>
                <w:highlight w:val="none"/>
                <w:lang w:eastAsia="zh-CN"/>
              </w:rPr>
              <w:t>”项目，符合国家产业政策要求</w:t>
            </w:r>
            <w:r>
              <w:rPr>
                <w:rFonts w:hint="default" w:ascii="Times New Roman" w:hAnsi="Times New Roman" w:cs="Times New Roman"/>
                <w:b w:val="0"/>
                <w:bCs/>
                <w:color w:val="auto"/>
                <w:sz w:val="24"/>
                <w:highlight w:val="none"/>
              </w:rPr>
              <w:t>。</w:t>
            </w:r>
          </w:p>
          <w:p>
            <w:pPr>
              <w:adjustRightInd w:val="0"/>
              <w:spacing w:line="360" w:lineRule="auto"/>
              <w:ind w:firstLine="482" w:firstLineChars="200"/>
              <w:rPr>
                <w:b/>
                <w:color w:val="auto"/>
                <w:sz w:val="24"/>
                <w:highlight w:val="none"/>
              </w:rPr>
            </w:pPr>
            <w:r>
              <w:rPr>
                <w:rFonts w:hint="eastAsia"/>
                <w:b/>
                <w:color w:val="auto"/>
                <w:sz w:val="24"/>
                <w:highlight w:val="none"/>
              </w:rPr>
              <w:t>7</w:t>
            </w:r>
            <w:r>
              <w:rPr>
                <w:b/>
                <w:color w:val="auto"/>
                <w:sz w:val="24"/>
                <w:highlight w:val="none"/>
              </w:rPr>
              <w:t>.</w:t>
            </w:r>
            <w:r>
              <w:rPr>
                <w:rFonts w:hint="eastAsia"/>
                <w:b/>
                <w:color w:val="auto"/>
                <w:sz w:val="24"/>
                <w:highlight w:val="none"/>
              </w:rPr>
              <w:t>选址合理性分析</w:t>
            </w:r>
          </w:p>
          <w:p>
            <w:pPr>
              <w:tabs>
                <w:tab w:val="left" w:pos="3555"/>
              </w:tabs>
              <w:adjustRightInd w:val="0"/>
              <w:spacing w:line="360" w:lineRule="auto"/>
              <w:ind w:firstLine="480" w:firstLineChars="200"/>
              <w:rPr>
                <w:snapToGrid w:val="0"/>
                <w:color w:val="auto"/>
                <w:kern w:val="0"/>
                <w:sz w:val="24"/>
                <w:highlight w:val="none"/>
              </w:rPr>
            </w:pPr>
            <w:r>
              <w:rPr>
                <w:rFonts w:hint="eastAsia"/>
                <w:color w:val="auto"/>
                <w:sz w:val="24"/>
                <w:highlight w:val="none"/>
              </w:rPr>
              <w:t>本项目位于</w:t>
            </w:r>
            <w:r>
              <w:rPr>
                <w:rFonts w:hint="eastAsia"/>
                <w:color w:val="auto"/>
                <w:sz w:val="24"/>
                <w:highlight w:val="none"/>
                <w:lang w:eastAsia="zh-CN"/>
              </w:rPr>
              <w:t>黑龙江省江川农场供热中心院内</w:t>
            </w:r>
            <w:r>
              <w:rPr>
                <w:rFonts w:hint="eastAsia"/>
                <w:color w:val="auto"/>
                <w:sz w:val="24"/>
                <w:highlight w:val="none"/>
              </w:rPr>
              <w:t>，本项目</w:t>
            </w:r>
            <w:r>
              <w:rPr>
                <w:rFonts w:hint="eastAsia"/>
                <w:color w:val="auto"/>
                <w:sz w:val="24"/>
                <w:highlight w:val="none"/>
                <w:lang w:eastAsia="zh-CN"/>
              </w:rPr>
              <w:t>在黑龙江省江川农场供热中心院内建设</w:t>
            </w:r>
            <w:r>
              <w:rPr>
                <w:rFonts w:hint="eastAsia"/>
                <w:color w:val="auto"/>
                <w:sz w:val="24"/>
                <w:highlight w:val="none"/>
              </w:rPr>
              <w:t>，</w:t>
            </w:r>
            <w:r>
              <w:rPr>
                <w:rFonts w:hint="eastAsia"/>
                <w:color w:val="auto"/>
                <w:sz w:val="24"/>
                <w:highlight w:val="none"/>
                <w:lang w:eastAsia="zh-CN"/>
              </w:rPr>
              <w:t>不新增占地。</w:t>
            </w:r>
            <w:r>
              <w:rPr>
                <w:rFonts w:hAnsi="宋体"/>
                <w:bCs/>
                <w:color w:val="auto"/>
                <w:sz w:val="24"/>
                <w:highlight w:val="none"/>
              </w:rPr>
              <w:t>东侧隔</w:t>
            </w:r>
            <w:r>
              <w:rPr>
                <w:rFonts w:hint="eastAsia" w:hAnsi="宋体"/>
                <w:bCs/>
                <w:color w:val="auto"/>
                <w:sz w:val="24"/>
                <w:highlight w:val="none"/>
                <w:lang w:eastAsia="zh-CN"/>
              </w:rPr>
              <w:t>路</w:t>
            </w:r>
            <w:r>
              <w:rPr>
                <w:rFonts w:hint="eastAsia" w:hAnsi="宋体"/>
                <w:bCs/>
                <w:color w:val="auto"/>
                <w:sz w:val="24"/>
                <w:highlight w:val="none"/>
                <w:lang w:val="en-US" w:eastAsia="zh-CN"/>
              </w:rPr>
              <w:t>80米</w:t>
            </w:r>
            <w:r>
              <w:rPr>
                <w:rFonts w:hAnsi="宋体"/>
                <w:bCs/>
                <w:color w:val="auto"/>
                <w:sz w:val="24"/>
                <w:highlight w:val="none"/>
              </w:rPr>
              <w:t>为居民、西侧</w:t>
            </w:r>
            <w:r>
              <w:rPr>
                <w:rFonts w:hint="eastAsia" w:hAnsi="宋体"/>
                <w:bCs/>
                <w:color w:val="auto"/>
                <w:sz w:val="24"/>
                <w:highlight w:val="none"/>
                <w:lang w:eastAsia="zh-CN"/>
              </w:rPr>
              <w:t>隔空地</w:t>
            </w:r>
            <w:r>
              <w:rPr>
                <w:rFonts w:hint="eastAsia" w:hAnsi="宋体"/>
                <w:bCs/>
                <w:color w:val="auto"/>
                <w:sz w:val="24"/>
                <w:highlight w:val="none"/>
                <w:lang w:val="en-US" w:eastAsia="zh-CN"/>
              </w:rPr>
              <w:t>30米为居民</w:t>
            </w:r>
            <w:r>
              <w:rPr>
                <w:rFonts w:hAnsi="宋体"/>
                <w:bCs/>
                <w:color w:val="auto"/>
                <w:sz w:val="24"/>
                <w:highlight w:val="none"/>
              </w:rPr>
              <w:t>、南侧隔</w:t>
            </w:r>
            <w:r>
              <w:rPr>
                <w:rFonts w:hint="eastAsia" w:hAnsi="宋体"/>
                <w:bCs/>
                <w:color w:val="auto"/>
                <w:sz w:val="24"/>
                <w:highlight w:val="none"/>
                <w:lang w:eastAsia="zh-CN"/>
              </w:rPr>
              <w:t>路</w:t>
            </w:r>
            <w:r>
              <w:rPr>
                <w:rFonts w:hint="eastAsia" w:hAnsi="宋体"/>
                <w:bCs/>
                <w:color w:val="auto"/>
                <w:sz w:val="24"/>
                <w:highlight w:val="none"/>
                <w:lang w:val="en-US" w:eastAsia="zh-CN"/>
              </w:rPr>
              <w:t>45米</w:t>
            </w:r>
            <w:r>
              <w:rPr>
                <w:rFonts w:hAnsi="宋体"/>
                <w:bCs/>
                <w:color w:val="auto"/>
                <w:sz w:val="24"/>
                <w:highlight w:val="none"/>
              </w:rPr>
              <w:t>为</w:t>
            </w:r>
            <w:r>
              <w:rPr>
                <w:rFonts w:hint="eastAsia" w:hAnsi="宋体"/>
                <w:color w:val="auto"/>
                <w:spacing w:val="-10"/>
                <w:sz w:val="24"/>
                <w:highlight w:val="none"/>
                <w:lang w:eastAsia="zh-CN"/>
              </w:rPr>
              <w:t>江川农场学校</w:t>
            </w:r>
            <w:r>
              <w:rPr>
                <w:rFonts w:hAnsi="宋体"/>
                <w:bCs/>
                <w:color w:val="auto"/>
                <w:sz w:val="24"/>
                <w:highlight w:val="none"/>
              </w:rPr>
              <w:t>、北侧隔</w:t>
            </w:r>
            <w:r>
              <w:rPr>
                <w:rFonts w:hint="eastAsia" w:hAnsi="宋体"/>
                <w:bCs/>
                <w:color w:val="auto"/>
                <w:sz w:val="24"/>
                <w:highlight w:val="none"/>
                <w:lang w:eastAsia="zh-CN"/>
              </w:rPr>
              <w:t>路</w:t>
            </w:r>
            <w:r>
              <w:rPr>
                <w:rFonts w:hint="eastAsia" w:hAnsi="宋体"/>
                <w:bCs/>
                <w:color w:val="auto"/>
                <w:sz w:val="24"/>
                <w:highlight w:val="none"/>
                <w:lang w:val="en-US" w:eastAsia="zh-CN"/>
              </w:rPr>
              <w:t>26米</w:t>
            </w:r>
            <w:r>
              <w:rPr>
                <w:rFonts w:hAnsi="宋体"/>
                <w:bCs/>
                <w:color w:val="auto"/>
                <w:sz w:val="24"/>
                <w:highlight w:val="none"/>
              </w:rPr>
              <w:t>为</w:t>
            </w:r>
            <w:r>
              <w:rPr>
                <w:rFonts w:hint="eastAsia" w:hAnsi="宋体"/>
                <w:bCs/>
                <w:color w:val="auto"/>
                <w:sz w:val="24"/>
                <w:highlight w:val="none"/>
                <w:lang w:eastAsia="zh-CN"/>
              </w:rPr>
              <w:t>居民。</w:t>
            </w:r>
            <w:r>
              <w:rPr>
                <w:rFonts w:hint="eastAsia"/>
                <w:snapToGrid w:val="0"/>
                <w:color w:val="auto"/>
                <w:kern w:val="0"/>
                <w:sz w:val="24"/>
                <w:highlight w:val="none"/>
              </w:rPr>
              <w:t>评价范围内无自然保护区，无名胜古迹和保护历史文物，项目选址合理。</w:t>
            </w:r>
          </w:p>
          <w:p>
            <w:pPr>
              <w:pStyle w:val="216"/>
              <w:spacing w:line="360" w:lineRule="auto"/>
              <w:ind w:left="0" w:firstLineChars="200"/>
              <w:jc w:val="both"/>
              <w:rPr>
                <w:b/>
                <w:color w:val="auto"/>
                <w:szCs w:val="28"/>
                <w:highlight w:val="none"/>
              </w:rPr>
            </w:pPr>
            <w:r>
              <w:rPr>
                <w:rFonts w:hint="eastAsia"/>
                <w:b/>
                <w:color w:val="auto"/>
                <w:szCs w:val="28"/>
                <w:highlight w:val="none"/>
              </w:rPr>
              <w:t>8</w:t>
            </w:r>
            <w:r>
              <w:rPr>
                <w:b/>
                <w:color w:val="auto"/>
                <w:szCs w:val="28"/>
                <w:highlight w:val="none"/>
              </w:rPr>
              <w:t>.</w:t>
            </w:r>
            <w:r>
              <w:rPr>
                <w:rFonts w:hint="eastAsia"/>
                <w:b/>
                <w:color w:val="auto"/>
                <w:szCs w:val="28"/>
                <w:highlight w:val="none"/>
              </w:rPr>
              <w:t>“三线一单”符合性</w:t>
            </w:r>
          </w:p>
          <w:p>
            <w:pPr>
              <w:spacing w:line="360" w:lineRule="auto"/>
              <w:ind w:firstLine="480" w:firstLineChars="200"/>
              <w:rPr>
                <w:rFonts w:hAnsi="宋体"/>
                <w:snapToGrid w:val="0"/>
                <w:color w:val="auto"/>
                <w:kern w:val="0"/>
                <w:sz w:val="24"/>
                <w:highlight w:val="none"/>
              </w:rPr>
            </w:pPr>
            <w:r>
              <w:rPr>
                <w:rFonts w:hint="eastAsia" w:hAnsi="宋体"/>
                <w:snapToGrid w:val="0"/>
                <w:color w:val="auto"/>
                <w:kern w:val="0"/>
                <w:sz w:val="24"/>
                <w:highlight w:val="none"/>
              </w:rPr>
              <w:t>（</w:t>
            </w:r>
            <w:r>
              <w:rPr>
                <w:rFonts w:hAnsi="宋体"/>
                <w:snapToGrid w:val="0"/>
                <w:color w:val="auto"/>
                <w:kern w:val="0"/>
                <w:sz w:val="24"/>
                <w:highlight w:val="none"/>
              </w:rPr>
              <w:t>1</w:t>
            </w:r>
            <w:r>
              <w:rPr>
                <w:rFonts w:hint="eastAsia" w:hAnsi="宋体"/>
                <w:snapToGrid w:val="0"/>
                <w:color w:val="auto"/>
                <w:kern w:val="0"/>
                <w:sz w:val="24"/>
                <w:highlight w:val="none"/>
              </w:rPr>
              <w:t>）生态保护红线</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Ansi="宋体"/>
                <w:snapToGrid w:val="0"/>
                <w:color w:val="auto"/>
                <w:kern w:val="0"/>
                <w:sz w:val="24"/>
                <w:highlight w:val="none"/>
              </w:rPr>
            </w:pPr>
            <w:r>
              <w:rPr>
                <w:rFonts w:hint="eastAsia" w:hAnsi="宋体"/>
                <w:snapToGrid w:val="0"/>
                <w:color w:val="auto"/>
                <w:kern w:val="0"/>
                <w:sz w:val="24"/>
                <w:highlight w:val="none"/>
              </w:rPr>
              <w:t>本项目属于大气污染治理项目，</w:t>
            </w:r>
            <w:r>
              <w:rPr>
                <w:rFonts w:hint="eastAsia"/>
                <w:color w:val="auto"/>
                <w:sz w:val="24"/>
                <w:highlight w:val="none"/>
              </w:rPr>
              <w:t>位于</w:t>
            </w:r>
            <w:r>
              <w:rPr>
                <w:rFonts w:hint="eastAsia"/>
                <w:color w:val="auto"/>
                <w:sz w:val="24"/>
                <w:highlight w:val="none"/>
                <w:lang w:eastAsia="zh-CN"/>
              </w:rPr>
              <w:t>黑龙江省江川农场供热中心</w:t>
            </w:r>
            <w:r>
              <w:rPr>
                <w:rFonts w:hint="eastAsia"/>
                <w:color w:val="auto"/>
                <w:sz w:val="24"/>
                <w:highlight w:val="none"/>
              </w:rPr>
              <w:t>院内</w:t>
            </w:r>
            <w:r>
              <w:rPr>
                <w:rFonts w:hint="eastAsia" w:hAnsi="宋体"/>
                <w:snapToGrid w:val="0"/>
                <w:color w:val="auto"/>
                <w:kern w:val="0"/>
                <w:sz w:val="24"/>
                <w:highlight w:val="none"/>
              </w:rPr>
              <w:t>，</w:t>
            </w:r>
            <w:r>
              <w:rPr>
                <w:rFonts w:hint="eastAsia"/>
                <w:color w:val="auto"/>
                <w:sz w:val="24"/>
                <w:highlight w:val="none"/>
              </w:rPr>
              <w:t>本项目</w:t>
            </w:r>
            <w:r>
              <w:rPr>
                <w:rFonts w:hint="eastAsia"/>
                <w:color w:val="auto"/>
                <w:sz w:val="24"/>
                <w:highlight w:val="none"/>
                <w:lang w:eastAsia="zh-CN"/>
              </w:rPr>
              <w:t>在黑龙江省江川农场供热中心院内建设</w:t>
            </w:r>
            <w:r>
              <w:rPr>
                <w:rFonts w:hint="eastAsia"/>
                <w:color w:val="auto"/>
                <w:sz w:val="24"/>
                <w:highlight w:val="none"/>
              </w:rPr>
              <w:t>，</w:t>
            </w:r>
            <w:r>
              <w:rPr>
                <w:rFonts w:hint="eastAsia"/>
                <w:color w:val="auto"/>
                <w:sz w:val="24"/>
                <w:highlight w:val="none"/>
                <w:lang w:eastAsia="zh-CN"/>
              </w:rPr>
              <w:t>不新增占地，</w:t>
            </w:r>
            <w:r>
              <w:rPr>
                <w:rFonts w:hint="eastAsia" w:hAnsi="宋体"/>
                <w:snapToGrid w:val="0"/>
                <w:color w:val="auto"/>
                <w:kern w:val="0"/>
                <w:sz w:val="24"/>
                <w:highlight w:val="none"/>
              </w:rPr>
              <w:t>用地性质属于</w:t>
            </w:r>
            <w:r>
              <w:rPr>
                <w:rFonts w:hint="eastAsia" w:hAnsi="宋体"/>
                <w:snapToGrid w:val="0"/>
                <w:color w:val="auto"/>
                <w:kern w:val="0"/>
                <w:sz w:val="24"/>
                <w:highlight w:val="none"/>
                <w:lang w:eastAsia="zh-CN"/>
              </w:rPr>
              <w:t>公共设施</w:t>
            </w:r>
            <w:r>
              <w:rPr>
                <w:rFonts w:hint="eastAsia" w:hAnsi="宋体"/>
                <w:snapToGrid w:val="0"/>
                <w:color w:val="auto"/>
                <w:kern w:val="0"/>
                <w:sz w:val="24"/>
                <w:highlight w:val="none"/>
              </w:rPr>
              <w:t>用地，不占用生态保护红线。</w:t>
            </w:r>
            <w:r>
              <w:rPr>
                <w:rFonts w:hint="eastAsia" w:ascii="Times New Roman" w:hAnsi="Times New Roman" w:eastAsia="宋体" w:cs="Times New Roman"/>
                <w:bCs/>
                <w:color w:val="FF0000"/>
                <w:sz w:val="24"/>
                <w:highlight w:val="none"/>
                <w:lang w:eastAsia="zh-CN"/>
              </w:rPr>
              <w:t>本项目锅炉为</w:t>
            </w:r>
            <w:r>
              <w:rPr>
                <w:rFonts w:hint="eastAsia" w:eastAsia="宋体" w:cs="Times New Roman"/>
                <w:bCs/>
                <w:color w:val="FF0000"/>
                <w:sz w:val="24"/>
                <w:highlight w:val="none"/>
                <w:lang w:val="en-US" w:eastAsia="zh-CN"/>
              </w:rPr>
              <w:t>14</w:t>
            </w:r>
            <w:r>
              <w:rPr>
                <w:rFonts w:hint="eastAsia" w:ascii="Times New Roman" w:hAnsi="Times New Roman" w:eastAsia="宋体" w:cs="Times New Roman"/>
                <w:bCs/>
                <w:color w:val="FF0000"/>
                <w:sz w:val="24"/>
                <w:highlight w:val="none"/>
                <w:lang w:val="en-US" w:eastAsia="zh-CN"/>
              </w:rPr>
              <w:t>MW的燃煤锅炉，锅炉烟气通过脱硫脱硝除尘等措施处理后达标排放，对环境空气影响较小</w:t>
            </w:r>
            <w:r>
              <w:rPr>
                <w:rFonts w:hint="eastAsia" w:eastAsia="宋体" w:cs="Times New Roman"/>
                <w:bCs/>
                <w:color w:val="FF0000"/>
                <w:sz w:val="24"/>
                <w:highlight w:val="none"/>
                <w:lang w:val="en-US" w:eastAsia="zh-CN"/>
              </w:rPr>
              <w:t>，</w:t>
            </w:r>
            <w:r>
              <w:rPr>
                <w:rFonts w:hint="eastAsia" w:ascii="Times New Roman" w:hAnsi="Times New Roman" w:eastAsia="宋体" w:cs="Times New Roman"/>
                <w:bCs/>
                <w:color w:val="FF0000"/>
                <w:sz w:val="24"/>
                <w:highlight w:val="none"/>
                <w:lang w:val="en-US" w:eastAsia="zh-CN"/>
              </w:rPr>
              <w:t>符合</w:t>
            </w:r>
            <w:r>
              <w:rPr>
                <w:rFonts w:hint="default" w:ascii="Times New Roman" w:hAnsi="Times New Roman" w:eastAsia="宋体" w:cs="Times New Roman"/>
                <w:bCs/>
                <w:color w:val="FF0000"/>
                <w:sz w:val="24"/>
                <w:highlight w:val="none"/>
              </w:rPr>
              <w:t>《黑龙江省打赢蓝天保卫战三年行动计划》</w:t>
            </w:r>
            <w:r>
              <w:rPr>
                <w:rFonts w:hint="eastAsia" w:ascii="Times New Roman" w:hAnsi="Times New Roman" w:eastAsia="宋体" w:cs="Times New Roman"/>
                <w:bCs/>
                <w:color w:val="FF0000"/>
                <w:sz w:val="24"/>
                <w:highlight w:val="none"/>
                <w:lang w:eastAsia="zh-CN"/>
              </w:rPr>
              <w:t>中的相关规定。</w:t>
            </w:r>
          </w:p>
          <w:p>
            <w:pPr>
              <w:spacing w:line="360" w:lineRule="auto"/>
              <w:ind w:firstLine="480" w:firstLineChars="200"/>
              <w:rPr>
                <w:rFonts w:hAnsi="宋体"/>
                <w:snapToGrid w:val="0"/>
                <w:color w:val="auto"/>
                <w:kern w:val="0"/>
                <w:sz w:val="24"/>
                <w:highlight w:val="none"/>
              </w:rPr>
            </w:pPr>
            <w:r>
              <w:rPr>
                <w:rFonts w:hint="eastAsia" w:hAnsi="宋体"/>
                <w:snapToGrid w:val="0"/>
                <w:color w:val="auto"/>
                <w:kern w:val="0"/>
                <w:sz w:val="24"/>
                <w:highlight w:val="none"/>
              </w:rPr>
              <w:t>（</w:t>
            </w:r>
            <w:r>
              <w:rPr>
                <w:rFonts w:hAnsi="宋体"/>
                <w:snapToGrid w:val="0"/>
                <w:color w:val="auto"/>
                <w:kern w:val="0"/>
                <w:sz w:val="24"/>
                <w:highlight w:val="none"/>
              </w:rPr>
              <w:t>2</w:t>
            </w:r>
            <w:r>
              <w:rPr>
                <w:rFonts w:hint="eastAsia" w:hAnsi="宋体"/>
                <w:snapToGrid w:val="0"/>
                <w:color w:val="auto"/>
                <w:kern w:val="0"/>
                <w:sz w:val="24"/>
                <w:highlight w:val="none"/>
              </w:rPr>
              <w:t>）环境质量底线</w:t>
            </w:r>
          </w:p>
          <w:p>
            <w:pPr>
              <w:adjustRightInd w:val="0"/>
              <w:spacing w:line="360" w:lineRule="auto"/>
              <w:ind w:firstLine="480" w:firstLineChars="200"/>
              <w:rPr>
                <w:color w:val="auto"/>
                <w:sz w:val="24"/>
                <w:highlight w:val="none"/>
              </w:rPr>
            </w:pPr>
            <w:r>
              <w:rPr>
                <w:rFonts w:hint="eastAsia"/>
                <w:color w:val="auto"/>
                <w:sz w:val="24"/>
                <w:highlight w:val="none"/>
              </w:rPr>
              <w:t>根据本次环评现状统计结果可知，项目周边环境质量较好，项目运营期所产生的废气均得到有效处理，因此本项目的建设不会突破环境质量底线。</w:t>
            </w:r>
          </w:p>
          <w:p>
            <w:pPr>
              <w:spacing w:line="360" w:lineRule="auto"/>
              <w:ind w:firstLine="480" w:firstLineChars="200"/>
              <w:rPr>
                <w:rFonts w:hAnsi="宋体"/>
                <w:snapToGrid w:val="0"/>
                <w:color w:val="auto"/>
                <w:kern w:val="0"/>
                <w:sz w:val="24"/>
                <w:highlight w:val="none"/>
              </w:rPr>
            </w:pPr>
            <w:r>
              <w:rPr>
                <w:rFonts w:hint="eastAsia" w:hAnsi="宋体"/>
                <w:snapToGrid w:val="0"/>
                <w:color w:val="auto"/>
                <w:kern w:val="0"/>
                <w:sz w:val="24"/>
                <w:highlight w:val="none"/>
              </w:rPr>
              <w:t>（</w:t>
            </w:r>
            <w:r>
              <w:rPr>
                <w:rFonts w:hAnsi="宋体"/>
                <w:snapToGrid w:val="0"/>
                <w:color w:val="auto"/>
                <w:kern w:val="0"/>
                <w:sz w:val="24"/>
                <w:highlight w:val="none"/>
              </w:rPr>
              <w:t>3</w:t>
            </w:r>
            <w:r>
              <w:rPr>
                <w:rFonts w:hint="eastAsia" w:hAnsi="宋体"/>
                <w:snapToGrid w:val="0"/>
                <w:color w:val="auto"/>
                <w:kern w:val="0"/>
                <w:sz w:val="24"/>
                <w:highlight w:val="none"/>
              </w:rPr>
              <w:t>）资源利用上限</w:t>
            </w:r>
          </w:p>
          <w:p>
            <w:pPr>
              <w:spacing w:line="360" w:lineRule="auto"/>
              <w:ind w:firstLine="480" w:firstLineChars="200"/>
              <w:rPr>
                <w:snapToGrid w:val="0"/>
                <w:color w:val="auto"/>
                <w:kern w:val="0"/>
                <w:sz w:val="24"/>
                <w:highlight w:val="none"/>
              </w:rPr>
            </w:pPr>
            <w:r>
              <w:rPr>
                <w:rFonts w:hint="eastAsia" w:hAnsi="宋体"/>
                <w:snapToGrid w:val="0"/>
                <w:color w:val="auto"/>
                <w:kern w:val="0"/>
                <w:sz w:val="24"/>
                <w:highlight w:val="none"/>
              </w:rPr>
              <w:t>本项目属于大气污染治理项目</w:t>
            </w:r>
            <w:r>
              <w:rPr>
                <w:rFonts w:hint="eastAsia"/>
                <w:snapToGrid w:val="0"/>
                <w:color w:val="auto"/>
                <w:kern w:val="0"/>
                <w:sz w:val="24"/>
                <w:highlight w:val="none"/>
              </w:rPr>
              <w:t>，供水水源由</w:t>
            </w:r>
            <w:r>
              <w:rPr>
                <w:rFonts w:hint="eastAsia"/>
                <w:snapToGrid w:val="0"/>
                <w:color w:val="auto"/>
                <w:kern w:val="0"/>
                <w:sz w:val="24"/>
                <w:highlight w:val="none"/>
                <w:lang w:eastAsia="zh-CN"/>
              </w:rPr>
              <w:t>当地供水管网</w:t>
            </w:r>
            <w:r>
              <w:rPr>
                <w:rFonts w:hint="eastAsia"/>
                <w:snapToGrid w:val="0"/>
                <w:color w:val="auto"/>
                <w:kern w:val="0"/>
                <w:sz w:val="24"/>
                <w:highlight w:val="none"/>
              </w:rPr>
              <w:t>提供，供电电源为当地供电电网，</w:t>
            </w:r>
            <w:r>
              <w:rPr>
                <w:rFonts w:hint="eastAsia"/>
                <w:snapToGrid w:val="0"/>
                <w:color w:val="auto"/>
                <w:kern w:val="0"/>
                <w:sz w:val="24"/>
                <w:highlight w:val="none"/>
                <w:lang w:eastAsia="zh-CN"/>
              </w:rPr>
              <w:t>本项目不新增锅炉，不新增燃料量，</w:t>
            </w:r>
            <w:r>
              <w:rPr>
                <w:rFonts w:hint="eastAsia"/>
                <w:snapToGrid w:val="0"/>
                <w:color w:val="auto"/>
                <w:kern w:val="0"/>
                <w:sz w:val="24"/>
                <w:highlight w:val="none"/>
              </w:rPr>
              <w:t>本项目资源利用量较小，不会超出区域资源利用上限。</w:t>
            </w:r>
          </w:p>
          <w:p>
            <w:pPr>
              <w:spacing w:line="360" w:lineRule="auto"/>
              <w:ind w:firstLine="480" w:firstLineChars="200"/>
              <w:rPr>
                <w:rFonts w:hAnsi="宋体"/>
                <w:snapToGrid w:val="0"/>
                <w:color w:val="auto"/>
                <w:kern w:val="0"/>
                <w:sz w:val="24"/>
                <w:szCs w:val="20"/>
                <w:highlight w:val="none"/>
              </w:rPr>
            </w:pPr>
            <w:r>
              <w:rPr>
                <w:rFonts w:hint="eastAsia" w:hAnsi="宋体"/>
                <w:snapToGrid w:val="0"/>
                <w:color w:val="auto"/>
                <w:kern w:val="0"/>
                <w:sz w:val="24"/>
                <w:highlight w:val="none"/>
              </w:rPr>
              <w:t>（</w:t>
            </w:r>
            <w:r>
              <w:rPr>
                <w:rFonts w:hAnsi="宋体"/>
                <w:snapToGrid w:val="0"/>
                <w:color w:val="auto"/>
                <w:kern w:val="0"/>
                <w:sz w:val="24"/>
                <w:highlight w:val="none"/>
              </w:rPr>
              <w:t>4</w:t>
            </w:r>
            <w:r>
              <w:rPr>
                <w:rFonts w:hint="eastAsia" w:hAnsi="宋体"/>
                <w:snapToGrid w:val="0"/>
                <w:color w:val="auto"/>
                <w:kern w:val="0"/>
                <w:sz w:val="24"/>
                <w:highlight w:val="none"/>
              </w:rPr>
              <w:t>）环境准入负面清单</w:t>
            </w:r>
          </w:p>
          <w:p>
            <w:pPr>
              <w:keepNext/>
              <w:spacing w:line="360" w:lineRule="auto"/>
              <w:ind w:firstLine="480" w:firstLineChars="200"/>
              <w:rPr>
                <w:rFonts w:hAnsi="宋体"/>
                <w:snapToGrid w:val="0"/>
                <w:color w:val="auto"/>
                <w:kern w:val="0"/>
                <w:sz w:val="24"/>
                <w:highlight w:val="none"/>
              </w:rPr>
            </w:pPr>
            <w:r>
              <w:rPr>
                <w:rFonts w:hint="eastAsia" w:hAnsi="宋体"/>
                <w:snapToGrid w:val="0"/>
                <w:color w:val="auto"/>
                <w:kern w:val="0"/>
                <w:sz w:val="24"/>
                <w:highlight w:val="none"/>
              </w:rPr>
              <w:t>目前项目所在区域尚未正式发布环境准入负面清单，根据查阅《市场准入负面清单草案》（</w:t>
            </w:r>
            <w:r>
              <w:rPr>
                <w:rFonts w:hAnsi="宋体"/>
                <w:snapToGrid w:val="0"/>
                <w:color w:val="auto"/>
                <w:kern w:val="0"/>
                <w:sz w:val="24"/>
                <w:highlight w:val="none"/>
              </w:rPr>
              <w:t>201</w:t>
            </w:r>
            <w:r>
              <w:rPr>
                <w:rFonts w:hint="eastAsia" w:hAnsi="宋体"/>
                <w:snapToGrid w:val="0"/>
                <w:color w:val="auto"/>
                <w:kern w:val="0"/>
                <w:sz w:val="24"/>
                <w:highlight w:val="none"/>
                <w:lang w:val="en-US" w:eastAsia="zh-CN"/>
              </w:rPr>
              <w:t>9</w:t>
            </w:r>
            <w:r>
              <w:rPr>
                <w:rFonts w:hint="eastAsia" w:hAnsi="宋体"/>
                <w:snapToGrid w:val="0"/>
                <w:color w:val="auto"/>
                <w:kern w:val="0"/>
                <w:sz w:val="24"/>
                <w:highlight w:val="none"/>
              </w:rPr>
              <w:t>版），本项目不在负面清单内，符合国家产业政策。</w:t>
            </w:r>
          </w:p>
          <w:p>
            <w:pPr>
              <w:spacing w:line="360" w:lineRule="auto"/>
              <w:ind w:firstLine="482" w:firstLineChars="200"/>
              <w:rPr>
                <w:b/>
                <w:bCs/>
                <w:color w:val="auto"/>
                <w:sz w:val="24"/>
                <w:highlight w:val="none"/>
              </w:rPr>
            </w:pPr>
            <w:r>
              <w:rPr>
                <w:rFonts w:hint="eastAsia"/>
                <w:b/>
                <w:bCs/>
                <w:color w:val="auto"/>
                <w:sz w:val="24"/>
                <w:highlight w:val="none"/>
              </w:rPr>
              <w:t>9</w:t>
            </w:r>
            <w:r>
              <w:rPr>
                <w:b/>
                <w:bCs/>
                <w:color w:val="auto"/>
                <w:sz w:val="24"/>
                <w:highlight w:val="none"/>
              </w:rPr>
              <w:t>.</w:t>
            </w:r>
            <w:r>
              <w:rPr>
                <w:rFonts w:hint="eastAsia"/>
                <w:b/>
                <w:bCs/>
                <w:color w:val="auto"/>
                <w:sz w:val="24"/>
                <w:highlight w:val="none"/>
              </w:rPr>
              <w:t>环保投资</w:t>
            </w:r>
          </w:p>
          <w:p>
            <w:pPr>
              <w:spacing w:line="360" w:lineRule="auto"/>
              <w:ind w:firstLine="480" w:firstLineChars="200"/>
              <w:rPr>
                <w:color w:val="auto"/>
                <w:sz w:val="24"/>
                <w:highlight w:val="none"/>
              </w:rPr>
            </w:pPr>
            <w:r>
              <w:rPr>
                <w:rFonts w:hint="eastAsia"/>
                <w:color w:val="auto"/>
                <w:sz w:val="24"/>
                <w:highlight w:val="none"/>
              </w:rPr>
              <w:t>本项目总投资</w:t>
            </w:r>
            <w:r>
              <w:rPr>
                <w:rFonts w:hint="eastAsia"/>
                <w:color w:val="auto"/>
                <w:sz w:val="24"/>
                <w:highlight w:val="none"/>
                <w:lang w:val="en-US" w:eastAsia="zh-CN"/>
              </w:rPr>
              <w:t>460</w:t>
            </w:r>
            <w:r>
              <w:rPr>
                <w:rFonts w:hint="eastAsia"/>
                <w:color w:val="auto"/>
                <w:sz w:val="24"/>
                <w:highlight w:val="none"/>
              </w:rPr>
              <w:t>万元，</w:t>
            </w:r>
            <w:r>
              <w:rPr>
                <w:rFonts w:hint="eastAsia"/>
                <w:color w:val="auto"/>
                <w:sz w:val="24"/>
                <w:highlight w:val="none"/>
                <w:lang w:eastAsia="zh-CN"/>
              </w:rPr>
              <w:t>其中环保投资</w:t>
            </w:r>
            <w:r>
              <w:rPr>
                <w:rFonts w:hint="eastAsia"/>
                <w:color w:val="auto"/>
                <w:sz w:val="24"/>
                <w:highlight w:val="none"/>
                <w:lang w:val="en-US" w:eastAsia="zh-CN"/>
              </w:rPr>
              <w:t>460万元，</w:t>
            </w:r>
            <w:r>
              <w:rPr>
                <w:rFonts w:hint="eastAsia"/>
                <w:color w:val="auto"/>
                <w:sz w:val="24"/>
                <w:highlight w:val="none"/>
                <w:lang w:eastAsia="zh-CN"/>
              </w:rPr>
              <w:t>占总投资的</w:t>
            </w:r>
            <w:r>
              <w:rPr>
                <w:rFonts w:hint="eastAsia"/>
                <w:color w:val="auto"/>
                <w:sz w:val="24"/>
                <w:highlight w:val="none"/>
                <w:lang w:val="en-US" w:eastAsia="zh-CN"/>
              </w:rPr>
              <w:t>100%</w:t>
            </w:r>
            <w:r>
              <w:rPr>
                <w:rFonts w:hint="eastAsia"/>
                <w:color w:val="auto"/>
                <w:sz w:val="24"/>
                <w:highlight w:val="none"/>
              </w:rPr>
              <w:t>，明细见表1-4。</w:t>
            </w:r>
          </w:p>
          <w:p>
            <w:pPr>
              <w:spacing w:line="500" w:lineRule="exact"/>
              <w:ind w:firstLine="480"/>
              <w:jc w:val="center"/>
              <w:rPr>
                <w:b/>
                <w:color w:val="auto"/>
                <w:sz w:val="24"/>
                <w:highlight w:val="none"/>
              </w:rPr>
            </w:pPr>
            <w:r>
              <w:rPr>
                <w:rFonts w:hint="eastAsia"/>
                <w:b/>
                <w:color w:val="auto"/>
                <w:sz w:val="24"/>
                <w:highlight w:val="none"/>
              </w:rPr>
              <w:t>表1-4</w:t>
            </w:r>
            <w:r>
              <w:rPr>
                <w:b/>
                <w:color w:val="auto"/>
                <w:sz w:val="24"/>
                <w:highlight w:val="none"/>
              </w:rPr>
              <w:t xml:space="preserve">  </w:t>
            </w:r>
            <w:r>
              <w:rPr>
                <w:rFonts w:hint="eastAsia"/>
                <w:b/>
                <w:color w:val="auto"/>
                <w:sz w:val="24"/>
                <w:highlight w:val="none"/>
              </w:rPr>
              <w:t>环保投资一览表</w:t>
            </w:r>
          </w:p>
          <w:tbl>
            <w:tblPr>
              <w:tblStyle w:val="36"/>
              <w:tblW w:w="79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49"/>
              <w:gridCol w:w="1867"/>
              <w:gridCol w:w="3804"/>
              <w:gridCol w:w="13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49" w:type="dxa"/>
                  <w:noWrap w:val="0"/>
                  <w:vAlign w:val="center"/>
                </w:tcPr>
                <w:p>
                  <w:pPr>
                    <w:jc w:val="center"/>
                    <w:rPr>
                      <w:color w:val="auto"/>
                      <w:szCs w:val="21"/>
                      <w:highlight w:val="none"/>
                    </w:rPr>
                  </w:pPr>
                  <w:r>
                    <w:rPr>
                      <w:rFonts w:hint="eastAsia"/>
                      <w:color w:val="auto"/>
                      <w:szCs w:val="21"/>
                      <w:highlight w:val="none"/>
                    </w:rPr>
                    <w:t>序号</w:t>
                  </w:r>
                </w:p>
              </w:tc>
              <w:tc>
                <w:tcPr>
                  <w:tcW w:w="1867" w:type="dxa"/>
                  <w:noWrap w:val="0"/>
                  <w:vAlign w:val="center"/>
                </w:tcPr>
                <w:p>
                  <w:pPr>
                    <w:jc w:val="center"/>
                    <w:rPr>
                      <w:color w:val="auto"/>
                      <w:szCs w:val="21"/>
                      <w:highlight w:val="none"/>
                    </w:rPr>
                  </w:pPr>
                  <w:r>
                    <w:rPr>
                      <w:rFonts w:hint="eastAsia"/>
                      <w:color w:val="auto"/>
                      <w:szCs w:val="21"/>
                      <w:highlight w:val="none"/>
                    </w:rPr>
                    <w:t>处理项目</w:t>
                  </w:r>
                </w:p>
              </w:tc>
              <w:tc>
                <w:tcPr>
                  <w:tcW w:w="3804" w:type="dxa"/>
                  <w:noWrap w:val="0"/>
                  <w:vAlign w:val="center"/>
                </w:tcPr>
                <w:p>
                  <w:pPr>
                    <w:jc w:val="center"/>
                    <w:rPr>
                      <w:color w:val="auto"/>
                      <w:szCs w:val="21"/>
                      <w:highlight w:val="none"/>
                    </w:rPr>
                  </w:pPr>
                  <w:r>
                    <w:rPr>
                      <w:rFonts w:hint="eastAsia"/>
                      <w:color w:val="auto"/>
                      <w:szCs w:val="21"/>
                      <w:highlight w:val="none"/>
                    </w:rPr>
                    <w:t>处理措施</w:t>
                  </w:r>
                </w:p>
              </w:tc>
              <w:tc>
                <w:tcPr>
                  <w:tcW w:w="1318" w:type="dxa"/>
                  <w:noWrap w:val="0"/>
                  <w:vAlign w:val="center"/>
                </w:tcPr>
                <w:p>
                  <w:pPr>
                    <w:jc w:val="center"/>
                    <w:rPr>
                      <w:color w:val="auto"/>
                      <w:szCs w:val="21"/>
                      <w:highlight w:val="none"/>
                    </w:rPr>
                  </w:pPr>
                  <w:r>
                    <w:rPr>
                      <w:rFonts w:hint="eastAsia"/>
                      <w:color w:val="auto"/>
                      <w:szCs w:val="21"/>
                      <w:highlight w:val="none"/>
                    </w:rPr>
                    <w:t>投资（万元）</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49" w:type="dxa"/>
                  <w:noWrap w:val="0"/>
                  <w:vAlign w:val="center"/>
                </w:tcPr>
                <w:p>
                  <w:pPr>
                    <w:jc w:val="center"/>
                    <w:rPr>
                      <w:rFonts w:hAnsi="宋体"/>
                      <w:color w:val="auto"/>
                      <w:szCs w:val="21"/>
                      <w:highlight w:val="none"/>
                    </w:rPr>
                  </w:pPr>
                  <w:r>
                    <w:rPr>
                      <w:rFonts w:hAnsi="宋体"/>
                      <w:color w:val="auto"/>
                      <w:szCs w:val="21"/>
                      <w:highlight w:val="none"/>
                    </w:rPr>
                    <w:t>1</w:t>
                  </w:r>
                </w:p>
              </w:tc>
              <w:tc>
                <w:tcPr>
                  <w:tcW w:w="1867" w:type="dxa"/>
                  <w:noWrap w:val="0"/>
                  <w:vAlign w:val="center"/>
                </w:tcPr>
                <w:p>
                  <w:pPr>
                    <w:jc w:val="center"/>
                    <w:rPr>
                      <w:color w:val="auto"/>
                      <w:szCs w:val="21"/>
                      <w:highlight w:val="none"/>
                    </w:rPr>
                  </w:pPr>
                  <w:r>
                    <w:rPr>
                      <w:rFonts w:hint="eastAsia" w:hAnsi="宋体"/>
                      <w:color w:val="auto"/>
                      <w:szCs w:val="21"/>
                      <w:highlight w:val="none"/>
                    </w:rPr>
                    <w:t>大气污染</w:t>
                  </w:r>
                </w:p>
              </w:tc>
              <w:tc>
                <w:tcPr>
                  <w:tcW w:w="3804" w:type="dxa"/>
                  <w:noWrap w:val="0"/>
                  <w:vAlign w:val="center"/>
                </w:tcPr>
                <w:p>
                  <w:pPr>
                    <w:jc w:val="center"/>
                    <w:rPr>
                      <w:rFonts w:hint="eastAsia" w:eastAsia="宋体"/>
                      <w:color w:val="auto"/>
                      <w:szCs w:val="21"/>
                      <w:highlight w:val="none"/>
                      <w:lang w:eastAsia="zh-CN"/>
                    </w:rPr>
                  </w:pPr>
                  <w:r>
                    <w:rPr>
                      <w:rFonts w:hint="eastAsia"/>
                      <w:color w:val="auto"/>
                      <w:szCs w:val="21"/>
                      <w:highlight w:val="none"/>
                    </w:rPr>
                    <w:t>布袋除尘器（</w:t>
                  </w:r>
                  <w:r>
                    <w:rPr>
                      <w:rFonts w:hint="eastAsia"/>
                      <w:color w:val="auto"/>
                      <w:szCs w:val="21"/>
                      <w:highlight w:val="none"/>
                      <w:lang w:val="en-US" w:eastAsia="zh-CN"/>
                    </w:rPr>
                    <w:t>3</w:t>
                  </w:r>
                  <w:r>
                    <w:rPr>
                      <w:rFonts w:hint="eastAsia"/>
                      <w:color w:val="auto"/>
                      <w:szCs w:val="21"/>
                      <w:highlight w:val="none"/>
                    </w:rPr>
                    <w:t>台）</w:t>
                  </w:r>
                  <w:r>
                    <w:rPr>
                      <w:color w:val="auto"/>
                      <w:szCs w:val="21"/>
                      <w:highlight w:val="none"/>
                    </w:rPr>
                    <w:t>+</w:t>
                  </w:r>
                  <w:r>
                    <w:rPr>
                      <w:rFonts w:hint="eastAsia"/>
                      <w:color w:val="auto"/>
                      <w:szCs w:val="21"/>
                      <w:highlight w:val="none"/>
                      <w:lang w:eastAsia="zh-CN"/>
                    </w:rPr>
                    <w:t>一座氧化镁</w:t>
                  </w:r>
                  <w:r>
                    <w:rPr>
                      <w:rFonts w:hint="eastAsia"/>
                      <w:bCs/>
                      <w:color w:val="auto"/>
                      <w:szCs w:val="21"/>
                      <w:highlight w:val="none"/>
                    </w:rPr>
                    <w:t>脱硫</w:t>
                  </w:r>
                  <w:r>
                    <w:rPr>
                      <w:rFonts w:hint="eastAsia"/>
                      <w:bCs/>
                      <w:color w:val="auto"/>
                      <w:szCs w:val="21"/>
                      <w:highlight w:val="none"/>
                      <w:lang w:eastAsia="zh-CN"/>
                    </w:rPr>
                    <w:t>塔（三炉一塔配置）</w:t>
                  </w:r>
                  <w:r>
                    <w:rPr>
                      <w:rFonts w:hint="eastAsia"/>
                      <w:bCs/>
                      <w:color w:val="auto"/>
                      <w:szCs w:val="21"/>
                      <w:highlight w:val="none"/>
                      <w:lang w:val="en-US" w:eastAsia="zh-CN"/>
                    </w:rPr>
                    <w:t>+SNCR</w:t>
                  </w:r>
                  <w:r>
                    <w:rPr>
                      <w:rFonts w:hint="eastAsia"/>
                      <w:bCs/>
                      <w:color w:val="auto"/>
                      <w:szCs w:val="21"/>
                      <w:highlight w:val="none"/>
                    </w:rPr>
                    <w:t>脱硝设施</w:t>
                  </w:r>
                  <w:r>
                    <w:rPr>
                      <w:rFonts w:hint="eastAsia"/>
                      <w:bCs/>
                      <w:color w:val="auto"/>
                      <w:szCs w:val="21"/>
                      <w:highlight w:val="none"/>
                      <w:lang w:eastAsia="zh-CN"/>
                    </w:rPr>
                    <w:t>（三套）</w:t>
                  </w:r>
                </w:p>
              </w:tc>
              <w:tc>
                <w:tcPr>
                  <w:tcW w:w="1318"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440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49" w:type="dxa"/>
                  <w:noWrap w:val="0"/>
                  <w:vAlign w:val="center"/>
                </w:tcPr>
                <w:p>
                  <w:pPr>
                    <w:jc w:val="center"/>
                    <w:rPr>
                      <w:rFonts w:hAnsi="宋体"/>
                      <w:color w:val="auto"/>
                      <w:szCs w:val="21"/>
                      <w:highlight w:val="none"/>
                    </w:rPr>
                  </w:pPr>
                  <w:r>
                    <w:rPr>
                      <w:rFonts w:hAnsi="宋体"/>
                      <w:color w:val="auto"/>
                      <w:szCs w:val="21"/>
                      <w:highlight w:val="none"/>
                    </w:rPr>
                    <w:t>2</w:t>
                  </w:r>
                </w:p>
              </w:tc>
              <w:tc>
                <w:tcPr>
                  <w:tcW w:w="1867" w:type="dxa"/>
                  <w:noWrap w:val="0"/>
                  <w:vAlign w:val="center"/>
                </w:tcPr>
                <w:p>
                  <w:pPr>
                    <w:jc w:val="center"/>
                    <w:rPr>
                      <w:rFonts w:hint="eastAsia" w:hAnsi="宋体"/>
                      <w:color w:val="auto"/>
                      <w:szCs w:val="21"/>
                      <w:highlight w:val="none"/>
                    </w:rPr>
                  </w:pPr>
                  <w:r>
                    <w:rPr>
                      <w:rFonts w:hint="eastAsia" w:hAnsi="宋体"/>
                      <w:color w:val="auto"/>
                      <w:szCs w:val="21"/>
                      <w:highlight w:val="none"/>
                    </w:rPr>
                    <w:t>大气监测</w:t>
                  </w:r>
                </w:p>
              </w:tc>
              <w:tc>
                <w:tcPr>
                  <w:tcW w:w="3804" w:type="dxa"/>
                  <w:noWrap w:val="0"/>
                  <w:vAlign w:val="center"/>
                </w:tcPr>
                <w:p>
                  <w:pPr>
                    <w:jc w:val="center"/>
                    <w:rPr>
                      <w:rFonts w:hint="eastAsia"/>
                      <w:color w:val="auto"/>
                      <w:szCs w:val="21"/>
                      <w:highlight w:val="none"/>
                    </w:rPr>
                  </w:pPr>
                  <w:r>
                    <w:rPr>
                      <w:rFonts w:hint="eastAsia"/>
                      <w:color w:val="auto"/>
                      <w:szCs w:val="21"/>
                      <w:highlight w:val="none"/>
                    </w:rPr>
                    <w:t>在线监测系统</w:t>
                  </w:r>
                </w:p>
              </w:tc>
              <w:tc>
                <w:tcPr>
                  <w:tcW w:w="1318" w:type="dxa"/>
                  <w:noWrap w:val="0"/>
                  <w:vAlign w:val="center"/>
                </w:tcPr>
                <w:p>
                  <w:pPr>
                    <w:jc w:val="center"/>
                    <w:rPr>
                      <w:rFonts w:hint="eastAsia" w:eastAsia="宋体"/>
                      <w:color w:val="auto"/>
                      <w:szCs w:val="21"/>
                      <w:highlight w:val="none"/>
                      <w:lang w:val="en-US" w:eastAsia="zh-CN"/>
                    </w:rPr>
                  </w:pPr>
                  <w:r>
                    <w:rPr>
                      <w:rFonts w:hint="eastAsia"/>
                      <w:color w:val="auto"/>
                      <w:szCs w:val="21"/>
                      <w:highlight w:val="none"/>
                    </w:rPr>
                    <w:t>15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49" w:type="dxa"/>
                  <w:noWrap w:val="0"/>
                  <w:vAlign w:val="center"/>
                </w:tcPr>
                <w:p>
                  <w:pPr>
                    <w:jc w:val="center"/>
                    <w:rPr>
                      <w:rFonts w:hint="eastAsia" w:hAnsi="宋体" w:eastAsia="宋体"/>
                      <w:color w:val="auto"/>
                      <w:szCs w:val="21"/>
                      <w:highlight w:val="none"/>
                      <w:lang w:eastAsia="zh-CN"/>
                    </w:rPr>
                  </w:pPr>
                  <w:r>
                    <w:rPr>
                      <w:rFonts w:hint="eastAsia"/>
                      <w:color w:val="auto"/>
                      <w:szCs w:val="21"/>
                      <w:highlight w:val="none"/>
                      <w:lang w:val="en-US" w:eastAsia="zh-CN"/>
                    </w:rPr>
                    <w:t>3</w:t>
                  </w:r>
                </w:p>
              </w:tc>
              <w:tc>
                <w:tcPr>
                  <w:tcW w:w="5671" w:type="dxa"/>
                  <w:gridSpan w:val="2"/>
                  <w:noWrap w:val="0"/>
                  <w:vAlign w:val="center"/>
                </w:tcPr>
                <w:p>
                  <w:pPr>
                    <w:jc w:val="center"/>
                    <w:rPr>
                      <w:color w:val="auto"/>
                      <w:szCs w:val="21"/>
                      <w:highlight w:val="none"/>
                    </w:rPr>
                  </w:pPr>
                  <w:r>
                    <w:rPr>
                      <w:rFonts w:hint="eastAsia"/>
                      <w:color w:val="auto"/>
                      <w:szCs w:val="21"/>
                      <w:highlight w:val="none"/>
                    </w:rPr>
                    <w:t>环保设备运行维护费用</w:t>
                  </w:r>
                </w:p>
              </w:tc>
              <w:tc>
                <w:tcPr>
                  <w:tcW w:w="1318" w:type="dxa"/>
                  <w:noWrap w:val="0"/>
                  <w:vAlign w:val="center"/>
                </w:tcPr>
                <w:p>
                  <w:pPr>
                    <w:jc w:val="center"/>
                    <w:rPr>
                      <w:color w:val="auto"/>
                      <w:szCs w:val="21"/>
                      <w:highlight w:val="none"/>
                    </w:rPr>
                  </w:pPr>
                  <w:r>
                    <w:rPr>
                      <w:rFonts w:hint="eastAsia"/>
                      <w:color w:val="auto"/>
                      <w:szCs w:val="21"/>
                      <w:highlight w:val="none"/>
                      <w:lang w:val="en-US" w:eastAsia="zh-CN"/>
                    </w:rPr>
                    <w:t>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949" w:type="dxa"/>
                  <w:noWrap w:val="0"/>
                  <w:vAlign w:val="center"/>
                </w:tcPr>
                <w:p>
                  <w:pPr>
                    <w:jc w:val="center"/>
                    <w:rPr>
                      <w:color w:val="auto"/>
                      <w:szCs w:val="21"/>
                      <w:highlight w:val="none"/>
                    </w:rPr>
                  </w:pPr>
                </w:p>
              </w:tc>
              <w:tc>
                <w:tcPr>
                  <w:tcW w:w="5671" w:type="dxa"/>
                  <w:gridSpan w:val="2"/>
                  <w:noWrap w:val="0"/>
                  <w:vAlign w:val="center"/>
                </w:tcPr>
                <w:p>
                  <w:pPr>
                    <w:jc w:val="center"/>
                    <w:rPr>
                      <w:color w:val="auto"/>
                      <w:szCs w:val="21"/>
                      <w:highlight w:val="none"/>
                    </w:rPr>
                  </w:pPr>
                  <w:r>
                    <w:rPr>
                      <w:rFonts w:hint="eastAsia"/>
                      <w:color w:val="auto"/>
                      <w:szCs w:val="21"/>
                      <w:highlight w:val="none"/>
                    </w:rPr>
                    <w:t>合计</w:t>
                  </w:r>
                </w:p>
              </w:tc>
              <w:tc>
                <w:tcPr>
                  <w:tcW w:w="1318" w:type="dxa"/>
                  <w:noWrap w:val="0"/>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460</w:t>
                  </w:r>
                </w:p>
              </w:tc>
            </w:tr>
          </w:tbl>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rPr>
                <w:rFonts w:hint="eastAsia" w:hAnsi="宋体"/>
                <w:b/>
                <w:color w:val="auto"/>
                <w:sz w:val="24"/>
                <w:szCs w:val="24"/>
                <w:highlight w:val="none"/>
              </w:rPr>
            </w:pPr>
          </w:p>
          <w:p>
            <w:pPr>
              <w:pStyle w:val="35"/>
              <w:rPr>
                <w:rFonts w:hint="eastAsia" w:hAnsi="宋体"/>
                <w:b/>
                <w:color w:val="auto"/>
                <w:sz w:val="24"/>
                <w:szCs w:val="24"/>
                <w:highlight w:val="none"/>
              </w:rPr>
            </w:pPr>
          </w:p>
          <w:p>
            <w:pPr>
              <w:pStyle w:val="35"/>
              <w:rPr>
                <w:rFonts w:hint="eastAsia" w:hAnsi="宋体"/>
                <w:b/>
                <w:color w:val="auto"/>
                <w:sz w:val="24"/>
                <w:szCs w:val="24"/>
                <w:highlight w:val="none"/>
              </w:rPr>
            </w:pPr>
          </w:p>
          <w:p>
            <w:pPr>
              <w:rPr>
                <w:rFonts w:hAnsi="宋体"/>
                <w:b/>
                <w:color w:val="auto"/>
                <w:sz w:val="24"/>
                <w:szCs w:val="24"/>
                <w:highlight w:val="none"/>
              </w:rPr>
            </w:pPr>
            <w:r>
              <w:rPr>
                <w:rFonts w:hint="eastAsia" w:hAnsi="宋体"/>
                <w:b/>
                <w:color w:val="auto"/>
                <w:sz w:val="24"/>
                <w:szCs w:val="24"/>
                <w:highlight w:val="none"/>
              </w:rPr>
              <w:t>与本项目有关的原有污染情况及主要环境问题</w:t>
            </w:r>
          </w:p>
          <w:p>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cs="Times New Roman"/>
                <w:bCs/>
                <w:color w:val="auto"/>
                <w:sz w:val="24"/>
                <w:highlight w:val="none"/>
                <w:lang w:eastAsia="zh-CN"/>
              </w:rPr>
              <w:t>本项目位于黑龙江省</w:t>
            </w:r>
            <w:r>
              <w:rPr>
                <w:rFonts w:hint="eastAsia" w:cs="Times New Roman"/>
                <w:bCs/>
                <w:color w:val="auto"/>
                <w:sz w:val="24"/>
                <w:highlight w:val="none"/>
                <w:lang w:eastAsia="zh-CN"/>
              </w:rPr>
              <w:t>江川</w:t>
            </w:r>
            <w:r>
              <w:rPr>
                <w:rFonts w:hint="default" w:ascii="Times New Roman" w:hAnsi="Times New Roman" w:cs="Times New Roman"/>
                <w:bCs/>
                <w:color w:val="auto"/>
                <w:sz w:val="24"/>
                <w:highlight w:val="none"/>
                <w:lang w:eastAsia="zh-CN"/>
              </w:rPr>
              <w:t>农场供热中心院内，</w:t>
            </w:r>
            <w:r>
              <w:rPr>
                <w:rFonts w:hint="eastAsia" w:cs="Times New Roman"/>
                <w:bCs/>
                <w:color w:val="auto"/>
                <w:sz w:val="24"/>
                <w:highlight w:val="none"/>
                <w:lang w:eastAsia="zh-CN"/>
              </w:rPr>
              <w:t>占地面积</w:t>
            </w:r>
            <w:r>
              <w:rPr>
                <w:rFonts w:hint="eastAsia" w:cs="Times New Roman"/>
                <w:bCs/>
                <w:color w:val="auto"/>
                <w:sz w:val="24"/>
                <w:highlight w:val="none"/>
                <w:lang w:val="en-US" w:eastAsia="zh-CN"/>
              </w:rPr>
              <w:t>4178m</w:t>
            </w:r>
            <w:r>
              <w:rPr>
                <w:rFonts w:hint="eastAsia" w:cs="Times New Roman"/>
                <w:bCs/>
                <w:color w:val="auto"/>
                <w:sz w:val="24"/>
                <w:highlight w:val="none"/>
                <w:vertAlign w:val="superscript"/>
                <w:lang w:val="en-US" w:eastAsia="zh-CN"/>
              </w:rPr>
              <w:t>2</w:t>
            </w:r>
            <w:r>
              <w:rPr>
                <w:rFonts w:hint="eastAsia" w:cs="Times New Roman"/>
                <w:bCs/>
                <w:color w:val="auto"/>
                <w:sz w:val="24"/>
                <w:highlight w:val="none"/>
                <w:lang w:val="en-US" w:eastAsia="zh-CN"/>
              </w:rPr>
              <w:t>，</w:t>
            </w:r>
            <w:r>
              <w:rPr>
                <w:rFonts w:hAnsi="宋体"/>
                <w:bCs/>
                <w:color w:val="auto"/>
                <w:sz w:val="24"/>
                <w:highlight w:val="none"/>
              </w:rPr>
              <w:t>东侧隔</w:t>
            </w:r>
            <w:r>
              <w:rPr>
                <w:rFonts w:hint="eastAsia" w:hAnsi="宋体"/>
                <w:bCs/>
                <w:color w:val="auto"/>
                <w:sz w:val="24"/>
                <w:highlight w:val="none"/>
                <w:lang w:eastAsia="zh-CN"/>
              </w:rPr>
              <w:t>路</w:t>
            </w:r>
            <w:r>
              <w:rPr>
                <w:rFonts w:hint="eastAsia" w:hAnsi="宋体"/>
                <w:bCs/>
                <w:color w:val="auto"/>
                <w:sz w:val="24"/>
                <w:highlight w:val="none"/>
                <w:lang w:val="en-US" w:eastAsia="zh-CN"/>
              </w:rPr>
              <w:t>80米</w:t>
            </w:r>
            <w:r>
              <w:rPr>
                <w:rFonts w:hAnsi="宋体"/>
                <w:bCs/>
                <w:color w:val="auto"/>
                <w:sz w:val="24"/>
                <w:highlight w:val="none"/>
              </w:rPr>
              <w:t>为居民、西侧</w:t>
            </w:r>
            <w:r>
              <w:rPr>
                <w:rFonts w:hint="eastAsia" w:hAnsi="宋体"/>
                <w:bCs/>
                <w:color w:val="auto"/>
                <w:sz w:val="24"/>
                <w:highlight w:val="none"/>
                <w:lang w:eastAsia="zh-CN"/>
              </w:rPr>
              <w:t>隔空地</w:t>
            </w:r>
            <w:r>
              <w:rPr>
                <w:rFonts w:hint="eastAsia" w:hAnsi="宋体"/>
                <w:bCs/>
                <w:color w:val="auto"/>
                <w:sz w:val="24"/>
                <w:highlight w:val="none"/>
                <w:lang w:val="en-US" w:eastAsia="zh-CN"/>
              </w:rPr>
              <w:t>30米为居民</w:t>
            </w:r>
            <w:r>
              <w:rPr>
                <w:rFonts w:hAnsi="宋体"/>
                <w:bCs/>
                <w:color w:val="auto"/>
                <w:sz w:val="24"/>
                <w:highlight w:val="none"/>
              </w:rPr>
              <w:t>、南侧隔</w:t>
            </w:r>
            <w:r>
              <w:rPr>
                <w:rFonts w:hint="eastAsia" w:hAnsi="宋体"/>
                <w:bCs/>
                <w:color w:val="auto"/>
                <w:sz w:val="24"/>
                <w:highlight w:val="none"/>
                <w:lang w:eastAsia="zh-CN"/>
              </w:rPr>
              <w:t>路</w:t>
            </w:r>
            <w:r>
              <w:rPr>
                <w:rFonts w:hint="eastAsia" w:hAnsi="宋体"/>
                <w:bCs/>
                <w:color w:val="auto"/>
                <w:sz w:val="24"/>
                <w:highlight w:val="none"/>
                <w:lang w:val="en-US" w:eastAsia="zh-CN"/>
              </w:rPr>
              <w:t>45米</w:t>
            </w:r>
            <w:r>
              <w:rPr>
                <w:rFonts w:hAnsi="宋体"/>
                <w:bCs/>
                <w:color w:val="auto"/>
                <w:sz w:val="24"/>
                <w:highlight w:val="none"/>
              </w:rPr>
              <w:t>为</w:t>
            </w:r>
            <w:r>
              <w:rPr>
                <w:rFonts w:hint="eastAsia" w:hAnsi="宋体"/>
                <w:color w:val="auto"/>
                <w:spacing w:val="-10"/>
                <w:sz w:val="24"/>
                <w:highlight w:val="none"/>
                <w:lang w:eastAsia="zh-CN"/>
              </w:rPr>
              <w:t>江川农场学校</w:t>
            </w:r>
            <w:r>
              <w:rPr>
                <w:rFonts w:hAnsi="宋体"/>
                <w:bCs/>
                <w:color w:val="auto"/>
                <w:sz w:val="24"/>
                <w:highlight w:val="none"/>
              </w:rPr>
              <w:t>、北侧隔</w:t>
            </w:r>
            <w:r>
              <w:rPr>
                <w:rFonts w:hint="eastAsia" w:hAnsi="宋体"/>
                <w:bCs/>
                <w:color w:val="auto"/>
                <w:sz w:val="24"/>
                <w:highlight w:val="none"/>
                <w:lang w:eastAsia="zh-CN"/>
              </w:rPr>
              <w:t>路</w:t>
            </w:r>
            <w:r>
              <w:rPr>
                <w:rFonts w:hint="eastAsia" w:hAnsi="宋体"/>
                <w:bCs/>
                <w:color w:val="auto"/>
                <w:sz w:val="24"/>
                <w:highlight w:val="none"/>
                <w:lang w:val="en-US" w:eastAsia="zh-CN"/>
              </w:rPr>
              <w:t>26米</w:t>
            </w:r>
            <w:r>
              <w:rPr>
                <w:rFonts w:hAnsi="宋体"/>
                <w:bCs/>
                <w:color w:val="auto"/>
                <w:sz w:val="24"/>
                <w:highlight w:val="none"/>
              </w:rPr>
              <w:t>为</w:t>
            </w:r>
            <w:r>
              <w:rPr>
                <w:rFonts w:hint="eastAsia" w:hAnsi="宋体"/>
                <w:bCs/>
                <w:color w:val="auto"/>
                <w:sz w:val="24"/>
                <w:highlight w:val="none"/>
                <w:lang w:eastAsia="zh-CN"/>
              </w:rPr>
              <w:t>居民。</w:t>
            </w:r>
            <w:r>
              <w:rPr>
                <w:rFonts w:hint="default" w:ascii="Times New Roman" w:hAnsi="Times New Roman" w:cs="Times New Roman"/>
                <w:bCs/>
                <w:color w:val="auto"/>
                <w:sz w:val="24"/>
                <w:highlight w:val="none"/>
                <w:lang w:eastAsia="zh-CN"/>
              </w:rPr>
              <w:t>供热中心院内</w:t>
            </w:r>
            <w:r>
              <w:rPr>
                <w:rFonts w:hint="eastAsia" w:cs="Times New Roman"/>
                <w:bCs/>
                <w:color w:val="auto"/>
                <w:sz w:val="24"/>
                <w:highlight w:val="none"/>
                <w:lang w:eastAsia="zh-CN"/>
              </w:rPr>
              <w:t>建</w:t>
            </w:r>
            <w:r>
              <w:rPr>
                <w:rFonts w:hint="default" w:ascii="Times New Roman" w:hAnsi="Times New Roman" w:cs="Times New Roman"/>
                <w:bCs/>
                <w:color w:val="auto"/>
                <w:sz w:val="24"/>
                <w:highlight w:val="none"/>
                <w:lang w:eastAsia="zh-CN"/>
              </w:rPr>
              <w:t>有</w:t>
            </w:r>
            <w:r>
              <w:rPr>
                <w:rFonts w:hint="eastAsia" w:cs="Times New Roman"/>
                <w:bCs/>
                <w:color w:val="auto"/>
                <w:sz w:val="24"/>
                <w:highlight w:val="none"/>
                <w:lang w:eastAsia="zh-CN"/>
              </w:rPr>
              <w:t>一</w:t>
            </w:r>
            <w:r>
              <w:rPr>
                <w:rFonts w:hint="default" w:ascii="Times New Roman" w:hAnsi="Times New Roman" w:cs="Times New Roman"/>
                <w:bCs/>
                <w:color w:val="auto"/>
                <w:sz w:val="24"/>
                <w:highlight w:val="none"/>
                <w:lang w:eastAsia="zh-CN"/>
              </w:rPr>
              <w:t>个锅炉房（</w:t>
            </w:r>
            <w:r>
              <w:rPr>
                <w:rFonts w:hint="default" w:ascii="Times New Roman" w:hAnsi="Times New Roman" w:eastAsia="宋体" w:cs="Times New Roman"/>
                <w:color w:val="auto"/>
                <w:kern w:val="0"/>
                <w:sz w:val="24"/>
                <w:szCs w:val="24"/>
                <w:highlight w:val="none"/>
                <w:lang w:val="en-US" w:eastAsia="zh-CN" w:bidi="ar"/>
              </w:rPr>
              <w:t>2台</w:t>
            </w:r>
            <w:r>
              <w:rPr>
                <w:rFonts w:hint="eastAsia" w:cs="Times New Roman"/>
                <w:color w:val="auto"/>
                <w:kern w:val="0"/>
                <w:sz w:val="24"/>
                <w:szCs w:val="24"/>
                <w:highlight w:val="none"/>
                <w:lang w:val="en-US" w:eastAsia="zh-CN" w:bidi="ar"/>
              </w:rPr>
              <w:t>14MW</w:t>
            </w:r>
            <w:r>
              <w:rPr>
                <w:rFonts w:hint="default" w:ascii="Times New Roman" w:hAnsi="Times New Roman" w:eastAsia="宋体" w:cs="Times New Roman"/>
                <w:color w:val="auto"/>
                <w:kern w:val="0"/>
                <w:sz w:val="24"/>
                <w:szCs w:val="24"/>
                <w:highlight w:val="none"/>
                <w:lang w:val="en-US" w:eastAsia="zh-CN" w:bidi="ar"/>
              </w:rPr>
              <w:t>（备用）和1台</w:t>
            </w:r>
            <w:r>
              <w:rPr>
                <w:rFonts w:hint="eastAsia" w:cs="Times New Roman"/>
                <w:color w:val="auto"/>
                <w:kern w:val="0"/>
                <w:sz w:val="24"/>
                <w:szCs w:val="24"/>
                <w:highlight w:val="none"/>
                <w:lang w:val="en-US" w:eastAsia="zh-CN" w:bidi="ar"/>
              </w:rPr>
              <w:t>28MW</w:t>
            </w:r>
            <w:r>
              <w:rPr>
                <w:rFonts w:hint="default" w:ascii="Times New Roman" w:hAnsi="Times New Roman" w:eastAsia="宋体" w:cs="Times New Roman"/>
                <w:color w:val="auto"/>
                <w:kern w:val="0"/>
                <w:sz w:val="24"/>
                <w:szCs w:val="24"/>
                <w:highlight w:val="none"/>
                <w:lang w:val="en-US" w:eastAsia="zh-CN" w:bidi="ar"/>
              </w:rPr>
              <w:t>（在用）的燃煤锅炉，2台</w:t>
            </w:r>
            <w:r>
              <w:rPr>
                <w:rFonts w:hint="eastAsia" w:cs="Times New Roman"/>
                <w:color w:val="auto"/>
                <w:kern w:val="0"/>
                <w:sz w:val="24"/>
                <w:szCs w:val="24"/>
                <w:highlight w:val="none"/>
                <w:lang w:val="en-US" w:eastAsia="zh-CN" w:bidi="ar"/>
              </w:rPr>
              <w:t>14MW</w:t>
            </w:r>
            <w:r>
              <w:rPr>
                <w:rFonts w:hint="default" w:ascii="Times New Roman" w:hAnsi="Times New Roman" w:eastAsia="宋体" w:cs="Times New Roman"/>
                <w:color w:val="auto"/>
                <w:kern w:val="0"/>
                <w:sz w:val="24"/>
                <w:szCs w:val="24"/>
                <w:highlight w:val="none"/>
                <w:lang w:val="en-US" w:eastAsia="zh-CN" w:bidi="ar"/>
              </w:rPr>
              <w:t>的锅炉除尘采用干式除尘器，除尘效率为85%，</w:t>
            </w:r>
            <w:r>
              <w:rPr>
                <w:rFonts w:hint="eastAsia" w:cs="Times New Roman"/>
                <w:color w:val="auto"/>
                <w:kern w:val="0"/>
                <w:sz w:val="24"/>
                <w:szCs w:val="24"/>
                <w:highlight w:val="none"/>
                <w:lang w:val="en-US" w:eastAsia="zh-CN" w:bidi="ar"/>
              </w:rPr>
              <w:t>28MW</w:t>
            </w:r>
            <w:r>
              <w:rPr>
                <w:rFonts w:hint="default" w:ascii="Times New Roman" w:hAnsi="Times New Roman" w:eastAsia="宋体" w:cs="Times New Roman"/>
                <w:color w:val="auto"/>
                <w:kern w:val="0"/>
                <w:sz w:val="24"/>
                <w:szCs w:val="24"/>
                <w:highlight w:val="none"/>
                <w:lang w:val="en-US" w:eastAsia="zh-CN" w:bidi="ar"/>
              </w:rPr>
              <w:t>的锅炉除尘采用湿式除尘器，除尘效率为87%</w:t>
            </w:r>
            <w:r>
              <w:rPr>
                <w:rFonts w:hint="default" w:ascii="Times New Roman" w:hAnsi="Times New Roman" w:cs="Times New Roman"/>
                <w:bCs/>
                <w:color w:val="auto"/>
                <w:sz w:val="24"/>
                <w:highlight w:val="none"/>
                <w:lang w:eastAsia="zh-CN"/>
              </w:rPr>
              <w:t>）、一座煤场、一座</w:t>
            </w:r>
            <w:r>
              <w:rPr>
                <w:rFonts w:hint="eastAsia" w:cs="Times New Roman"/>
                <w:bCs/>
                <w:color w:val="auto"/>
                <w:sz w:val="24"/>
                <w:highlight w:val="none"/>
                <w:lang w:eastAsia="zh-CN"/>
              </w:rPr>
              <w:t>灰渣</w:t>
            </w:r>
            <w:r>
              <w:rPr>
                <w:rFonts w:hint="default" w:ascii="Times New Roman" w:hAnsi="Times New Roman" w:cs="Times New Roman"/>
                <w:bCs/>
                <w:color w:val="auto"/>
                <w:sz w:val="24"/>
                <w:highlight w:val="none"/>
                <w:lang w:eastAsia="zh-CN"/>
              </w:rPr>
              <w:t>场</w:t>
            </w:r>
            <w:r>
              <w:rPr>
                <w:rFonts w:hint="eastAsia" w:cs="Times New Roman"/>
                <w:bCs/>
                <w:color w:val="auto"/>
                <w:sz w:val="24"/>
                <w:highlight w:val="none"/>
                <w:lang w:eastAsia="zh-CN"/>
              </w:rPr>
              <w:t>、一根</w:t>
            </w:r>
            <w:r>
              <w:rPr>
                <w:rFonts w:hint="eastAsia" w:cs="Times New Roman"/>
                <w:bCs/>
                <w:color w:val="auto"/>
                <w:sz w:val="24"/>
                <w:highlight w:val="none"/>
                <w:lang w:val="en-US" w:eastAsia="zh-CN"/>
              </w:rPr>
              <w:t>60m烟囱</w:t>
            </w:r>
            <w:r>
              <w:rPr>
                <w:rFonts w:hint="default" w:ascii="Times New Roman" w:hAnsi="Times New Roman" w:cs="Times New Roman"/>
                <w:bCs/>
                <w:color w:val="auto"/>
                <w:sz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燃煤量为15000t/a。</w:t>
            </w:r>
          </w:p>
          <w:p>
            <w:pPr>
              <w:spacing w:line="360" w:lineRule="auto"/>
              <w:ind w:firstLine="480" w:firstLineChars="200"/>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原有</w:t>
            </w:r>
            <w:r>
              <w:rPr>
                <w:rFonts w:hint="eastAsia" w:ascii="Times New Roman" w:hAnsi="Times New Roman" w:cs="Times New Roman"/>
                <w:bCs/>
                <w:color w:val="auto"/>
                <w:sz w:val="24"/>
                <w:highlight w:val="none"/>
                <w:lang w:eastAsia="zh-CN"/>
              </w:rPr>
              <w:t>工程</w:t>
            </w:r>
            <w:r>
              <w:rPr>
                <w:rFonts w:hint="default" w:ascii="Times New Roman" w:hAnsi="Times New Roman" w:cs="Times New Roman"/>
                <w:bCs/>
                <w:color w:val="auto"/>
                <w:sz w:val="24"/>
                <w:highlight w:val="none"/>
              </w:rPr>
              <w:t>污染情况：</w:t>
            </w:r>
          </w:p>
          <w:p>
            <w:pPr>
              <w:keepNext w:val="0"/>
              <w:keepLines w:val="0"/>
              <w:pageBreakBefore w:val="0"/>
              <w:widowControl w:val="0"/>
              <w:numPr>
                <w:ilvl w:val="0"/>
                <w:numId w:val="1"/>
              </w:numPr>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Cs/>
                <w:color w:val="auto"/>
                <w:sz w:val="24"/>
                <w:szCs w:val="24"/>
                <w:highlight w:val="none"/>
              </w:rPr>
            </w:pPr>
            <w:r>
              <w:rPr>
                <w:rFonts w:hint="default" w:ascii="Times New Roman" w:hAnsi="Times New Roman" w:cs="Times New Roman"/>
                <w:bCs/>
                <w:color w:val="auto"/>
                <w:sz w:val="24"/>
                <w:szCs w:val="24"/>
                <w:highlight w:val="none"/>
              </w:rPr>
              <w:t>废气</w:t>
            </w:r>
          </w:p>
          <w:p>
            <w:pPr>
              <w:pStyle w:val="35"/>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①</w:t>
            </w:r>
            <w:r>
              <w:rPr>
                <w:rFonts w:hint="default" w:ascii="Times New Roman" w:hAnsi="Times New Roman" w:cs="Times New Roman"/>
                <w:color w:val="auto"/>
                <w:sz w:val="24"/>
                <w:szCs w:val="24"/>
                <w:highlight w:val="none"/>
                <w:lang w:eastAsia="zh-CN"/>
              </w:rPr>
              <w:t>锅炉烟气</w:t>
            </w:r>
          </w:p>
          <w:p>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
              </w:rPr>
            </w:pPr>
            <w:r>
              <w:rPr>
                <w:rFonts w:hint="eastAsia" w:ascii="Times New Roman" w:hAnsi="Times New Roman" w:cs="Times New Roman"/>
                <w:bCs/>
                <w:color w:val="auto"/>
                <w:sz w:val="24"/>
                <w:highlight w:val="none"/>
                <w:lang w:val="en-US" w:eastAsia="zh-CN"/>
              </w:rPr>
              <w:t>根据</w:t>
            </w:r>
            <w:r>
              <w:rPr>
                <w:rFonts w:hint="eastAsia" w:cs="Times New Roman"/>
                <w:bCs/>
                <w:color w:val="auto"/>
                <w:sz w:val="24"/>
                <w:highlight w:val="none"/>
                <w:lang w:val="en-US" w:eastAsia="zh-CN"/>
              </w:rPr>
              <w:t>江川农场</w:t>
            </w:r>
            <w:r>
              <w:rPr>
                <w:rFonts w:hint="eastAsia"/>
                <w:color w:val="auto"/>
                <w:sz w:val="24"/>
                <w:highlight w:val="none"/>
                <w:lang w:val="en-US" w:eastAsia="zh-CN"/>
              </w:rPr>
              <w:t>2016年11月办理的</w:t>
            </w:r>
            <w:r>
              <w:rPr>
                <w:rFonts w:hint="eastAsia" w:ascii="Times New Roman" w:hAnsi="Times New Roman" w:cs="Times New Roman"/>
                <w:bCs/>
                <w:color w:val="auto"/>
                <w:sz w:val="24"/>
                <w:highlight w:val="none"/>
                <w:lang w:val="en-US" w:eastAsia="zh-CN"/>
              </w:rPr>
              <w:t>《</w:t>
            </w:r>
            <w:r>
              <w:rPr>
                <w:rFonts w:hint="default" w:ascii="Times New Roman" w:hAnsi="Times New Roman" w:cs="Times New Roman"/>
                <w:bCs/>
                <w:color w:val="auto"/>
                <w:sz w:val="24"/>
                <w:highlight w:val="none"/>
                <w:lang w:val="en-US" w:eastAsia="zh-CN"/>
              </w:rPr>
              <w:t>黑龙江省</w:t>
            </w:r>
            <w:r>
              <w:rPr>
                <w:rFonts w:hint="eastAsia" w:cs="Times New Roman"/>
                <w:bCs/>
                <w:color w:val="auto"/>
                <w:sz w:val="24"/>
                <w:highlight w:val="none"/>
                <w:lang w:val="en-US" w:eastAsia="zh-CN"/>
              </w:rPr>
              <w:t>江川</w:t>
            </w:r>
            <w:r>
              <w:rPr>
                <w:rFonts w:hint="default" w:ascii="Times New Roman" w:hAnsi="Times New Roman" w:cs="Times New Roman"/>
                <w:bCs/>
                <w:color w:val="auto"/>
                <w:sz w:val="24"/>
                <w:highlight w:val="none"/>
                <w:lang w:val="en-US" w:eastAsia="zh-CN"/>
              </w:rPr>
              <w:t>农场</w:t>
            </w:r>
            <w:r>
              <w:rPr>
                <w:rFonts w:hint="eastAsia" w:cs="Times New Roman"/>
                <w:bCs/>
                <w:color w:val="auto"/>
                <w:sz w:val="24"/>
                <w:highlight w:val="none"/>
                <w:lang w:val="en-US" w:eastAsia="zh-CN"/>
              </w:rPr>
              <w:t>建设中心锅炉房项目环境影响现状评估报告</w:t>
            </w:r>
            <w:r>
              <w:rPr>
                <w:rFonts w:hint="eastAsia" w:ascii="Times New Roman" w:hAnsi="Times New Roman" w:cs="Times New Roman"/>
                <w:bCs/>
                <w:color w:val="auto"/>
                <w:sz w:val="24"/>
                <w:highlight w:val="none"/>
                <w:lang w:val="en-US" w:eastAsia="zh-CN"/>
              </w:rPr>
              <w:t>》</w:t>
            </w:r>
            <w:r>
              <w:rPr>
                <w:rFonts w:hint="eastAsia" w:cs="Times New Roman"/>
                <w:bCs/>
                <w:color w:val="auto"/>
                <w:sz w:val="24"/>
                <w:highlight w:val="none"/>
                <w:lang w:val="en-US" w:eastAsia="zh-CN"/>
              </w:rPr>
              <w:t>中的监测数据可知。</w:t>
            </w:r>
            <w:r>
              <w:rPr>
                <w:rFonts w:hint="eastAsia" w:cs="Times New Roman"/>
                <w:color w:val="auto"/>
                <w:kern w:val="0"/>
                <w:sz w:val="24"/>
                <w:szCs w:val="24"/>
                <w:highlight w:val="none"/>
                <w:lang w:val="en-US" w:eastAsia="zh-CN" w:bidi="ar"/>
              </w:rPr>
              <w:t>颗粒物</w:t>
            </w:r>
            <w:r>
              <w:rPr>
                <w:rFonts w:hint="default" w:ascii="Times New Roman" w:hAnsi="Times New Roman" w:eastAsia="宋体" w:cs="Times New Roman"/>
                <w:color w:val="auto"/>
                <w:kern w:val="0"/>
                <w:sz w:val="24"/>
                <w:szCs w:val="24"/>
                <w:highlight w:val="none"/>
                <w:lang w:val="en-US" w:eastAsia="zh-CN" w:bidi="ar"/>
              </w:rPr>
              <w:t>的排放量为56.06t/a，SO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的排放量为72t/a，氮氧化物排放量为44.1t/a。</w:t>
            </w:r>
            <w:r>
              <w:rPr>
                <w:rFonts w:hint="eastAsia" w:cs="Times New Roman"/>
                <w:color w:val="auto"/>
                <w:kern w:val="0"/>
                <w:sz w:val="24"/>
                <w:szCs w:val="24"/>
                <w:highlight w:val="none"/>
                <w:lang w:val="en-US" w:eastAsia="zh-CN" w:bidi="ar"/>
              </w:rPr>
              <w:t>颗粒物</w:t>
            </w:r>
            <w:r>
              <w:rPr>
                <w:rFonts w:hint="default" w:ascii="Times New Roman" w:hAnsi="Times New Roman" w:eastAsia="宋体" w:cs="Times New Roman"/>
                <w:color w:val="auto"/>
                <w:kern w:val="0"/>
                <w:sz w:val="24"/>
                <w:szCs w:val="24"/>
                <w:highlight w:val="none"/>
                <w:lang w:val="en-US" w:eastAsia="zh-CN" w:bidi="ar"/>
              </w:rPr>
              <w:t>排放浓度为363.19mg/m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、SO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排放浓度为466.45mg/m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、NOx排放浓度为285.7mg/m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。不满足《锅炉大气污染物排放标准》（GB13271-2014）中表</w:t>
            </w:r>
            <w:r>
              <w:rPr>
                <w:rFonts w:hint="eastAsia" w:cs="Times New Roman"/>
                <w:color w:val="auto"/>
                <w:kern w:val="0"/>
                <w:sz w:val="24"/>
                <w:szCs w:val="24"/>
                <w:highlight w:val="none"/>
                <w:lang w:val="en-US" w:eastAsia="zh-CN" w:bidi="ar"/>
              </w:rPr>
              <w:t>2</w:t>
            </w:r>
            <w:r>
              <w:rPr>
                <w:rFonts w:hint="default" w:ascii="Times New Roman" w:hAnsi="Times New Roman" w:eastAsia="宋体" w:cs="Times New Roman"/>
                <w:color w:val="auto"/>
                <w:kern w:val="0"/>
                <w:sz w:val="24"/>
                <w:szCs w:val="24"/>
                <w:highlight w:val="none"/>
                <w:lang w:val="en-US" w:eastAsia="zh-CN" w:bidi="ar"/>
              </w:rPr>
              <w:t>标准要求（</w:t>
            </w:r>
            <w:r>
              <w:rPr>
                <w:rFonts w:hint="eastAsia" w:cs="Times New Roman"/>
                <w:color w:val="auto"/>
                <w:kern w:val="0"/>
                <w:sz w:val="24"/>
                <w:szCs w:val="24"/>
                <w:highlight w:val="none"/>
                <w:lang w:val="en-US" w:eastAsia="zh-CN" w:bidi="ar"/>
              </w:rPr>
              <w:t>颗粒物</w:t>
            </w:r>
            <w:r>
              <w:rPr>
                <w:rFonts w:hint="default" w:ascii="Times New Roman" w:hAnsi="Times New Roman" w:eastAsia="宋体" w:cs="Times New Roman"/>
                <w:color w:val="auto"/>
                <w:kern w:val="0"/>
                <w:sz w:val="24"/>
                <w:szCs w:val="24"/>
                <w:highlight w:val="none"/>
                <w:lang w:val="en-US" w:eastAsia="zh-CN" w:bidi="ar"/>
              </w:rPr>
              <w:t>50mg/m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、SO</w:t>
            </w:r>
            <w:r>
              <w:rPr>
                <w:rFonts w:hint="default" w:ascii="Times New Roman" w:hAnsi="Times New Roman" w:eastAsia="宋体" w:cs="Times New Roman"/>
                <w:color w:val="auto"/>
                <w:kern w:val="0"/>
                <w:sz w:val="24"/>
                <w:szCs w:val="24"/>
                <w:highlight w:val="none"/>
                <w:vertAlign w:val="subscript"/>
                <w:lang w:val="en-US" w:eastAsia="zh-CN" w:bidi="ar"/>
              </w:rPr>
              <w:t xml:space="preserve">2 </w:t>
            </w:r>
            <w:r>
              <w:rPr>
                <w:rFonts w:hint="default" w:ascii="Times New Roman" w:hAnsi="Times New Roman" w:eastAsia="宋体" w:cs="Times New Roman"/>
                <w:color w:val="auto"/>
                <w:kern w:val="0"/>
                <w:sz w:val="24"/>
                <w:szCs w:val="24"/>
                <w:highlight w:val="none"/>
                <w:lang w:val="en-US" w:eastAsia="zh-CN" w:bidi="ar"/>
              </w:rPr>
              <w:t>300mg/m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、NO</w:t>
            </w:r>
            <w:r>
              <w:rPr>
                <w:rFonts w:hint="default" w:ascii="Times New Roman" w:hAnsi="Times New Roman" w:eastAsia="宋体" w:cs="Times New Roman"/>
                <w:color w:val="auto"/>
                <w:kern w:val="0"/>
                <w:sz w:val="24"/>
                <w:szCs w:val="24"/>
                <w:highlight w:val="none"/>
                <w:vertAlign w:val="subscript"/>
                <w:lang w:val="en-US" w:eastAsia="zh-CN" w:bidi="ar"/>
              </w:rPr>
              <w:t>x</w:t>
            </w:r>
            <w:r>
              <w:rPr>
                <w:rFonts w:hint="default" w:ascii="Times New Roman" w:hAnsi="Times New Roman" w:eastAsia="宋体" w:cs="Times New Roman"/>
                <w:color w:val="auto"/>
                <w:kern w:val="0"/>
                <w:sz w:val="24"/>
                <w:szCs w:val="24"/>
                <w:highlight w:val="none"/>
                <w:lang w:val="en-US" w:eastAsia="zh-CN" w:bidi="ar"/>
              </w:rPr>
              <w:t>300mg/m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w:t>
            </w:r>
          </w:p>
          <w:p>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
              </w:rPr>
            </w:pPr>
            <w:r>
              <w:rPr>
                <w:rFonts w:hint="eastAsia" w:cs="Times New Roman"/>
                <w:color w:val="auto"/>
                <w:kern w:val="0"/>
                <w:sz w:val="24"/>
                <w:szCs w:val="24"/>
                <w:highlight w:val="none"/>
                <w:lang w:val="en-US" w:eastAsia="zh-CN" w:bidi="ar"/>
              </w:rPr>
              <w:t>由于</w:t>
            </w:r>
            <w:r>
              <w:rPr>
                <w:rFonts w:hint="eastAsia"/>
                <w:color w:val="auto"/>
                <w:sz w:val="24"/>
                <w:szCs w:val="24"/>
                <w:highlight w:val="none"/>
                <w:lang w:val="en-US" w:eastAsia="zh-CN"/>
              </w:rPr>
              <w:t>本项目将原有2台14MW的备用锅炉改为在用锅炉，将原有1台28MW的在用锅炉改为备用锅炉。因此江川农场委托</w:t>
            </w:r>
            <w:r>
              <w:rPr>
                <w:rFonts w:hint="eastAsia"/>
                <w:color w:val="auto"/>
                <w:sz w:val="24"/>
                <w:szCs w:val="24"/>
                <w:highlight w:val="none"/>
                <w:lang w:eastAsia="zh-CN"/>
              </w:rPr>
              <w:t>黑龙江开源检测技术有限公司对现运行的</w:t>
            </w:r>
            <w:r>
              <w:rPr>
                <w:rFonts w:hint="eastAsia"/>
                <w:color w:val="auto"/>
                <w:sz w:val="24"/>
                <w:szCs w:val="24"/>
                <w:highlight w:val="none"/>
                <w:lang w:val="en-US" w:eastAsia="zh-CN"/>
              </w:rPr>
              <w:t>2台14MW的在用燃煤锅炉进行监测，根据</w:t>
            </w:r>
            <w:r>
              <w:rPr>
                <w:rFonts w:hint="eastAsia" w:cs="Times New Roman"/>
                <w:color w:val="auto"/>
                <w:sz w:val="24"/>
                <w:highlight w:val="none"/>
                <w:lang w:val="en-US" w:eastAsia="zh-CN"/>
              </w:rPr>
              <w:t>检测报告</w:t>
            </w:r>
            <w:r>
              <w:rPr>
                <w:rFonts w:hint="default" w:ascii="Times New Roman" w:hAnsi="Times New Roman" w:cs="Times New Roman"/>
                <w:color w:val="auto"/>
                <w:sz w:val="24"/>
                <w:highlight w:val="none"/>
                <w:lang w:val="en-US" w:eastAsia="zh-CN"/>
              </w:rPr>
              <w:t>可知</w:t>
            </w:r>
            <w:r>
              <w:rPr>
                <w:rFonts w:hint="eastAsia" w:ascii="Times New Roman" w:hAnsi="Times New Roman" w:cs="Times New Roman"/>
                <w:color w:val="auto"/>
                <w:sz w:val="24"/>
                <w:highlight w:val="none"/>
                <w:lang w:val="en-US" w:eastAsia="zh-CN"/>
              </w:rPr>
              <w:t>：</w:t>
            </w:r>
            <w:r>
              <w:rPr>
                <w:rFonts w:hint="eastAsia" w:cs="Times New Roman"/>
                <w:color w:val="auto"/>
                <w:sz w:val="24"/>
                <w:highlight w:val="none"/>
                <w:lang w:val="en-US" w:eastAsia="zh-CN"/>
              </w:rPr>
              <w:t>1#14MW的燃煤锅炉的</w:t>
            </w:r>
            <w:r>
              <w:rPr>
                <w:color w:val="auto"/>
                <w:sz w:val="24"/>
                <w:szCs w:val="18"/>
                <w:highlight w:val="none"/>
              </w:rPr>
              <w:t>NO</w:t>
            </w:r>
            <w:r>
              <w:rPr>
                <w:color w:val="auto"/>
                <w:sz w:val="24"/>
                <w:szCs w:val="18"/>
                <w:highlight w:val="none"/>
                <w:vertAlign w:val="subscript"/>
              </w:rPr>
              <w:t>x</w:t>
            </w:r>
            <w:r>
              <w:rPr>
                <w:rFonts w:hint="eastAsia"/>
                <w:color w:val="auto"/>
                <w:sz w:val="24"/>
                <w:szCs w:val="18"/>
                <w:highlight w:val="none"/>
                <w:vertAlign w:val="baseline"/>
                <w:lang w:eastAsia="zh-CN"/>
              </w:rPr>
              <w:t>、</w:t>
            </w:r>
            <w:r>
              <w:rPr>
                <w:rFonts w:hint="eastAsia"/>
                <w:color w:val="auto"/>
                <w:sz w:val="24"/>
                <w:szCs w:val="18"/>
                <w:highlight w:val="none"/>
                <w:vertAlign w:val="baseline"/>
                <w:lang w:val="en-US" w:eastAsia="zh-CN"/>
              </w:rPr>
              <w:t>SO</w:t>
            </w:r>
            <w:r>
              <w:rPr>
                <w:rFonts w:hint="eastAsia"/>
                <w:color w:val="auto"/>
                <w:sz w:val="24"/>
                <w:szCs w:val="18"/>
                <w:highlight w:val="none"/>
                <w:vertAlign w:val="subscript"/>
                <w:lang w:val="en-US" w:eastAsia="zh-CN"/>
              </w:rPr>
              <w:t>2</w:t>
            </w:r>
            <w:r>
              <w:rPr>
                <w:rFonts w:hint="eastAsia"/>
                <w:color w:val="auto"/>
                <w:sz w:val="24"/>
                <w:szCs w:val="18"/>
                <w:highlight w:val="none"/>
                <w:vertAlign w:val="baseline"/>
                <w:lang w:val="en-US" w:eastAsia="zh-CN"/>
              </w:rPr>
              <w:t>、颗粒物的</w:t>
            </w:r>
            <w:r>
              <w:rPr>
                <w:color w:val="auto"/>
                <w:sz w:val="24"/>
                <w:highlight w:val="none"/>
              </w:rPr>
              <w:t>最大排放浓度</w:t>
            </w:r>
            <w:r>
              <w:rPr>
                <w:rFonts w:hint="eastAsia"/>
                <w:color w:val="auto"/>
                <w:sz w:val="24"/>
                <w:highlight w:val="none"/>
                <w:lang w:eastAsia="zh-CN"/>
              </w:rPr>
              <w:t>分别</w:t>
            </w:r>
            <w:r>
              <w:rPr>
                <w:color w:val="auto"/>
                <w:sz w:val="24"/>
                <w:highlight w:val="none"/>
              </w:rPr>
              <w:t>为</w:t>
            </w:r>
            <w:r>
              <w:rPr>
                <w:rFonts w:hint="eastAsia"/>
                <w:color w:val="auto"/>
                <w:sz w:val="24"/>
                <w:highlight w:val="none"/>
                <w:lang w:val="en-US" w:eastAsia="zh-CN"/>
              </w:rPr>
              <w:t>277</w:t>
            </w:r>
            <w:r>
              <w:rPr>
                <w:color w:val="auto"/>
                <w:sz w:val="24"/>
                <w:highlight w:val="none"/>
              </w:rPr>
              <w:t>mg/m</w:t>
            </w:r>
            <w:r>
              <w:rPr>
                <w:color w:val="auto"/>
                <w:sz w:val="24"/>
                <w:highlight w:val="none"/>
                <w:vertAlign w:val="superscript"/>
              </w:rPr>
              <w:t>3</w:t>
            </w:r>
            <w:r>
              <w:rPr>
                <w:color w:val="auto"/>
                <w:sz w:val="24"/>
                <w:highlight w:val="none"/>
              </w:rPr>
              <w:t>、最大排放浓度为</w:t>
            </w:r>
            <w:r>
              <w:rPr>
                <w:rFonts w:hint="eastAsia"/>
                <w:color w:val="auto"/>
                <w:sz w:val="24"/>
                <w:highlight w:val="none"/>
                <w:lang w:val="en-US" w:eastAsia="zh-CN"/>
              </w:rPr>
              <w:t>339</w:t>
            </w:r>
            <w:r>
              <w:rPr>
                <w:color w:val="auto"/>
                <w:sz w:val="24"/>
                <w:highlight w:val="none"/>
              </w:rPr>
              <w:t>mg/m</w:t>
            </w:r>
            <w:r>
              <w:rPr>
                <w:color w:val="auto"/>
                <w:sz w:val="24"/>
                <w:highlight w:val="none"/>
                <w:vertAlign w:val="superscript"/>
              </w:rPr>
              <w:t>3</w:t>
            </w:r>
            <w:r>
              <w:rPr>
                <w:color w:val="auto"/>
                <w:sz w:val="24"/>
                <w:highlight w:val="none"/>
              </w:rPr>
              <w:t>、</w:t>
            </w:r>
            <w:r>
              <w:rPr>
                <w:color w:val="auto"/>
                <w:sz w:val="24"/>
                <w:szCs w:val="18"/>
                <w:highlight w:val="none"/>
              </w:rPr>
              <w:t>最大</w:t>
            </w:r>
            <w:r>
              <w:rPr>
                <w:color w:val="auto"/>
                <w:sz w:val="24"/>
                <w:highlight w:val="none"/>
              </w:rPr>
              <w:t>排放浓度为</w:t>
            </w:r>
            <w:r>
              <w:rPr>
                <w:rFonts w:hint="eastAsia"/>
                <w:color w:val="auto"/>
                <w:sz w:val="24"/>
                <w:highlight w:val="none"/>
                <w:lang w:val="en-US" w:eastAsia="zh-CN"/>
              </w:rPr>
              <w:t>104</w:t>
            </w:r>
            <w:r>
              <w:rPr>
                <w:color w:val="auto"/>
                <w:sz w:val="24"/>
                <w:highlight w:val="none"/>
              </w:rPr>
              <w:t>mg/m</w:t>
            </w:r>
            <w:r>
              <w:rPr>
                <w:color w:val="auto"/>
                <w:sz w:val="24"/>
                <w:highlight w:val="none"/>
                <w:vertAlign w:val="superscript"/>
              </w:rPr>
              <w:t>3</w:t>
            </w:r>
            <w:r>
              <w:rPr>
                <w:rFonts w:hint="eastAsia"/>
                <w:color w:val="auto"/>
                <w:sz w:val="24"/>
                <w:highlight w:val="none"/>
                <w:vertAlign w:val="baseline"/>
                <w:lang w:eastAsia="zh-CN"/>
              </w:rPr>
              <w:t>；</w:t>
            </w:r>
            <w:r>
              <w:rPr>
                <w:rFonts w:hint="eastAsia" w:cs="Times New Roman"/>
                <w:color w:val="auto"/>
                <w:sz w:val="24"/>
                <w:highlight w:val="none"/>
                <w:lang w:val="en-US" w:eastAsia="zh-CN"/>
              </w:rPr>
              <w:t>2#14MW的燃煤锅炉的</w:t>
            </w:r>
            <w:r>
              <w:rPr>
                <w:color w:val="auto"/>
                <w:sz w:val="24"/>
                <w:szCs w:val="18"/>
                <w:highlight w:val="none"/>
              </w:rPr>
              <w:t>NO</w:t>
            </w:r>
            <w:r>
              <w:rPr>
                <w:color w:val="auto"/>
                <w:sz w:val="24"/>
                <w:szCs w:val="18"/>
                <w:highlight w:val="none"/>
                <w:vertAlign w:val="subscript"/>
              </w:rPr>
              <w:t>x</w:t>
            </w:r>
            <w:r>
              <w:rPr>
                <w:rFonts w:hint="eastAsia"/>
                <w:color w:val="auto"/>
                <w:sz w:val="24"/>
                <w:szCs w:val="18"/>
                <w:highlight w:val="none"/>
                <w:vertAlign w:val="baseline"/>
                <w:lang w:eastAsia="zh-CN"/>
              </w:rPr>
              <w:t>、</w:t>
            </w:r>
            <w:r>
              <w:rPr>
                <w:rFonts w:hint="eastAsia"/>
                <w:color w:val="auto"/>
                <w:sz w:val="24"/>
                <w:szCs w:val="18"/>
                <w:highlight w:val="none"/>
                <w:vertAlign w:val="baseline"/>
                <w:lang w:val="en-US" w:eastAsia="zh-CN"/>
              </w:rPr>
              <w:t>SO</w:t>
            </w:r>
            <w:r>
              <w:rPr>
                <w:rFonts w:hint="eastAsia"/>
                <w:color w:val="auto"/>
                <w:sz w:val="24"/>
                <w:szCs w:val="18"/>
                <w:highlight w:val="none"/>
                <w:vertAlign w:val="subscript"/>
                <w:lang w:val="en-US" w:eastAsia="zh-CN"/>
              </w:rPr>
              <w:t>2</w:t>
            </w:r>
            <w:r>
              <w:rPr>
                <w:rFonts w:hint="eastAsia"/>
                <w:color w:val="auto"/>
                <w:sz w:val="24"/>
                <w:szCs w:val="18"/>
                <w:highlight w:val="none"/>
                <w:vertAlign w:val="baseline"/>
                <w:lang w:val="en-US" w:eastAsia="zh-CN"/>
              </w:rPr>
              <w:t>、颗粒物的</w:t>
            </w:r>
            <w:r>
              <w:rPr>
                <w:color w:val="auto"/>
                <w:sz w:val="24"/>
                <w:highlight w:val="none"/>
              </w:rPr>
              <w:t>最大排放浓度</w:t>
            </w:r>
            <w:r>
              <w:rPr>
                <w:rFonts w:hint="eastAsia"/>
                <w:color w:val="auto"/>
                <w:sz w:val="24"/>
                <w:highlight w:val="none"/>
                <w:lang w:eastAsia="zh-CN"/>
              </w:rPr>
              <w:t>分别</w:t>
            </w:r>
            <w:r>
              <w:rPr>
                <w:color w:val="auto"/>
                <w:sz w:val="24"/>
                <w:highlight w:val="none"/>
              </w:rPr>
              <w:t>为</w:t>
            </w:r>
            <w:r>
              <w:rPr>
                <w:rFonts w:hint="eastAsia"/>
                <w:color w:val="auto"/>
                <w:sz w:val="24"/>
                <w:highlight w:val="none"/>
                <w:lang w:val="en-US" w:eastAsia="zh-CN"/>
              </w:rPr>
              <w:t>246</w:t>
            </w:r>
            <w:r>
              <w:rPr>
                <w:color w:val="auto"/>
                <w:sz w:val="24"/>
                <w:highlight w:val="none"/>
              </w:rPr>
              <w:t>mg/m</w:t>
            </w:r>
            <w:r>
              <w:rPr>
                <w:color w:val="auto"/>
                <w:sz w:val="24"/>
                <w:highlight w:val="none"/>
                <w:vertAlign w:val="superscript"/>
              </w:rPr>
              <w:t>3</w:t>
            </w:r>
            <w:r>
              <w:rPr>
                <w:color w:val="auto"/>
                <w:sz w:val="24"/>
                <w:highlight w:val="none"/>
              </w:rPr>
              <w:t>、最大排放浓度为</w:t>
            </w:r>
            <w:r>
              <w:rPr>
                <w:rFonts w:hint="eastAsia"/>
                <w:color w:val="auto"/>
                <w:sz w:val="24"/>
                <w:highlight w:val="none"/>
                <w:lang w:val="en-US" w:eastAsia="zh-CN"/>
              </w:rPr>
              <w:t>331</w:t>
            </w:r>
            <w:r>
              <w:rPr>
                <w:color w:val="auto"/>
                <w:sz w:val="24"/>
                <w:highlight w:val="none"/>
              </w:rPr>
              <w:t>mg/m</w:t>
            </w:r>
            <w:r>
              <w:rPr>
                <w:color w:val="auto"/>
                <w:sz w:val="24"/>
                <w:highlight w:val="none"/>
                <w:vertAlign w:val="superscript"/>
              </w:rPr>
              <w:t>3</w:t>
            </w:r>
            <w:r>
              <w:rPr>
                <w:color w:val="auto"/>
                <w:sz w:val="24"/>
                <w:highlight w:val="none"/>
              </w:rPr>
              <w:t>、</w:t>
            </w:r>
            <w:r>
              <w:rPr>
                <w:color w:val="auto"/>
                <w:sz w:val="24"/>
                <w:szCs w:val="18"/>
                <w:highlight w:val="none"/>
              </w:rPr>
              <w:t>最大</w:t>
            </w:r>
            <w:r>
              <w:rPr>
                <w:color w:val="auto"/>
                <w:sz w:val="24"/>
                <w:highlight w:val="none"/>
              </w:rPr>
              <w:t>排放浓度为</w:t>
            </w:r>
            <w:r>
              <w:rPr>
                <w:rFonts w:hint="eastAsia"/>
                <w:color w:val="auto"/>
                <w:sz w:val="24"/>
                <w:highlight w:val="none"/>
                <w:lang w:val="en-US" w:eastAsia="zh-CN"/>
              </w:rPr>
              <w:t>82.6</w:t>
            </w:r>
            <w:r>
              <w:rPr>
                <w:color w:val="auto"/>
                <w:sz w:val="24"/>
                <w:highlight w:val="none"/>
              </w:rPr>
              <w:t>mg/m</w:t>
            </w:r>
            <w:r>
              <w:rPr>
                <w:color w:val="auto"/>
                <w:sz w:val="24"/>
                <w:highlight w:val="none"/>
                <w:vertAlign w:val="superscript"/>
              </w:rPr>
              <w:t>3</w:t>
            </w:r>
            <w:r>
              <w:rPr>
                <w:color w:val="auto"/>
                <w:sz w:val="24"/>
                <w:highlight w:val="none"/>
              </w:rPr>
              <w:t>。</w:t>
            </w:r>
            <w:r>
              <w:rPr>
                <w:rFonts w:hint="eastAsia"/>
                <w:color w:val="auto"/>
                <w:sz w:val="24"/>
                <w:highlight w:val="none"/>
                <w:lang w:eastAsia="zh-CN"/>
              </w:rPr>
              <w:t>根据</w:t>
            </w:r>
            <w:r>
              <w:rPr>
                <w:color w:val="auto"/>
                <w:sz w:val="24"/>
                <w:highlight w:val="none"/>
              </w:rPr>
              <w:t>以上监测结果</w:t>
            </w:r>
            <w:r>
              <w:rPr>
                <w:rFonts w:hint="eastAsia"/>
                <w:color w:val="auto"/>
                <w:sz w:val="24"/>
                <w:highlight w:val="none"/>
                <w:lang w:eastAsia="zh-CN"/>
              </w:rPr>
              <w:t>可知，</w:t>
            </w:r>
            <w:r>
              <w:rPr>
                <w:rFonts w:hint="eastAsia"/>
                <w:color w:val="auto"/>
                <w:sz w:val="24"/>
                <w:szCs w:val="18"/>
                <w:highlight w:val="none"/>
                <w:vertAlign w:val="baseline"/>
                <w:lang w:val="en-US" w:eastAsia="zh-CN"/>
              </w:rPr>
              <w:t>SO</w:t>
            </w:r>
            <w:r>
              <w:rPr>
                <w:rFonts w:hint="eastAsia"/>
                <w:color w:val="auto"/>
                <w:sz w:val="24"/>
                <w:szCs w:val="18"/>
                <w:highlight w:val="none"/>
                <w:vertAlign w:val="subscript"/>
                <w:lang w:val="en-US" w:eastAsia="zh-CN"/>
              </w:rPr>
              <w:t>2</w:t>
            </w:r>
            <w:r>
              <w:rPr>
                <w:rFonts w:hint="eastAsia"/>
                <w:color w:val="auto"/>
                <w:sz w:val="24"/>
                <w:szCs w:val="18"/>
                <w:highlight w:val="none"/>
                <w:vertAlign w:val="baseline"/>
                <w:lang w:val="en-US" w:eastAsia="zh-CN"/>
              </w:rPr>
              <w:t>、颗粒物</w:t>
            </w:r>
            <w:r>
              <w:rPr>
                <w:rFonts w:hint="eastAsia"/>
                <w:color w:val="auto"/>
                <w:sz w:val="24"/>
                <w:highlight w:val="none"/>
                <w:lang w:eastAsia="zh-CN"/>
              </w:rPr>
              <w:t>排放浓度均不</w:t>
            </w:r>
            <w:r>
              <w:rPr>
                <w:color w:val="auto"/>
                <w:sz w:val="24"/>
                <w:highlight w:val="none"/>
              </w:rPr>
              <w:t>满足</w:t>
            </w:r>
            <w:r>
              <w:rPr>
                <w:rFonts w:hint="default" w:ascii="Times New Roman" w:hAnsi="Times New Roman" w:eastAsia="宋体" w:cs="Times New Roman"/>
                <w:color w:val="auto"/>
                <w:kern w:val="0"/>
                <w:sz w:val="24"/>
                <w:szCs w:val="24"/>
                <w:highlight w:val="none"/>
                <w:lang w:val="en-US" w:eastAsia="zh-CN" w:bidi="ar"/>
              </w:rPr>
              <w:t>《锅炉大气污染物排放标准》（GB13271-2014）</w:t>
            </w:r>
            <w:r>
              <w:rPr>
                <w:rFonts w:hint="eastAsia" w:cs="Times New Roman"/>
                <w:color w:val="auto"/>
                <w:kern w:val="0"/>
                <w:sz w:val="24"/>
                <w:szCs w:val="24"/>
                <w:highlight w:val="none"/>
                <w:lang w:val="en-US" w:eastAsia="zh-CN" w:bidi="ar"/>
              </w:rPr>
              <w:t>中</w:t>
            </w:r>
            <w:r>
              <w:rPr>
                <w:bCs/>
                <w:color w:val="auto"/>
                <w:sz w:val="24"/>
                <w:highlight w:val="none"/>
              </w:rPr>
              <w:t>表2燃煤锅炉排放限值</w:t>
            </w:r>
            <w:r>
              <w:rPr>
                <w:color w:val="auto"/>
                <w:sz w:val="24"/>
                <w:highlight w:val="none"/>
              </w:rPr>
              <w:t>要求。</w:t>
            </w:r>
            <w:r>
              <w:rPr>
                <w:rFonts w:hint="default" w:ascii="Times New Roman" w:hAnsi="Times New Roman" w:eastAsia="宋体" w:cs="Times New Roman"/>
                <w:color w:val="auto"/>
                <w:kern w:val="0"/>
                <w:sz w:val="24"/>
                <w:szCs w:val="24"/>
                <w:highlight w:val="none"/>
                <w:lang w:val="en-US" w:eastAsia="zh-CN" w:bidi="ar"/>
              </w:rPr>
              <w:t>本项目</w:t>
            </w:r>
            <w:r>
              <w:rPr>
                <w:rFonts w:hint="eastAsia" w:cs="Times New Roman"/>
                <w:color w:val="auto"/>
                <w:kern w:val="0"/>
                <w:sz w:val="24"/>
                <w:szCs w:val="24"/>
                <w:highlight w:val="none"/>
                <w:lang w:val="en-US" w:eastAsia="zh-CN" w:bidi="ar"/>
              </w:rPr>
              <w:t>锅炉</w:t>
            </w:r>
            <w:r>
              <w:rPr>
                <w:rFonts w:hint="default" w:ascii="Times New Roman" w:hAnsi="Times New Roman" w:eastAsia="宋体" w:cs="Times New Roman"/>
                <w:color w:val="auto"/>
                <w:kern w:val="0"/>
                <w:sz w:val="24"/>
                <w:szCs w:val="24"/>
                <w:highlight w:val="none"/>
                <w:lang w:val="en-US" w:eastAsia="zh-CN" w:bidi="ar"/>
              </w:rPr>
              <w:t>排放的大气污染物对周围环境空气有一定的影响。</w:t>
            </w:r>
          </w:p>
          <w:p>
            <w:pPr>
              <w:pStyle w:val="3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highlight w:val="none"/>
                <w:lang w:eastAsia="zh-CN"/>
              </w:rPr>
            </w:pPr>
            <w:r>
              <w:rPr>
                <w:rFonts w:hint="default" w:ascii="Times New Roman" w:hAnsi="Times New Roman" w:cs="Times New Roman"/>
                <w:color w:val="auto"/>
                <w:sz w:val="24"/>
                <w:szCs w:val="24"/>
                <w:highlight w:val="none"/>
              </w:rPr>
              <w:t>②</w:t>
            </w:r>
            <w:r>
              <w:rPr>
                <w:rFonts w:hint="default" w:ascii="Times New Roman" w:hAnsi="Times New Roman" w:cs="Times New Roman"/>
                <w:color w:val="auto"/>
                <w:sz w:val="24"/>
                <w:szCs w:val="24"/>
                <w:highlight w:val="none"/>
                <w:lang w:eastAsia="zh-CN"/>
              </w:rPr>
              <w:t>工业粉尘</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项目委托黑龙江开源检测技术有限公司于20</w:t>
            </w:r>
            <w:r>
              <w:rPr>
                <w:rFonts w:hint="eastAsia" w:cs="Times New Roman"/>
                <w:color w:val="auto"/>
                <w:sz w:val="24"/>
                <w:szCs w:val="24"/>
                <w:highlight w:val="none"/>
                <w:lang w:val="en-US" w:eastAsia="zh-CN"/>
              </w:rPr>
              <w:t>19</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月</w:t>
            </w:r>
            <w:r>
              <w:rPr>
                <w:rFonts w:hint="eastAsia" w:cs="Times New Roman"/>
                <w:color w:val="auto"/>
                <w:sz w:val="24"/>
                <w:szCs w:val="24"/>
                <w:highlight w:val="none"/>
                <w:lang w:val="en-US" w:eastAsia="zh-CN"/>
              </w:rPr>
              <w:t>31</w:t>
            </w:r>
            <w:r>
              <w:rPr>
                <w:rFonts w:hint="default" w:ascii="Times New Roman" w:hAnsi="Times New Roman" w:cs="Times New Roman"/>
                <w:color w:val="auto"/>
                <w:sz w:val="24"/>
                <w:szCs w:val="24"/>
                <w:highlight w:val="none"/>
              </w:rPr>
              <w:t>日~</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月</w:t>
            </w:r>
            <w:r>
              <w:rPr>
                <w:rFonts w:hint="eastAsia"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日对项目所在区域</w:t>
            </w:r>
            <w:r>
              <w:rPr>
                <w:rFonts w:hint="eastAsia" w:cs="Times New Roman"/>
                <w:color w:val="auto"/>
                <w:sz w:val="24"/>
                <w:szCs w:val="24"/>
                <w:highlight w:val="none"/>
                <w:lang w:eastAsia="zh-CN"/>
              </w:rPr>
              <w:t>的</w:t>
            </w:r>
            <w:r>
              <w:rPr>
                <w:rFonts w:hint="eastAsia" w:cs="Times New Roman"/>
                <w:color w:val="auto"/>
                <w:sz w:val="24"/>
                <w:szCs w:val="24"/>
                <w:highlight w:val="none"/>
                <w:lang w:val="en-US" w:eastAsia="zh-CN"/>
              </w:rPr>
              <w:t>TSP</w:t>
            </w:r>
            <w:r>
              <w:rPr>
                <w:rFonts w:hint="default" w:ascii="Times New Roman" w:hAnsi="Times New Roman" w:cs="Times New Roman"/>
                <w:color w:val="auto"/>
                <w:sz w:val="24"/>
                <w:szCs w:val="24"/>
                <w:highlight w:val="none"/>
              </w:rPr>
              <w:t>进行监测，</w:t>
            </w:r>
            <w:r>
              <w:rPr>
                <w:rFonts w:hint="default" w:ascii="Times New Roman" w:hAnsi="Times New Roman" w:cs="Times New Roman"/>
                <w:color w:val="auto"/>
                <w:sz w:val="24"/>
                <w:szCs w:val="24"/>
                <w:highlight w:val="none"/>
                <w:lang w:val="en-US" w:eastAsia="zh-CN"/>
              </w:rPr>
              <w:t>TSP：连续监测7天，24小时平均值</w:t>
            </w:r>
            <w:r>
              <w:rPr>
                <w:rFonts w:hint="default" w:ascii="Times New Roman" w:hAnsi="Times New Roman" w:cs="Times New Roman"/>
                <w:color w:val="auto"/>
                <w:sz w:val="24"/>
                <w:szCs w:val="24"/>
                <w:highlight w:val="none"/>
              </w:rPr>
              <w:t>。在下风向</w:t>
            </w:r>
            <w:r>
              <w:rPr>
                <w:rFonts w:hint="default" w:ascii="Times New Roman" w:hAnsi="Times New Roman" w:cs="Times New Roman"/>
                <w:color w:val="auto"/>
                <w:sz w:val="24"/>
                <w:szCs w:val="24"/>
                <w:highlight w:val="none"/>
                <w:lang w:eastAsia="zh-CN"/>
              </w:rPr>
              <w:t>敏感点</w:t>
            </w:r>
            <w:r>
              <w:rPr>
                <w:rFonts w:hint="default" w:ascii="Times New Roman" w:hAnsi="Times New Roman" w:cs="Times New Roman"/>
                <w:color w:val="auto"/>
                <w:sz w:val="24"/>
                <w:szCs w:val="24"/>
                <w:highlight w:val="none"/>
              </w:rPr>
              <w:t>布设</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个检测点位，监测点位见图3-1。</w:t>
            </w:r>
          </w:p>
          <w:p>
            <w:pPr>
              <w:spacing w:line="360" w:lineRule="auto"/>
              <w:ind w:firstLine="420" w:firstLineChars="200"/>
              <w:jc w:val="center"/>
              <w:rPr>
                <w:rFonts w:hint="default" w:ascii="Times New Roman" w:hAnsi="Times New Roman" w:eastAsia="宋体" w:cs="Times New Roman"/>
                <w:b/>
                <w:color w:val="auto"/>
                <w:kern w:val="0"/>
                <w:sz w:val="24"/>
                <w:szCs w:val="24"/>
                <w:highlight w:val="none"/>
                <w:lang w:eastAsia="zh-CN"/>
              </w:rPr>
            </w:pPr>
            <w:r>
              <w:rPr>
                <w:color w:val="auto"/>
                <w:highlight w:val="none"/>
              </w:rPr>
              <w:drawing>
                <wp:inline distT="0" distB="0" distL="114300" distR="114300">
                  <wp:extent cx="4703445" cy="3000375"/>
                  <wp:effectExtent l="0" t="0" r="1905" b="9525"/>
                  <wp:docPr id="5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pic:cNvPicPr>
                            <a:picLocks noChangeAspect="1"/>
                          </pic:cNvPicPr>
                        </pic:nvPicPr>
                        <pic:blipFill>
                          <a:blip r:embed="rId12"/>
                          <a:stretch>
                            <a:fillRect/>
                          </a:stretch>
                        </pic:blipFill>
                        <pic:spPr>
                          <a:xfrm>
                            <a:off x="0" y="0"/>
                            <a:ext cx="4703445" cy="3000375"/>
                          </a:xfrm>
                          <a:prstGeom prst="rect">
                            <a:avLst/>
                          </a:prstGeom>
                          <a:noFill/>
                          <a:ln>
                            <a:noFill/>
                          </a:ln>
                        </pic:spPr>
                      </pic:pic>
                    </a:graphicData>
                  </a:graphic>
                </wp:inline>
              </w:drawing>
            </w:r>
            <w:r>
              <w:rPr>
                <w:rFonts w:hint="default" w:ascii="Times New Roman" w:hAnsi="Times New Roman" w:cs="Times New Roman"/>
                <w:color w:val="auto"/>
                <w:highlight w:val="none"/>
              </w:rPr>
              <w:drawing>
                <wp:anchor distT="0" distB="0" distL="114300" distR="114300" simplePos="0" relativeHeight="251718656" behindDoc="0" locked="0" layoutInCell="1" allowOverlap="1">
                  <wp:simplePos x="0" y="0"/>
                  <wp:positionH relativeFrom="column">
                    <wp:posOffset>8568690</wp:posOffset>
                  </wp:positionH>
                  <wp:positionV relativeFrom="paragraph">
                    <wp:posOffset>267335</wp:posOffset>
                  </wp:positionV>
                  <wp:extent cx="946150" cy="803275"/>
                  <wp:effectExtent l="0" t="0" r="6350" b="15875"/>
                  <wp:wrapNone/>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13"/>
                          <a:stretch>
                            <a:fillRect/>
                          </a:stretch>
                        </pic:blipFill>
                        <pic:spPr>
                          <a:xfrm>
                            <a:off x="0" y="0"/>
                            <a:ext cx="946150" cy="803275"/>
                          </a:xfrm>
                          <a:prstGeom prst="rect">
                            <a:avLst/>
                          </a:prstGeom>
                          <a:noFill/>
                          <a:ln>
                            <a:noFill/>
                          </a:ln>
                        </pic:spPr>
                      </pic:pic>
                    </a:graphicData>
                  </a:graphic>
                </wp:anchor>
              </w:drawing>
            </w:r>
            <w:r>
              <w:rPr>
                <w:rFonts w:hint="default" w:ascii="Times New Roman" w:hAnsi="Times New Roman" w:cs="Times New Roman"/>
                <w:color w:val="auto"/>
                <w:highlight w:val="none"/>
              </w:rPr>
              <w:drawing>
                <wp:anchor distT="0" distB="0" distL="114300" distR="114300" simplePos="0" relativeHeight="251719680" behindDoc="0" locked="0" layoutInCell="1" allowOverlap="1">
                  <wp:simplePos x="0" y="0"/>
                  <wp:positionH relativeFrom="column">
                    <wp:posOffset>8721090</wp:posOffset>
                  </wp:positionH>
                  <wp:positionV relativeFrom="paragraph">
                    <wp:posOffset>419735</wp:posOffset>
                  </wp:positionV>
                  <wp:extent cx="946150" cy="803275"/>
                  <wp:effectExtent l="0" t="0" r="6350" b="15875"/>
                  <wp:wrapNone/>
                  <wp:docPr id="4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
                          <pic:cNvPicPr>
                            <a:picLocks noChangeAspect="1"/>
                          </pic:cNvPicPr>
                        </pic:nvPicPr>
                        <pic:blipFill>
                          <a:blip r:embed="rId13"/>
                          <a:stretch>
                            <a:fillRect/>
                          </a:stretch>
                        </pic:blipFill>
                        <pic:spPr>
                          <a:xfrm>
                            <a:off x="0" y="0"/>
                            <a:ext cx="946150" cy="803275"/>
                          </a:xfrm>
                          <a:prstGeom prst="rect">
                            <a:avLst/>
                          </a:prstGeom>
                          <a:noFill/>
                          <a:ln>
                            <a:noFill/>
                          </a:ln>
                        </pic:spPr>
                      </pic:pic>
                    </a:graphicData>
                  </a:graphic>
                </wp:anchor>
              </w:drawing>
            </w:r>
            <w:r>
              <w:rPr>
                <w:rFonts w:hint="default" w:ascii="Times New Roman" w:hAnsi="Times New Roman" w:cs="Times New Roman"/>
                <w:color w:val="auto"/>
                <w:highlight w:val="none"/>
              </w:rPr>
              <w:drawing>
                <wp:anchor distT="0" distB="0" distL="114300" distR="114300" simplePos="0" relativeHeight="251717632" behindDoc="0" locked="0" layoutInCell="1" allowOverlap="1">
                  <wp:simplePos x="0" y="0"/>
                  <wp:positionH relativeFrom="column">
                    <wp:posOffset>8416290</wp:posOffset>
                  </wp:positionH>
                  <wp:positionV relativeFrom="paragraph">
                    <wp:posOffset>114935</wp:posOffset>
                  </wp:positionV>
                  <wp:extent cx="946150" cy="803275"/>
                  <wp:effectExtent l="0" t="0" r="6350" b="15875"/>
                  <wp:wrapNone/>
                  <wp:docPr id="4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
                          <pic:cNvPicPr>
                            <a:picLocks noChangeAspect="1"/>
                          </pic:cNvPicPr>
                        </pic:nvPicPr>
                        <pic:blipFill>
                          <a:blip r:embed="rId13"/>
                          <a:stretch>
                            <a:fillRect/>
                          </a:stretch>
                        </pic:blipFill>
                        <pic:spPr>
                          <a:xfrm>
                            <a:off x="0" y="0"/>
                            <a:ext cx="946150" cy="803275"/>
                          </a:xfrm>
                          <a:prstGeom prst="rect">
                            <a:avLst/>
                          </a:prstGeom>
                          <a:noFill/>
                          <a:ln>
                            <a:noFill/>
                          </a:ln>
                        </pic:spPr>
                      </pic:pic>
                    </a:graphicData>
                  </a:graphic>
                </wp:anchor>
              </w:drawing>
            </w:r>
          </w:p>
          <w:p>
            <w:pPr>
              <w:spacing w:line="360" w:lineRule="auto"/>
              <w:ind w:firstLine="482" w:firstLineChars="200"/>
              <w:jc w:val="center"/>
              <w:rPr>
                <w:rFonts w:hint="default" w:ascii="Times New Roman" w:hAnsi="Times New Roman" w:cs="Times New Roman"/>
                <w:b/>
                <w:color w:val="auto"/>
                <w:kern w:val="0"/>
                <w:sz w:val="24"/>
                <w:szCs w:val="24"/>
                <w:highlight w:val="none"/>
              </w:rPr>
            </w:pPr>
            <w:r>
              <w:rPr>
                <w:rFonts w:hint="default" w:ascii="Times New Roman" w:hAnsi="Times New Roman" w:cs="Times New Roman"/>
                <w:b/>
                <w:color w:val="auto"/>
                <w:kern w:val="0"/>
                <w:sz w:val="24"/>
                <w:szCs w:val="24"/>
                <w:highlight w:val="none"/>
              </w:rPr>
              <w:t>图3-1  大气监测点位图</w:t>
            </w:r>
          </w:p>
          <w:p>
            <w:pPr>
              <w:wordWrap w:val="0"/>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表3-</w:t>
            </w:r>
            <w:r>
              <w:rPr>
                <w:rFonts w:hint="eastAsia" w:cs="Times New Roman"/>
                <w:b/>
                <w:color w:val="auto"/>
                <w:sz w:val="24"/>
                <w:szCs w:val="24"/>
                <w:highlight w:val="none"/>
                <w:lang w:val="en-US" w:eastAsia="zh-CN"/>
              </w:rPr>
              <w:t>1</w:t>
            </w:r>
            <w:r>
              <w:rPr>
                <w:rFonts w:hint="default" w:ascii="Times New Roman" w:hAnsi="Times New Roman" w:cs="Times New Roman"/>
                <w:b/>
                <w:color w:val="auto"/>
                <w:sz w:val="24"/>
                <w:szCs w:val="24"/>
                <w:highlight w:val="none"/>
              </w:rPr>
              <w:t xml:space="preserve">  其他污染物监测结果   </w:t>
            </w:r>
          </w:p>
          <w:tbl>
            <w:tblPr>
              <w:tblStyle w:val="3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085"/>
              <w:gridCol w:w="1013"/>
              <w:gridCol w:w="1708"/>
              <w:gridCol w:w="1158"/>
              <w:gridCol w:w="1046"/>
              <w:gridCol w:w="907"/>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588" w:type="dxa"/>
                  <w:vMerge w:val="restart"/>
                  <w:tcBorders>
                    <w:top w:val="single" w:color="auto" w:sz="12" w:space="0"/>
                    <w:left w:val="nil"/>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名称</w:t>
                  </w:r>
                </w:p>
              </w:tc>
              <w:tc>
                <w:tcPr>
                  <w:tcW w:w="1085" w:type="dxa"/>
                  <w:vMerge w:val="restart"/>
                  <w:tcBorders>
                    <w:top w:val="single" w:color="auto" w:sz="12"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污染物</w:t>
                  </w:r>
                </w:p>
              </w:tc>
              <w:tc>
                <w:tcPr>
                  <w:tcW w:w="1013" w:type="dxa"/>
                  <w:vMerge w:val="restart"/>
                  <w:tcBorders>
                    <w:top w:val="single" w:color="auto" w:sz="12"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评价标准（mg/m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w:t>
                  </w:r>
                </w:p>
              </w:tc>
              <w:tc>
                <w:tcPr>
                  <w:tcW w:w="1708" w:type="dxa"/>
                  <w:vMerge w:val="restart"/>
                  <w:tcBorders>
                    <w:top w:val="single" w:color="auto" w:sz="12"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浓度范围（mg/m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w:t>
                  </w:r>
                </w:p>
              </w:tc>
              <w:tc>
                <w:tcPr>
                  <w:tcW w:w="1158" w:type="dxa"/>
                  <w:vMerge w:val="restart"/>
                  <w:tcBorders>
                    <w:top w:val="single" w:color="auto" w:sz="12"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最大占标率%</w:t>
                  </w:r>
                </w:p>
              </w:tc>
              <w:tc>
                <w:tcPr>
                  <w:tcW w:w="1046" w:type="dxa"/>
                  <w:vMerge w:val="restart"/>
                  <w:tcBorders>
                    <w:top w:val="single" w:color="auto" w:sz="12"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超标率%</w:t>
                  </w:r>
                </w:p>
              </w:tc>
              <w:tc>
                <w:tcPr>
                  <w:tcW w:w="907" w:type="dxa"/>
                  <w:vMerge w:val="restart"/>
                  <w:tcBorders>
                    <w:top w:val="single" w:color="auto" w:sz="12" w:space="0"/>
                    <w:left w:val="single" w:color="auto" w:sz="4" w:space="0"/>
                    <w:bottom w:val="single" w:color="auto" w:sz="4" w:space="0"/>
                    <w:right w:val="nil"/>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达标情况</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588" w:type="dxa"/>
                  <w:vMerge w:val="continue"/>
                  <w:tcBorders>
                    <w:left w:val="nil"/>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p>
              </w:tc>
              <w:tc>
                <w:tcPr>
                  <w:tcW w:w="1085"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p>
              </w:tc>
              <w:tc>
                <w:tcPr>
                  <w:tcW w:w="1013"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p>
              </w:tc>
              <w:tc>
                <w:tcPr>
                  <w:tcW w:w="1708"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p>
              </w:tc>
              <w:tc>
                <w:tcPr>
                  <w:tcW w:w="1158"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p>
              </w:tc>
              <w:tc>
                <w:tcPr>
                  <w:tcW w:w="1046" w:type="dxa"/>
                  <w:vMerge w:val="continue"/>
                  <w:tcBorders>
                    <w:left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p>
              </w:tc>
              <w:tc>
                <w:tcPr>
                  <w:tcW w:w="907" w:type="dxa"/>
                  <w:vMerge w:val="continue"/>
                  <w:tcBorders>
                    <w:left w:val="single" w:color="auto" w:sz="4" w:space="0"/>
                    <w:right w:val="nil"/>
                  </w:tcBorders>
                  <w:noWrap w:val="0"/>
                  <w:vAlign w:val="center"/>
                </w:tcPr>
                <w:p>
                  <w:pPr>
                    <w:jc w:val="center"/>
                    <w:rPr>
                      <w:rFonts w:hint="default" w:ascii="Times New Roman" w:hAnsi="Times New Roman" w:cs="Times New Roman"/>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6" w:hRule="atLeast"/>
                <w:jc w:val="center"/>
              </w:trPr>
              <w:tc>
                <w:tcPr>
                  <w:tcW w:w="1588" w:type="dxa"/>
                  <w:vMerge w:val="continue"/>
                  <w:tcBorders>
                    <w:top w:val="single" w:color="auto" w:sz="12" w:space="0"/>
                    <w:left w:val="nil"/>
                    <w:bottom w:val="single" w:color="auto" w:sz="4" w:space="0"/>
                    <w:right w:val="single" w:color="auto" w:sz="4" w:space="0"/>
                  </w:tcBorders>
                  <w:noWrap w:val="0"/>
                  <w:vAlign w:val="center"/>
                </w:tcPr>
                <w:p>
                  <w:pPr>
                    <w:widowControl/>
                    <w:jc w:val="left"/>
                    <w:rPr>
                      <w:rFonts w:hint="default" w:ascii="Times New Roman" w:hAnsi="Times New Roman" w:cs="Times New Roman"/>
                      <w:color w:val="auto"/>
                      <w:kern w:val="0"/>
                      <w:sz w:val="21"/>
                      <w:szCs w:val="21"/>
                      <w:highlight w:val="none"/>
                    </w:rPr>
                  </w:pPr>
                </w:p>
              </w:tc>
              <w:tc>
                <w:tcPr>
                  <w:tcW w:w="1085" w:type="dxa"/>
                  <w:vMerge w:val="continue"/>
                  <w:tcBorders>
                    <w:top w:val="single" w:color="auto" w:sz="12"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color w:val="auto"/>
                      <w:kern w:val="0"/>
                      <w:sz w:val="21"/>
                      <w:szCs w:val="21"/>
                      <w:highlight w:val="none"/>
                    </w:rPr>
                  </w:pPr>
                </w:p>
              </w:tc>
              <w:tc>
                <w:tcPr>
                  <w:tcW w:w="1013" w:type="dxa"/>
                  <w:vMerge w:val="continue"/>
                  <w:tcBorders>
                    <w:top w:val="single" w:color="auto" w:sz="12"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color w:val="auto"/>
                      <w:kern w:val="0"/>
                      <w:sz w:val="21"/>
                      <w:szCs w:val="21"/>
                      <w:highlight w:val="none"/>
                    </w:rPr>
                  </w:pPr>
                </w:p>
              </w:tc>
              <w:tc>
                <w:tcPr>
                  <w:tcW w:w="1708" w:type="dxa"/>
                  <w:vMerge w:val="continue"/>
                  <w:tcBorders>
                    <w:top w:val="single" w:color="auto" w:sz="12"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color w:val="auto"/>
                      <w:kern w:val="0"/>
                      <w:sz w:val="21"/>
                      <w:szCs w:val="21"/>
                      <w:highlight w:val="none"/>
                    </w:rPr>
                  </w:pPr>
                </w:p>
              </w:tc>
              <w:tc>
                <w:tcPr>
                  <w:tcW w:w="1158" w:type="dxa"/>
                  <w:vMerge w:val="continue"/>
                  <w:tcBorders>
                    <w:top w:val="single" w:color="auto" w:sz="12"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color w:val="auto"/>
                      <w:kern w:val="0"/>
                      <w:sz w:val="21"/>
                      <w:szCs w:val="21"/>
                      <w:highlight w:val="none"/>
                    </w:rPr>
                  </w:pPr>
                </w:p>
              </w:tc>
              <w:tc>
                <w:tcPr>
                  <w:tcW w:w="1046" w:type="dxa"/>
                  <w:vMerge w:val="continue"/>
                  <w:tcBorders>
                    <w:top w:val="single" w:color="auto" w:sz="12" w:space="0"/>
                    <w:left w:val="single" w:color="auto" w:sz="4" w:space="0"/>
                    <w:bottom w:val="single" w:color="auto" w:sz="4" w:space="0"/>
                    <w:right w:val="single" w:color="auto" w:sz="4" w:space="0"/>
                  </w:tcBorders>
                  <w:noWrap w:val="0"/>
                  <w:vAlign w:val="center"/>
                </w:tcPr>
                <w:p>
                  <w:pPr>
                    <w:widowControl/>
                    <w:jc w:val="left"/>
                    <w:rPr>
                      <w:rFonts w:hint="default" w:ascii="Times New Roman" w:hAnsi="Times New Roman" w:cs="Times New Roman"/>
                      <w:color w:val="auto"/>
                      <w:kern w:val="0"/>
                      <w:sz w:val="21"/>
                      <w:szCs w:val="21"/>
                      <w:highlight w:val="none"/>
                    </w:rPr>
                  </w:pPr>
                </w:p>
              </w:tc>
              <w:tc>
                <w:tcPr>
                  <w:tcW w:w="907" w:type="dxa"/>
                  <w:vMerge w:val="continue"/>
                  <w:tcBorders>
                    <w:top w:val="single" w:color="auto" w:sz="12" w:space="0"/>
                    <w:left w:val="single" w:color="auto" w:sz="4" w:space="0"/>
                    <w:bottom w:val="single" w:color="auto" w:sz="4" w:space="0"/>
                    <w:right w:val="nil"/>
                  </w:tcBorders>
                  <w:noWrap w:val="0"/>
                  <w:vAlign w:val="center"/>
                </w:tcPr>
                <w:p>
                  <w:pPr>
                    <w:widowControl/>
                    <w:jc w:val="left"/>
                    <w:rPr>
                      <w:rFonts w:hint="default" w:ascii="Times New Roman" w:hAnsi="Times New Roman" w:cs="Times New Roman"/>
                      <w:color w:val="auto"/>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8"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eastAsia="zh-CN"/>
                    </w:rPr>
                    <w:t>本项目位置</w:t>
                  </w:r>
                </w:p>
              </w:tc>
              <w:tc>
                <w:tcPr>
                  <w:tcW w:w="1085"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val="en-US" w:eastAsia="zh-CN"/>
                    </w:rPr>
                    <w:t>TSP</w:t>
                  </w:r>
                </w:p>
              </w:tc>
              <w:tc>
                <w:tcPr>
                  <w:tcW w:w="1013" w:type="dxa"/>
                  <w:vMerge w:val="restart"/>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1.0</w:t>
                  </w:r>
                </w:p>
              </w:tc>
              <w:tc>
                <w:tcPr>
                  <w:tcW w:w="1708" w:type="dxa"/>
                  <w:tcBorders>
                    <w:top w:val="single" w:color="auto" w:sz="4" w:space="0"/>
                    <w:left w:val="single" w:color="auto" w:sz="4" w:space="0"/>
                    <w:bottom w:val="single" w:color="auto" w:sz="4" w:space="0"/>
                    <w:right w:val="single" w:color="auto" w:sz="4" w:space="0"/>
                  </w:tcBorders>
                  <w:noWrap w:val="0"/>
                  <w:vAlign w:val="center"/>
                </w:tcPr>
                <w:p>
                  <w:pPr>
                    <w:jc w:val="center"/>
                    <w:rPr>
                      <w:rFonts w:hint="eastAsia"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rPr>
                    <w:t>0.</w:t>
                  </w:r>
                  <w:r>
                    <w:rPr>
                      <w:rFonts w:hint="eastAsia" w:cs="Times New Roman"/>
                      <w:color w:val="auto"/>
                      <w:kern w:val="0"/>
                      <w:sz w:val="21"/>
                      <w:szCs w:val="21"/>
                      <w:highlight w:val="none"/>
                      <w:lang w:val="en-US" w:eastAsia="zh-CN"/>
                    </w:rPr>
                    <w:t>153</w:t>
                  </w:r>
                  <w:r>
                    <w:rPr>
                      <w:rFonts w:hint="default" w:ascii="Times New Roman" w:hAnsi="Times New Roman" w:cs="Times New Roman"/>
                      <w:color w:val="auto"/>
                      <w:kern w:val="0"/>
                      <w:sz w:val="21"/>
                      <w:szCs w:val="21"/>
                      <w:highlight w:val="none"/>
                    </w:rPr>
                    <w:t>~0.</w:t>
                  </w:r>
                  <w:r>
                    <w:rPr>
                      <w:rFonts w:hint="eastAsia" w:cs="Times New Roman"/>
                      <w:color w:val="auto"/>
                      <w:kern w:val="0"/>
                      <w:sz w:val="21"/>
                      <w:szCs w:val="21"/>
                      <w:highlight w:val="none"/>
                      <w:lang w:val="en-US" w:eastAsia="zh-CN"/>
                    </w:rPr>
                    <w:t>2</w:t>
                  </w:r>
                </w:p>
              </w:tc>
              <w:tc>
                <w:tcPr>
                  <w:tcW w:w="115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0"/>
                      <w:sz w:val="21"/>
                      <w:szCs w:val="21"/>
                      <w:highlight w:val="none"/>
                      <w:lang w:val="en-US" w:eastAsia="zh-CN"/>
                    </w:rPr>
                  </w:pPr>
                  <w:r>
                    <w:rPr>
                      <w:rFonts w:hint="eastAsia" w:eastAsia="宋体" w:cs="Times New Roman"/>
                      <w:color w:val="auto"/>
                      <w:kern w:val="0"/>
                      <w:sz w:val="21"/>
                      <w:szCs w:val="21"/>
                      <w:highlight w:val="none"/>
                      <w:lang w:val="en-US" w:eastAsia="zh-CN"/>
                    </w:rPr>
                    <w:t>0.20</w:t>
                  </w:r>
                </w:p>
              </w:tc>
              <w:tc>
                <w:tcPr>
                  <w:tcW w:w="104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907" w:type="dxa"/>
                  <w:tcBorders>
                    <w:top w:val="single" w:color="auto" w:sz="4" w:space="0"/>
                    <w:left w:val="single" w:color="auto" w:sz="4" w:space="0"/>
                    <w:bottom w:val="single" w:color="auto" w:sz="4" w:space="0"/>
                    <w:right w:val="nil"/>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88" w:type="dxa"/>
                  <w:tcBorders>
                    <w:top w:val="single" w:color="auto" w:sz="4" w:space="0"/>
                    <w:left w:val="nil"/>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下风向敏感点</w:t>
                  </w:r>
                </w:p>
              </w:tc>
              <w:tc>
                <w:tcPr>
                  <w:tcW w:w="1085" w:type="dxa"/>
                  <w:vMerge w:val="continue"/>
                  <w:tcBorders>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lang w:val="en-US" w:eastAsia="zh-CN"/>
                    </w:rPr>
                  </w:pPr>
                </w:p>
              </w:tc>
              <w:tc>
                <w:tcPr>
                  <w:tcW w:w="1013" w:type="dxa"/>
                  <w:vMerge w:val="continue"/>
                  <w:tcBorders>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p>
              </w:tc>
              <w:tc>
                <w:tcPr>
                  <w:tcW w:w="170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r>
                    <w:rPr>
                      <w:rFonts w:hint="eastAsia" w:cs="Times New Roman"/>
                      <w:color w:val="auto"/>
                      <w:kern w:val="0"/>
                      <w:sz w:val="21"/>
                      <w:szCs w:val="21"/>
                      <w:highlight w:val="none"/>
                      <w:lang w:val="en-US" w:eastAsia="zh-CN"/>
                    </w:rPr>
                    <w:t>156</w:t>
                  </w:r>
                  <w:r>
                    <w:rPr>
                      <w:rFonts w:hint="default" w:ascii="Times New Roman" w:hAnsi="Times New Roman" w:cs="Times New Roman"/>
                      <w:color w:val="auto"/>
                      <w:kern w:val="0"/>
                      <w:sz w:val="21"/>
                      <w:szCs w:val="21"/>
                      <w:highlight w:val="none"/>
                    </w:rPr>
                    <w:t>~0.</w:t>
                  </w:r>
                  <w:r>
                    <w:rPr>
                      <w:rFonts w:hint="default" w:ascii="Times New Roman" w:hAnsi="Times New Roman" w:cs="Times New Roman"/>
                      <w:color w:val="auto"/>
                      <w:kern w:val="0"/>
                      <w:sz w:val="21"/>
                      <w:szCs w:val="21"/>
                      <w:highlight w:val="none"/>
                      <w:lang w:val="en-US" w:eastAsia="zh-CN"/>
                    </w:rPr>
                    <w:t>1</w:t>
                  </w:r>
                  <w:r>
                    <w:rPr>
                      <w:rFonts w:hint="eastAsia" w:ascii="Times New Roman" w:hAnsi="Times New Roman" w:cs="Times New Roman"/>
                      <w:color w:val="auto"/>
                      <w:kern w:val="0"/>
                      <w:sz w:val="21"/>
                      <w:szCs w:val="21"/>
                      <w:highlight w:val="none"/>
                      <w:lang w:val="en-US" w:eastAsia="zh-CN"/>
                    </w:rPr>
                    <w:t>9</w:t>
                  </w:r>
                  <w:r>
                    <w:rPr>
                      <w:rFonts w:hint="eastAsia" w:cs="Times New Roman"/>
                      <w:color w:val="auto"/>
                      <w:kern w:val="0"/>
                      <w:sz w:val="21"/>
                      <w:szCs w:val="21"/>
                      <w:highlight w:val="none"/>
                      <w:lang w:val="en-US" w:eastAsia="zh-CN"/>
                    </w:rPr>
                    <w:t>3</w:t>
                  </w:r>
                </w:p>
              </w:tc>
              <w:tc>
                <w:tcPr>
                  <w:tcW w:w="1158"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0.</w:t>
                  </w:r>
                  <w:r>
                    <w:rPr>
                      <w:rFonts w:hint="eastAsia" w:cs="Times New Roman"/>
                      <w:color w:val="auto"/>
                      <w:kern w:val="0"/>
                      <w:sz w:val="21"/>
                      <w:szCs w:val="21"/>
                      <w:highlight w:val="none"/>
                      <w:lang w:val="en-US" w:eastAsia="zh-CN"/>
                    </w:rPr>
                    <w:t>19</w:t>
                  </w:r>
                </w:p>
              </w:tc>
              <w:tc>
                <w:tcPr>
                  <w:tcW w:w="1046" w:type="dxa"/>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0</w:t>
                  </w:r>
                </w:p>
              </w:tc>
              <w:tc>
                <w:tcPr>
                  <w:tcW w:w="907" w:type="dxa"/>
                  <w:tcBorders>
                    <w:top w:val="single" w:color="auto" w:sz="4" w:space="0"/>
                    <w:left w:val="single" w:color="auto" w:sz="4" w:space="0"/>
                    <w:bottom w:val="single" w:color="auto" w:sz="4" w:space="0"/>
                    <w:right w:val="nil"/>
                  </w:tcBorders>
                  <w:noWrap w:val="0"/>
                  <w:vAlign w:val="center"/>
                </w:tcPr>
                <w:p>
                  <w:pPr>
                    <w:jc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达标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505" w:type="dxa"/>
                  <w:gridSpan w:val="7"/>
                  <w:tcBorders>
                    <w:top w:val="single" w:color="auto" w:sz="4" w:space="0"/>
                    <w:left w:val="nil"/>
                    <w:bottom w:val="single" w:color="auto" w:sz="12" w:space="0"/>
                    <w:right w:val="nil"/>
                  </w:tcBorders>
                  <w:noWrap w:val="0"/>
                  <w:vAlign w:val="center"/>
                </w:tcPr>
                <w:p>
                  <w:pPr>
                    <w:jc w:val="lef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备注：L表示未检出</w:t>
                  </w:r>
                </w:p>
              </w:tc>
            </w:tr>
          </w:tbl>
          <w:p>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cs="Times New Roman"/>
                <w:color w:val="auto"/>
                <w:kern w:val="0"/>
                <w:sz w:val="24"/>
                <w:szCs w:val="24"/>
                <w:highlight w:val="none"/>
              </w:rPr>
              <w:t>由上表可以看出，本项目</w:t>
            </w:r>
            <w:r>
              <w:rPr>
                <w:rFonts w:hint="default" w:ascii="Times New Roman" w:hAnsi="Times New Roman" w:cs="Times New Roman"/>
                <w:color w:val="auto"/>
                <w:kern w:val="0"/>
                <w:sz w:val="24"/>
                <w:szCs w:val="24"/>
                <w:highlight w:val="none"/>
                <w:lang w:eastAsia="zh-CN"/>
              </w:rPr>
              <w:t>无组织粉尘</w:t>
            </w:r>
            <w:r>
              <w:rPr>
                <w:rFonts w:hint="default" w:ascii="Times New Roman" w:hAnsi="Times New Roman" w:cs="Times New Roman"/>
                <w:color w:val="auto"/>
                <w:kern w:val="0"/>
                <w:sz w:val="24"/>
                <w:szCs w:val="24"/>
                <w:highlight w:val="none"/>
              </w:rPr>
              <w:t>执行《大气污染物综合排放标准》（GB16297-1996）</w:t>
            </w:r>
            <w:r>
              <w:rPr>
                <w:rFonts w:hint="default" w:ascii="Times New Roman" w:hAnsi="Times New Roman" w:cs="Times New Roman"/>
                <w:color w:val="auto"/>
                <w:kern w:val="0"/>
                <w:sz w:val="24"/>
                <w:szCs w:val="24"/>
                <w:highlight w:val="none"/>
                <w:lang w:eastAsia="zh-CN"/>
              </w:rPr>
              <w:t>中的</w:t>
            </w:r>
            <w:r>
              <w:rPr>
                <w:rFonts w:hint="default" w:ascii="Times New Roman" w:hAnsi="Times New Roman" w:cs="Times New Roman"/>
                <w:color w:val="auto"/>
                <w:kern w:val="0"/>
                <w:sz w:val="24"/>
                <w:szCs w:val="24"/>
                <w:highlight w:val="none"/>
              </w:rPr>
              <w:t>无组织排放限值。</w:t>
            </w:r>
            <w:r>
              <w:rPr>
                <w:rFonts w:hint="default" w:ascii="Times New Roman" w:hAnsi="Times New Roman" w:eastAsia="宋体" w:cs="Times New Roman"/>
                <w:color w:val="auto"/>
                <w:kern w:val="0"/>
                <w:sz w:val="24"/>
                <w:szCs w:val="24"/>
                <w:highlight w:val="none"/>
                <w:lang w:val="en-US" w:eastAsia="zh-CN" w:bidi="ar"/>
              </w:rPr>
              <w:t>本项目排放的</w:t>
            </w:r>
            <w:r>
              <w:rPr>
                <w:rFonts w:hint="eastAsia" w:cs="Times New Roman"/>
                <w:color w:val="auto"/>
                <w:kern w:val="0"/>
                <w:sz w:val="24"/>
                <w:szCs w:val="24"/>
                <w:highlight w:val="none"/>
                <w:lang w:val="en-US" w:eastAsia="zh-CN" w:bidi="ar"/>
              </w:rPr>
              <w:t>粉尘</w:t>
            </w:r>
            <w:r>
              <w:rPr>
                <w:rFonts w:hint="default" w:ascii="Times New Roman" w:hAnsi="Times New Roman" w:eastAsia="宋体" w:cs="Times New Roman"/>
                <w:color w:val="auto"/>
                <w:kern w:val="0"/>
                <w:sz w:val="24"/>
                <w:szCs w:val="24"/>
                <w:highlight w:val="none"/>
                <w:lang w:val="en-US" w:eastAsia="zh-CN" w:bidi="ar"/>
              </w:rPr>
              <w:t>对周围环境空气有一定的影响。</w:t>
            </w: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2、废水</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bCs/>
                <w:color w:val="FF0000"/>
                <w:sz w:val="24"/>
                <w:highlight w:val="none"/>
              </w:rPr>
            </w:pPr>
            <w:r>
              <w:rPr>
                <w:rFonts w:hint="default" w:ascii="Times New Roman" w:hAnsi="Times New Roman" w:cs="Times New Roman"/>
                <w:bCs/>
                <w:color w:val="auto"/>
                <w:sz w:val="24"/>
                <w:highlight w:val="none"/>
                <w:lang w:val="en-US" w:eastAsia="zh-CN"/>
              </w:rPr>
              <w:t>本项目供水由城镇管网集中提供。项目生产无需用水，用水全部为生活用水。员工人数为39人，年工作天数为195天，工作为三班制。其中供热天数为195天。生活用水按用水量为20L/d·人计算，生活用水量152.1t/a。生活污水按用水量80%计算，污水总量为121.68t/a。生活污水排入城镇管网，经农场污水处理厂处理后排入松花</w:t>
            </w:r>
            <w:r>
              <w:rPr>
                <w:rFonts w:hint="eastAsia" w:cs="Times New Roman"/>
                <w:bCs/>
                <w:color w:val="auto"/>
                <w:sz w:val="24"/>
                <w:highlight w:val="none"/>
                <w:lang w:val="en-US" w:eastAsia="zh-CN"/>
              </w:rPr>
              <w:t>江，</w:t>
            </w:r>
            <w:r>
              <w:rPr>
                <w:rFonts w:hint="eastAsia" w:cs="Times New Roman"/>
                <w:bCs/>
                <w:color w:val="FF0000"/>
                <w:sz w:val="24"/>
                <w:highlight w:val="none"/>
                <w:lang w:val="en-US" w:eastAsia="zh-CN"/>
              </w:rPr>
              <w:t>根据《工业污染源产排污系数手册》（2010年修订）中，4430工业锅炉（热力生产和供应）产排污系数表-工业废水量和化学需氧量，工业废水产污系数为0.356t/t原料可知，则本项目锅炉定期排水量为5340t/a，锅炉排污水用于厂区冲渣降尘，不外排。</w:t>
            </w:r>
          </w:p>
          <w:p>
            <w:pPr>
              <w:spacing w:line="360" w:lineRule="auto"/>
              <w:ind w:firstLine="480" w:firstLineChars="200"/>
              <w:jc w:val="left"/>
              <w:rPr>
                <w:rFonts w:hint="default" w:ascii="Times New Roman" w:hAnsi="Times New Roman" w:cs="Times New Roman"/>
                <w:bCs/>
                <w:color w:val="auto"/>
                <w:sz w:val="24"/>
                <w:highlight w:val="none"/>
              </w:rPr>
            </w:pPr>
          </w:p>
          <w:p>
            <w:pPr>
              <w:spacing w:line="360" w:lineRule="auto"/>
              <w:ind w:firstLine="480" w:firstLineChars="200"/>
              <w:jc w:val="left"/>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3、噪声</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0"/>
                <w:sz w:val="24"/>
                <w:szCs w:val="24"/>
                <w:highlight w:val="none"/>
                <w:lang w:val="en-US" w:eastAsia="zh-CN" w:bidi="ar"/>
              </w:rPr>
              <w:t xml:space="preserve">企业现有噪声主要为皮带输送机、斗式提升机、锅炉房风机等设备运行时产生的设备噪声。其噪声值在65-75dB(A)之间，通过选用低噪声设备，建筑物隔声、绿化带吸声后，经检测，其厂界外1米处昼间噪声值为46.2dB(A)-56.3dB(A)、夜间噪声值为40.6dB(A)-43.1dB(A)，满足《工业企业厂界环境噪声排放标准》（GB12348-2008）中2类标准要求，未对周围环境产生明显影响。 </w:t>
            </w:r>
          </w:p>
          <w:p>
            <w:pPr>
              <w:keepNext w:val="0"/>
              <w:keepLines w:val="0"/>
              <w:pageBreakBefore w:val="0"/>
              <w:widowControl/>
              <w:numPr>
                <w:ilvl w:val="0"/>
                <w:numId w:val="2"/>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t>固体废物</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项目员工39人，年工作天数为195天，每人每天产生生活垃圾为0.5kg，生活垃圾产生量为3.8t/a，集中收集后，交由市政部门统一处理。煤渣集中收集后外卖。</w:t>
            </w:r>
            <w:r>
              <w:rPr>
                <w:rFonts w:hint="eastAsia" w:cs="Times New Roman"/>
                <w:color w:val="auto"/>
                <w:kern w:val="0"/>
                <w:sz w:val="24"/>
                <w:szCs w:val="24"/>
                <w:highlight w:val="none"/>
                <w:lang w:val="en-US" w:eastAsia="zh-CN" w:bidi="ar"/>
              </w:rPr>
              <w:t>非离子交换树脂交由有资质部门处理，不在厂区内暂存。</w:t>
            </w:r>
            <w:r>
              <w:rPr>
                <w:rFonts w:hint="default" w:ascii="Times New Roman" w:hAnsi="Times New Roman" w:eastAsia="宋体" w:cs="Times New Roman"/>
                <w:color w:val="auto"/>
                <w:kern w:val="0"/>
                <w:sz w:val="24"/>
                <w:szCs w:val="24"/>
                <w:highlight w:val="none"/>
                <w:lang w:val="en-US" w:eastAsia="zh-CN" w:bidi="ar"/>
              </w:rPr>
              <w:t xml:space="preserve">对外环境影响较小。 </w:t>
            </w:r>
          </w:p>
          <w:p>
            <w:pPr>
              <w:keepNext w:val="0"/>
              <w:keepLines w:val="0"/>
              <w:pageBreakBefore w:val="0"/>
              <w:widowControl/>
              <w:numPr>
                <w:ilvl w:val="0"/>
                <w:numId w:val="2"/>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bCs/>
                <w:color w:val="auto"/>
                <w:sz w:val="24"/>
                <w:highlight w:val="none"/>
                <w:lang w:val="en-US" w:eastAsia="zh-CN"/>
              </w:rPr>
            </w:pPr>
            <w:r>
              <w:rPr>
                <w:rFonts w:hint="eastAsia" w:ascii="Times New Roman" w:hAnsi="Times New Roman" w:cs="Times New Roman"/>
                <w:bCs/>
                <w:color w:val="auto"/>
                <w:sz w:val="24"/>
                <w:highlight w:val="none"/>
                <w:lang w:val="en-US" w:eastAsia="zh-CN"/>
              </w:rPr>
              <w:t>排污许可证总量</w:t>
            </w:r>
          </w:p>
          <w:p>
            <w:pPr>
              <w:keepNext w:val="0"/>
              <w:keepLines w:val="0"/>
              <w:pageBreakBefore w:val="0"/>
              <w:widowControl/>
              <w:numPr>
                <w:ilvl w:val="0"/>
                <w:numId w:val="0"/>
              </w:numPr>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eastAsia="宋体"/>
                <w:color w:val="auto"/>
                <w:highlight w:val="none"/>
                <w:lang w:val="en-US" w:eastAsia="zh-CN"/>
              </w:rPr>
            </w:pPr>
            <w:r>
              <w:rPr>
                <w:rFonts w:hint="default" w:ascii="Times New Roman" w:hAnsi="Times New Roman" w:cs="Times New Roman"/>
                <w:bCs/>
                <w:color w:val="auto"/>
                <w:sz w:val="24"/>
                <w:highlight w:val="none"/>
                <w:lang w:val="en-US" w:eastAsia="zh-CN"/>
              </w:rPr>
              <w:t>根据江川农场2019年5月取得排污许可证</w:t>
            </w:r>
            <w:r>
              <w:rPr>
                <w:rFonts w:hint="eastAsia" w:cs="Times New Roman"/>
                <w:bCs/>
                <w:color w:val="auto"/>
                <w:sz w:val="24"/>
                <w:highlight w:val="none"/>
                <w:lang w:val="en-US" w:eastAsia="zh-CN"/>
              </w:rPr>
              <w:t>（</w:t>
            </w:r>
            <w:r>
              <w:rPr>
                <w:rFonts w:hint="default" w:ascii="Times New Roman" w:hAnsi="Times New Roman" w:cs="Times New Roman"/>
                <w:bCs/>
                <w:color w:val="auto"/>
                <w:sz w:val="24"/>
                <w:highlight w:val="none"/>
                <w:lang w:val="en-US" w:eastAsia="zh-CN"/>
              </w:rPr>
              <w:t>91233002565186199A001R</w:t>
            </w:r>
            <w:r>
              <w:rPr>
                <w:rFonts w:hint="eastAsia" w:cs="Times New Roman"/>
                <w:bCs/>
                <w:color w:val="auto"/>
                <w:sz w:val="24"/>
                <w:highlight w:val="none"/>
                <w:lang w:val="en-US" w:eastAsia="zh-CN"/>
              </w:rPr>
              <w:t>）可知</w:t>
            </w:r>
            <w:r>
              <w:rPr>
                <w:rFonts w:hint="default" w:ascii="Times New Roman" w:hAnsi="Times New Roman" w:cs="Times New Roman"/>
                <w:bCs/>
                <w:color w:val="auto"/>
                <w:sz w:val="24"/>
                <w:highlight w:val="none"/>
                <w:lang w:val="en-US" w:eastAsia="zh-CN"/>
              </w:rPr>
              <w:t>。</w:t>
            </w:r>
            <w:r>
              <w:rPr>
                <w:rFonts w:hint="eastAsia" w:cs="Times New Roman"/>
                <w:bCs/>
                <w:color w:val="auto"/>
                <w:sz w:val="24"/>
                <w:highlight w:val="none"/>
                <w:lang w:val="en-US" w:eastAsia="zh-CN"/>
              </w:rPr>
              <w:t>本项目许可排放</w:t>
            </w:r>
            <w:r>
              <w:rPr>
                <w:rFonts w:hint="eastAsia" w:cs="Times New Roman"/>
                <w:bCs/>
                <w:color w:val="auto"/>
                <w:sz w:val="24"/>
                <w:szCs w:val="24"/>
                <w:highlight w:val="none"/>
                <w:lang w:val="en-US" w:eastAsia="zh-CN"/>
              </w:rPr>
              <w:t>量为</w:t>
            </w:r>
            <w:r>
              <w:rPr>
                <w:rFonts w:hint="default" w:ascii="Times New Roman" w:hAnsi="Times New Roman" w:cs="Times New Roman"/>
                <w:color w:val="auto"/>
                <w:kern w:val="2"/>
                <w:sz w:val="24"/>
                <w:szCs w:val="24"/>
                <w:highlight w:val="none"/>
              </w:rPr>
              <w:t>颗粒物</w:t>
            </w:r>
            <w:r>
              <w:rPr>
                <w:rFonts w:hint="eastAsia" w:cs="Times New Roman"/>
                <w:color w:val="auto"/>
                <w:kern w:val="2"/>
                <w:sz w:val="24"/>
                <w:szCs w:val="24"/>
                <w:highlight w:val="none"/>
                <w:lang w:eastAsia="zh-CN"/>
              </w:rPr>
              <w:t>：</w:t>
            </w:r>
            <w:r>
              <w:rPr>
                <w:rFonts w:hint="eastAsia" w:ascii="Times New Roman" w:hAnsi="Times New Roman" w:cs="Times New Roman"/>
                <w:color w:val="auto"/>
                <w:kern w:val="2"/>
                <w:sz w:val="24"/>
                <w:szCs w:val="24"/>
                <w:highlight w:val="none"/>
                <w:lang w:val="en-US" w:eastAsia="zh-CN"/>
              </w:rPr>
              <w:t>9.832</w:t>
            </w:r>
            <w:r>
              <w:rPr>
                <w:rFonts w:hint="default" w:ascii="Times New Roman" w:hAnsi="Times New Roman" w:cs="Times New Roman"/>
                <w:color w:val="auto"/>
                <w:kern w:val="2"/>
                <w:sz w:val="24"/>
                <w:szCs w:val="24"/>
                <w:highlight w:val="none"/>
                <w:lang w:val="en-US" w:eastAsia="zh-CN"/>
              </w:rPr>
              <w:t>t/a</w:t>
            </w:r>
            <w:r>
              <w:rPr>
                <w:rFonts w:hint="eastAsia" w:cs="Times New Roman"/>
                <w:color w:val="auto"/>
                <w:kern w:val="2"/>
                <w:sz w:val="24"/>
                <w:szCs w:val="24"/>
                <w:highlight w:val="none"/>
                <w:lang w:val="en-US" w:eastAsia="zh-CN"/>
              </w:rPr>
              <w:t>；</w:t>
            </w:r>
            <w:r>
              <w:rPr>
                <w:rFonts w:hint="default" w:ascii="Times New Roman" w:hAnsi="Times New Roman" w:cs="Times New Roman"/>
                <w:color w:val="auto"/>
                <w:kern w:val="2"/>
                <w:sz w:val="24"/>
                <w:szCs w:val="24"/>
                <w:highlight w:val="none"/>
              </w:rPr>
              <w:t>SO</w:t>
            </w:r>
            <w:r>
              <w:rPr>
                <w:rFonts w:hint="default" w:ascii="Times New Roman" w:hAnsi="Times New Roman" w:cs="Times New Roman"/>
                <w:color w:val="auto"/>
                <w:kern w:val="2"/>
                <w:sz w:val="24"/>
                <w:szCs w:val="24"/>
                <w:highlight w:val="none"/>
                <w:vertAlign w:val="subscript"/>
              </w:rPr>
              <w:t>2</w:t>
            </w:r>
            <w:r>
              <w:rPr>
                <w:rFonts w:hint="eastAsia" w:cs="Times New Roman"/>
                <w:color w:val="auto"/>
                <w:kern w:val="2"/>
                <w:sz w:val="24"/>
                <w:szCs w:val="24"/>
                <w:highlight w:val="none"/>
                <w:vertAlign w:val="baseline"/>
                <w:lang w:eastAsia="zh-CN"/>
              </w:rPr>
              <w:t>：</w:t>
            </w:r>
            <w:r>
              <w:rPr>
                <w:rFonts w:hint="eastAsia" w:ascii="Times New Roman" w:hAnsi="Times New Roman" w:cs="Times New Roman"/>
                <w:color w:val="auto"/>
                <w:kern w:val="2"/>
                <w:sz w:val="24"/>
                <w:szCs w:val="24"/>
                <w:highlight w:val="none"/>
                <w:lang w:val="en-US" w:eastAsia="zh-CN"/>
              </w:rPr>
              <w:t>39.329</w:t>
            </w:r>
            <w:r>
              <w:rPr>
                <w:rFonts w:hint="default" w:ascii="Times New Roman" w:hAnsi="Times New Roman" w:cs="Times New Roman"/>
                <w:color w:val="auto"/>
                <w:kern w:val="2"/>
                <w:sz w:val="24"/>
                <w:szCs w:val="24"/>
                <w:highlight w:val="none"/>
              </w:rPr>
              <w:t>t/a</w:t>
            </w:r>
            <w:r>
              <w:rPr>
                <w:rFonts w:hint="eastAsia" w:cs="Times New Roman"/>
                <w:color w:val="auto"/>
                <w:kern w:val="2"/>
                <w:sz w:val="24"/>
                <w:szCs w:val="24"/>
                <w:highlight w:val="none"/>
                <w:lang w:eastAsia="zh-CN"/>
              </w:rPr>
              <w:t>；</w:t>
            </w:r>
            <w:r>
              <w:rPr>
                <w:rFonts w:hint="default" w:ascii="Times New Roman" w:hAnsi="Times New Roman" w:cs="Times New Roman"/>
                <w:color w:val="auto"/>
                <w:kern w:val="2"/>
                <w:sz w:val="24"/>
                <w:szCs w:val="24"/>
                <w:highlight w:val="none"/>
              </w:rPr>
              <w:t>NO</w:t>
            </w:r>
            <w:r>
              <w:rPr>
                <w:rFonts w:hint="default" w:ascii="Times New Roman" w:hAnsi="Times New Roman" w:cs="Times New Roman"/>
                <w:color w:val="auto"/>
                <w:kern w:val="2"/>
                <w:sz w:val="24"/>
                <w:szCs w:val="24"/>
                <w:highlight w:val="none"/>
                <w:vertAlign w:val="subscript"/>
              </w:rPr>
              <w:t>x</w:t>
            </w:r>
            <w:r>
              <w:rPr>
                <w:rFonts w:hint="eastAsia" w:cs="Times New Roman"/>
                <w:color w:val="auto"/>
                <w:kern w:val="2"/>
                <w:sz w:val="24"/>
                <w:szCs w:val="24"/>
                <w:highlight w:val="none"/>
                <w:vertAlign w:val="baseline"/>
                <w:lang w:eastAsia="zh-CN"/>
              </w:rPr>
              <w:t>：</w:t>
            </w:r>
            <w:r>
              <w:rPr>
                <w:rFonts w:hint="eastAsia" w:ascii="Times New Roman" w:hAnsi="Times New Roman" w:cs="Times New Roman"/>
                <w:color w:val="auto"/>
                <w:kern w:val="2"/>
                <w:sz w:val="24"/>
                <w:szCs w:val="24"/>
                <w:highlight w:val="none"/>
                <w:lang w:val="en-US" w:eastAsia="zh-CN"/>
              </w:rPr>
              <w:t>46.161</w:t>
            </w:r>
            <w:r>
              <w:rPr>
                <w:rFonts w:hint="default" w:ascii="Times New Roman" w:hAnsi="Times New Roman" w:cs="Times New Roman"/>
                <w:color w:val="auto"/>
                <w:kern w:val="2"/>
                <w:sz w:val="24"/>
                <w:szCs w:val="24"/>
                <w:highlight w:val="none"/>
              </w:rPr>
              <w:t>t/a</w:t>
            </w:r>
            <w:r>
              <w:rPr>
                <w:rFonts w:hint="eastAsia" w:cs="Times New Roman"/>
                <w:color w:val="auto"/>
                <w:kern w:val="2"/>
                <w:sz w:val="24"/>
                <w:szCs w:val="24"/>
                <w:highlight w:val="none"/>
                <w:lang w:eastAsia="zh-CN"/>
              </w:rPr>
              <w:t>。</w:t>
            </w:r>
          </w:p>
          <w:p>
            <w:pPr>
              <w:keepNext w:val="0"/>
              <w:keepLines w:val="0"/>
              <w:pageBreakBefore w:val="0"/>
              <w:widowControl w:val="0"/>
              <w:tabs>
                <w:tab w:val="left" w:pos="6480"/>
              </w:tabs>
              <w:kinsoku/>
              <w:wordWrap/>
              <w:overflowPunct/>
              <w:topLinePunct w:val="0"/>
              <w:autoSpaceDE/>
              <w:autoSpaceDN/>
              <w:bidi w:val="0"/>
              <w:adjustRightInd w:val="0"/>
              <w:snapToGrid w:val="0"/>
              <w:spacing w:line="360" w:lineRule="auto"/>
              <w:ind w:firstLine="482" w:firstLineChars="200"/>
              <w:textAlignment w:val="auto"/>
              <w:rPr>
                <w:rFonts w:hint="eastAsia" w:hAnsi="宋体" w:eastAsia="宋体"/>
                <w:b/>
                <w:bCs w:val="0"/>
                <w:color w:val="auto"/>
                <w:sz w:val="24"/>
                <w:highlight w:val="none"/>
                <w:lang w:eastAsia="zh-CN"/>
              </w:rPr>
            </w:pPr>
            <w:r>
              <w:rPr>
                <w:rFonts w:hint="eastAsia" w:cs="Times New Roman"/>
                <w:b/>
                <w:bCs w:val="0"/>
                <w:color w:val="auto"/>
                <w:sz w:val="24"/>
                <w:highlight w:val="none"/>
                <w:lang w:eastAsia="zh-CN"/>
              </w:rPr>
              <w:t>存在的主要</w:t>
            </w:r>
            <w:r>
              <w:rPr>
                <w:rFonts w:hint="default" w:ascii="Times New Roman" w:hAnsi="Times New Roman" w:cs="Times New Roman"/>
                <w:b/>
                <w:bCs w:val="0"/>
                <w:color w:val="auto"/>
                <w:sz w:val="24"/>
                <w:highlight w:val="none"/>
              </w:rPr>
              <w:t>环境问题</w:t>
            </w:r>
            <w:r>
              <w:rPr>
                <w:rFonts w:hint="eastAsia" w:cs="Times New Roman"/>
                <w:b/>
                <w:bCs w:val="0"/>
                <w:color w:val="auto"/>
                <w:sz w:val="24"/>
                <w:highlight w:val="none"/>
                <w:lang w:eastAsia="zh-CN"/>
              </w:rPr>
              <w:t>：</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s="Times New Roman"/>
                <w:color w:val="FF0000"/>
                <w:kern w:val="0"/>
                <w:sz w:val="24"/>
                <w:szCs w:val="24"/>
                <w:highlight w:val="none"/>
                <w:lang w:val="en-US" w:eastAsia="zh-CN" w:bidi="ar"/>
              </w:rPr>
            </w:pPr>
            <w:r>
              <w:rPr>
                <w:rFonts w:hint="eastAsia"/>
                <w:color w:val="auto"/>
                <w:sz w:val="24"/>
                <w:szCs w:val="24"/>
                <w:highlight w:val="none"/>
                <w:lang w:eastAsia="zh-CN"/>
              </w:rPr>
              <w:t>根据黑龙江开源检测技术有限公司</w:t>
            </w:r>
            <w:r>
              <w:rPr>
                <w:rFonts w:hint="eastAsia" w:ascii="Times New Roman" w:hAnsi="Times New Roman" w:cs="Times New Roman"/>
                <w:color w:val="auto"/>
                <w:sz w:val="24"/>
                <w:highlight w:val="none"/>
                <w:lang w:val="en-US" w:eastAsia="zh-CN"/>
              </w:rPr>
              <w:t>于20</w:t>
            </w:r>
            <w:r>
              <w:rPr>
                <w:rFonts w:hint="eastAsia" w:cs="Times New Roman"/>
                <w:color w:val="auto"/>
                <w:sz w:val="24"/>
                <w:highlight w:val="none"/>
                <w:lang w:val="en-US" w:eastAsia="zh-CN"/>
              </w:rPr>
              <w:t>20</w:t>
            </w:r>
            <w:r>
              <w:rPr>
                <w:rFonts w:hint="eastAsia" w:ascii="Times New Roman" w:hAnsi="Times New Roman" w:cs="Times New Roman"/>
                <w:color w:val="auto"/>
                <w:sz w:val="24"/>
                <w:highlight w:val="none"/>
                <w:lang w:val="en-US" w:eastAsia="zh-CN"/>
              </w:rPr>
              <w:t>年</w:t>
            </w:r>
            <w:r>
              <w:rPr>
                <w:rFonts w:hint="eastAsia" w:cs="Times New Roman"/>
                <w:color w:val="auto"/>
                <w:sz w:val="24"/>
                <w:highlight w:val="none"/>
                <w:lang w:val="en-US" w:eastAsia="zh-CN"/>
              </w:rPr>
              <w:t>1</w:t>
            </w:r>
            <w:r>
              <w:rPr>
                <w:rFonts w:hint="eastAsia" w:ascii="Times New Roman" w:hAnsi="Times New Roman" w:cs="Times New Roman"/>
                <w:color w:val="auto"/>
                <w:sz w:val="24"/>
                <w:highlight w:val="none"/>
                <w:lang w:val="en-US" w:eastAsia="zh-CN"/>
              </w:rPr>
              <w:t>月出具的</w:t>
            </w:r>
            <w:r>
              <w:rPr>
                <w:rFonts w:hint="eastAsia" w:cs="Times New Roman"/>
                <w:color w:val="auto"/>
                <w:sz w:val="24"/>
                <w:highlight w:val="none"/>
                <w:lang w:val="en-US" w:eastAsia="zh-CN"/>
              </w:rPr>
              <w:t>检测报告的</w:t>
            </w:r>
            <w:r>
              <w:rPr>
                <w:color w:val="auto"/>
                <w:sz w:val="24"/>
                <w:highlight w:val="none"/>
              </w:rPr>
              <w:t>监测结果</w:t>
            </w:r>
            <w:r>
              <w:rPr>
                <w:rFonts w:hint="eastAsia"/>
                <w:color w:val="auto"/>
                <w:sz w:val="24"/>
                <w:highlight w:val="none"/>
                <w:lang w:eastAsia="zh-CN"/>
              </w:rPr>
              <w:t>可知，</w:t>
            </w:r>
            <w:r>
              <w:rPr>
                <w:rFonts w:hint="eastAsia"/>
                <w:color w:val="auto"/>
                <w:sz w:val="24"/>
                <w:szCs w:val="18"/>
                <w:highlight w:val="none"/>
                <w:vertAlign w:val="baseline"/>
                <w:lang w:val="en-US" w:eastAsia="zh-CN"/>
              </w:rPr>
              <w:t>SO</w:t>
            </w:r>
            <w:r>
              <w:rPr>
                <w:rFonts w:hint="eastAsia"/>
                <w:color w:val="auto"/>
                <w:sz w:val="24"/>
                <w:szCs w:val="18"/>
                <w:highlight w:val="none"/>
                <w:vertAlign w:val="subscript"/>
                <w:lang w:val="en-US" w:eastAsia="zh-CN"/>
              </w:rPr>
              <w:t>2</w:t>
            </w:r>
            <w:r>
              <w:rPr>
                <w:rFonts w:hint="eastAsia"/>
                <w:color w:val="auto"/>
                <w:sz w:val="24"/>
                <w:szCs w:val="18"/>
                <w:highlight w:val="none"/>
                <w:vertAlign w:val="baseline"/>
                <w:lang w:val="en-US" w:eastAsia="zh-CN"/>
              </w:rPr>
              <w:t>、颗粒物</w:t>
            </w:r>
            <w:r>
              <w:rPr>
                <w:rFonts w:hint="eastAsia"/>
                <w:color w:val="auto"/>
                <w:sz w:val="24"/>
                <w:highlight w:val="none"/>
                <w:lang w:eastAsia="zh-CN"/>
              </w:rPr>
              <w:t>排放浓度均不</w:t>
            </w:r>
            <w:r>
              <w:rPr>
                <w:color w:val="auto"/>
                <w:sz w:val="24"/>
                <w:highlight w:val="none"/>
              </w:rPr>
              <w:t>满足</w:t>
            </w:r>
            <w:r>
              <w:rPr>
                <w:rFonts w:hint="default" w:ascii="Times New Roman" w:hAnsi="Times New Roman" w:eastAsia="宋体" w:cs="Times New Roman"/>
                <w:color w:val="auto"/>
                <w:kern w:val="0"/>
                <w:sz w:val="24"/>
                <w:szCs w:val="24"/>
                <w:highlight w:val="none"/>
                <w:lang w:val="en-US" w:eastAsia="zh-CN" w:bidi="ar"/>
              </w:rPr>
              <w:t>《锅炉大气污染物排放标准》（GB13271-2014）</w:t>
            </w:r>
            <w:r>
              <w:rPr>
                <w:rFonts w:hint="eastAsia" w:cs="Times New Roman"/>
                <w:color w:val="auto"/>
                <w:kern w:val="0"/>
                <w:sz w:val="24"/>
                <w:szCs w:val="24"/>
                <w:highlight w:val="none"/>
                <w:lang w:val="en-US" w:eastAsia="zh-CN" w:bidi="ar"/>
              </w:rPr>
              <w:t>中</w:t>
            </w:r>
            <w:r>
              <w:rPr>
                <w:bCs/>
                <w:color w:val="auto"/>
                <w:sz w:val="24"/>
                <w:highlight w:val="none"/>
              </w:rPr>
              <w:t>表2燃煤锅炉排放限值</w:t>
            </w:r>
            <w:r>
              <w:rPr>
                <w:color w:val="auto"/>
                <w:sz w:val="24"/>
                <w:highlight w:val="none"/>
              </w:rPr>
              <w:t>要求。</w:t>
            </w:r>
            <w:r>
              <w:rPr>
                <w:rFonts w:hint="eastAsia"/>
                <w:color w:val="FF0000"/>
                <w:sz w:val="24"/>
                <w:highlight w:val="none"/>
                <w:lang w:eastAsia="zh-CN"/>
              </w:rPr>
              <w:t>因此，本报告要求新增三台布袋除尘器，并运行已建设完成的脱硫</w:t>
            </w:r>
            <w:r>
              <w:rPr>
                <w:color w:val="FF0000"/>
                <w:sz w:val="24"/>
                <w:highlight w:val="none"/>
              </w:rPr>
              <w:t>脱硝</w:t>
            </w:r>
            <w:r>
              <w:rPr>
                <w:rFonts w:hint="eastAsia"/>
                <w:color w:val="FF0000"/>
                <w:sz w:val="24"/>
                <w:highlight w:val="none"/>
                <w:lang w:eastAsia="zh-CN"/>
              </w:rPr>
              <w:t>设施</w:t>
            </w:r>
            <w:r>
              <w:rPr>
                <w:color w:val="FF0000"/>
                <w:sz w:val="24"/>
                <w:szCs w:val="18"/>
                <w:highlight w:val="none"/>
              </w:rPr>
              <w:t>。</w:t>
            </w:r>
          </w:p>
          <w:p>
            <w:pPr>
              <w:keepNext w:val="0"/>
              <w:keepLines w:val="0"/>
              <w:pageBreakBefore w:val="0"/>
              <w:widowControl w:val="0"/>
              <w:tabs>
                <w:tab w:val="left" w:pos="6480"/>
              </w:tabs>
              <w:kinsoku/>
              <w:wordWrap/>
              <w:overflowPunct/>
              <w:topLinePunct w:val="0"/>
              <w:autoSpaceDE/>
              <w:autoSpaceDN/>
              <w:bidi w:val="0"/>
              <w:adjustRightInd w:val="0"/>
              <w:snapToGrid w:val="0"/>
              <w:spacing w:line="360" w:lineRule="auto"/>
              <w:ind w:firstLine="480" w:firstLineChars="200"/>
              <w:textAlignment w:val="auto"/>
              <w:rPr>
                <w:rFonts w:hint="eastAsia" w:hAnsi="宋体"/>
                <w:color w:val="auto"/>
                <w:sz w:val="24"/>
                <w:highlight w:val="none"/>
              </w:rPr>
            </w:pPr>
          </w:p>
        </w:tc>
      </w:tr>
    </w:tbl>
    <w:p>
      <w:pPr>
        <w:pStyle w:val="143"/>
        <w:pageBreakBefore/>
        <w:outlineLvl w:val="0"/>
        <w:rPr>
          <w:rFonts w:ascii="Times New Roman" w:hAnsi="Times New Roman"/>
          <w:b/>
          <w:iCs w:val="0"/>
          <w:color w:val="auto"/>
          <w:szCs w:val="32"/>
          <w:highlight w:val="none"/>
        </w:rPr>
      </w:pPr>
      <w:bookmarkStart w:id="4" w:name="_Toc288044534"/>
      <w:bookmarkStart w:id="5" w:name="_Toc25558"/>
      <w:r>
        <w:rPr>
          <w:rFonts w:hint="eastAsia" w:ascii="Times New Roman" w:hAnsi="Times New Roman"/>
          <w:b/>
          <w:iCs w:val="0"/>
          <w:color w:val="auto"/>
          <w:szCs w:val="32"/>
          <w:highlight w:val="none"/>
          <w:lang w:eastAsia="zh-CN"/>
        </w:rPr>
        <w:t>二、</w:t>
      </w:r>
      <w:r>
        <w:rPr>
          <w:rFonts w:hint="eastAsia" w:ascii="Times New Roman" w:hAnsi="Times New Roman"/>
          <w:b/>
          <w:iCs w:val="0"/>
          <w:color w:val="auto"/>
          <w:szCs w:val="32"/>
          <w:highlight w:val="none"/>
        </w:rPr>
        <w:t>建设项目自然环境社会环境简况</w:t>
      </w:r>
      <w:bookmarkEnd w:id="4"/>
      <w:bookmarkEnd w:id="5"/>
    </w:p>
    <w:tbl>
      <w:tblPr>
        <w:tblStyle w:val="36"/>
        <w:tblW w:w="8796"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79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3407" w:hRule="atLeast"/>
        </w:trPr>
        <w:tc>
          <w:tcPr>
            <w:tcW w:w="8796" w:type="dxa"/>
          </w:tcPr>
          <w:p>
            <w:pPr>
              <w:spacing w:line="500" w:lineRule="exact"/>
              <w:jc w:val="left"/>
              <w:rPr>
                <w:b/>
                <w:bCs/>
                <w:color w:val="auto"/>
                <w:sz w:val="28"/>
                <w:szCs w:val="20"/>
                <w:highlight w:val="none"/>
              </w:rPr>
            </w:pPr>
            <w:r>
              <w:rPr>
                <w:b/>
                <w:bCs/>
                <w:color w:val="auto"/>
                <w:sz w:val="28"/>
                <w:szCs w:val="20"/>
                <w:highlight w:val="none"/>
              </w:rPr>
              <w:t>自然环境简况（地形、地貌、地质、气候、气象、水文、植被、生物多样性等）</w:t>
            </w:r>
          </w:p>
          <w:p>
            <w:pPr>
              <w:spacing w:line="360" w:lineRule="auto"/>
              <w:ind w:firstLine="482" w:firstLineChars="200"/>
              <w:rPr>
                <w:b/>
                <w:color w:val="auto"/>
                <w:sz w:val="24"/>
                <w:szCs w:val="28"/>
                <w:highlight w:val="none"/>
              </w:rPr>
            </w:pPr>
            <w:r>
              <w:rPr>
                <w:b/>
                <w:color w:val="auto"/>
                <w:sz w:val="24"/>
                <w:szCs w:val="28"/>
                <w:highlight w:val="none"/>
              </w:rPr>
              <w:t>1、地理位置</w:t>
            </w:r>
          </w:p>
          <w:p>
            <w:pPr>
              <w:keepNext w:val="0"/>
              <w:keepLines w:val="0"/>
              <w:pageBreakBefore w:val="0"/>
              <w:widowControl w:val="0"/>
              <w:tabs>
                <w:tab w:val="left" w:pos="360"/>
              </w:tabs>
              <w:kinsoku/>
              <w:wordWrap/>
              <w:overflowPunct/>
              <w:topLinePunct w:val="0"/>
              <w:autoSpaceDE w:val="0"/>
              <w:autoSpaceDN w:val="0"/>
              <w:bidi w:val="0"/>
              <w:adjustRightInd w:val="0"/>
              <w:snapToGrid/>
              <w:spacing w:line="360" w:lineRule="auto"/>
              <w:ind w:firstLine="480" w:firstLineChars="200"/>
              <w:textAlignment w:val="auto"/>
              <w:rPr>
                <w:rFonts w:hint="eastAsia"/>
                <w:bCs/>
                <w:color w:val="auto"/>
                <w:sz w:val="24"/>
                <w:highlight w:val="none"/>
              </w:rPr>
            </w:pPr>
            <w:r>
              <w:rPr>
                <w:bCs/>
                <w:color w:val="auto"/>
                <w:sz w:val="24"/>
                <w:highlight w:val="none"/>
              </w:rPr>
              <w:t>黑龙江垦区江川农场位于黑龙江省佳木斯市桦川县境内，</w:t>
            </w:r>
            <w:r>
              <w:rPr>
                <w:rFonts w:hint="eastAsia"/>
                <w:bCs/>
                <w:color w:val="auto"/>
                <w:sz w:val="24"/>
                <w:highlight w:val="none"/>
              </w:rPr>
              <w:t>桦川县位于黑龙江省东北部，松花江下游南岸，三江平原西端。南枕完达山，北靠松花江，地理位置较为优越。地理座标东经130°34′至131°16′，北纬46°31′至47°14′。南北相距75公里，东西相距96公里。东邻富锦县，西连佳木斯市，南与桦南、集贤两县接壤，北与汤原、萝北、绥滨三县隔江相望。素以“天然福地，鱼米之乡”而著称。</w:t>
            </w:r>
          </w:p>
          <w:p>
            <w:pPr>
              <w:spacing w:line="360" w:lineRule="auto"/>
              <w:ind w:firstLine="482" w:firstLineChars="200"/>
              <w:rPr>
                <w:b/>
                <w:color w:val="auto"/>
                <w:sz w:val="24"/>
                <w:szCs w:val="28"/>
                <w:highlight w:val="none"/>
              </w:rPr>
            </w:pPr>
            <w:r>
              <w:rPr>
                <w:b/>
                <w:color w:val="auto"/>
                <w:sz w:val="24"/>
                <w:szCs w:val="28"/>
                <w:highlight w:val="none"/>
              </w:rPr>
              <w:t>2、地形地貌</w:t>
            </w:r>
          </w:p>
          <w:p>
            <w:pPr>
              <w:tabs>
                <w:tab w:val="left" w:pos="360"/>
              </w:tabs>
              <w:autoSpaceDE w:val="0"/>
              <w:autoSpaceDN w:val="0"/>
              <w:adjustRightInd w:val="0"/>
              <w:spacing w:line="360" w:lineRule="auto"/>
              <w:ind w:firstLine="480" w:firstLineChars="200"/>
              <w:rPr>
                <w:rFonts w:hint="eastAsia"/>
                <w:bCs/>
                <w:color w:val="auto"/>
                <w:sz w:val="24"/>
                <w:highlight w:val="none"/>
              </w:rPr>
            </w:pPr>
            <w:r>
              <w:rPr>
                <w:rFonts w:hint="eastAsia"/>
                <w:bCs/>
                <w:color w:val="auto"/>
                <w:sz w:val="24"/>
                <w:highlight w:val="none"/>
                <w:lang w:eastAsia="zh-CN"/>
              </w:rPr>
              <w:t>桦川</w:t>
            </w:r>
            <w:r>
              <w:rPr>
                <w:rFonts w:hint="eastAsia"/>
                <w:bCs/>
                <w:color w:val="auto"/>
                <w:sz w:val="24"/>
                <w:highlight w:val="none"/>
              </w:rPr>
              <w:t>县地形呈西南高，东北低之势，地势由西南向东北方向倾斜，西南为完达山余脉北麓所构成的低山丘陵，中部为广阔的冲积平原及冲积湖积低平原，歪顶子山、堆峰山、马虎力山、宝宝山等残丘耸立其间，一般海拔高度在250米至500米之间以歪顶子山为最高海拔高度为547米，另外，沼泽湿地等星罗棋布，构成了本县独特的地貌景观。南部属剥蚀堆积地貌，海拔高程在100至250米之间，相对高差130米左右。北部为侵蚀堆积地貌，海拔高程在75至100米之间，地形平坦，有零星沙岗，沙垅分布。低平原堆积地貌主要分布于东部松花江右岸湿地，地势低洼，属堆积地貌，海拔高程在65米至70米之间。</w:t>
            </w:r>
          </w:p>
          <w:p>
            <w:pPr>
              <w:tabs>
                <w:tab w:val="left" w:pos="360"/>
              </w:tabs>
              <w:autoSpaceDE w:val="0"/>
              <w:autoSpaceDN w:val="0"/>
              <w:adjustRightInd w:val="0"/>
              <w:spacing w:line="360" w:lineRule="auto"/>
              <w:ind w:firstLine="480" w:firstLineChars="200"/>
              <w:rPr>
                <w:bCs/>
                <w:color w:val="auto"/>
                <w:sz w:val="24"/>
                <w:highlight w:val="none"/>
              </w:rPr>
            </w:pPr>
            <w:r>
              <w:rPr>
                <w:bCs/>
                <w:color w:val="auto"/>
                <w:sz w:val="24"/>
                <w:highlight w:val="none"/>
              </w:rPr>
              <w:t>项目区地势为西高东低，地面坡度在1/10000左右，坡度较缓，地势平坦，大部分地势海拔高程在70–76米之间，项目区位于农场的东南部，地势平坦。</w:t>
            </w:r>
          </w:p>
          <w:p>
            <w:pPr>
              <w:spacing w:line="360" w:lineRule="auto"/>
              <w:ind w:firstLine="482" w:firstLineChars="200"/>
              <w:rPr>
                <w:b/>
                <w:color w:val="auto"/>
                <w:sz w:val="24"/>
                <w:szCs w:val="28"/>
                <w:highlight w:val="none"/>
              </w:rPr>
            </w:pPr>
            <w:r>
              <w:rPr>
                <w:b/>
                <w:color w:val="auto"/>
                <w:sz w:val="24"/>
                <w:szCs w:val="28"/>
                <w:highlight w:val="none"/>
              </w:rPr>
              <w:t>3、气候特征</w:t>
            </w:r>
          </w:p>
          <w:p>
            <w:pPr>
              <w:adjustRightInd w:val="0"/>
              <w:spacing w:line="360" w:lineRule="auto"/>
              <w:ind w:firstLine="480" w:firstLineChars="200"/>
              <w:rPr>
                <w:bCs/>
                <w:color w:val="auto"/>
                <w:kern w:val="0"/>
                <w:sz w:val="24"/>
                <w:highlight w:val="none"/>
              </w:rPr>
            </w:pPr>
            <w:r>
              <w:rPr>
                <w:color w:val="auto"/>
                <w:sz w:val="24"/>
                <w:highlight w:val="none"/>
              </w:rPr>
              <w:t>项目区多年平均降水量为506.8毫米，5–8月多年降水量平均值为386.4毫米，占全年降水量的67.8%，降水高峰多出现在7月下旬至8月下旬，多年平均蒸发量为697毫米，干旱指数为1.25，（在1.0–1.5之间）。全年气候属于半湿润气候，4–6月份干旱指数为1.78，7–9月份为0.87，由干旱指数可知：春天时偏干旱，到夏秋季节雨水较多。年平均气温为2.4</w:t>
            </w:r>
            <w:r>
              <w:rPr>
                <w:rFonts w:hint="eastAsia"/>
                <w:color w:val="auto"/>
                <w:sz w:val="24"/>
                <w:highlight w:val="none"/>
              </w:rPr>
              <w:t>℃</w:t>
            </w:r>
            <w:r>
              <w:rPr>
                <w:rFonts w:hint="eastAsia"/>
                <w:color w:val="auto"/>
                <w:sz w:val="24"/>
                <w:highlight w:val="none"/>
                <w:lang w:eastAsia="zh-CN"/>
              </w:rPr>
              <w:t>，</w:t>
            </w:r>
            <w:r>
              <w:rPr>
                <w:color w:val="auto"/>
                <w:sz w:val="24"/>
                <w:highlight w:val="none"/>
              </w:rPr>
              <w:t>极端最高气温为38.7</w:t>
            </w:r>
            <w:r>
              <w:rPr>
                <w:rFonts w:hint="eastAsia"/>
                <w:color w:val="auto"/>
                <w:sz w:val="24"/>
                <w:highlight w:val="none"/>
              </w:rPr>
              <w:t>℃</w:t>
            </w:r>
            <w:r>
              <w:rPr>
                <w:rFonts w:hint="eastAsia"/>
                <w:color w:val="auto"/>
                <w:sz w:val="24"/>
                <w:highlight w:val="none"/>
                <w:lang w:eastAsia="zh-CN"/>
              </w:rPr>
              <w:t>，</w:t>
            </w:r>
            <w:r>
              <w:rPr>
                <w:color w:val="auto"/>
                <w:sz w:val="24"/>
                <w:highlight w:val="none"/>
              </w:rPr>
              <w:t>最低气温为-40</w:t>
            </w:r>
            <w:r>
              <w:rPr>
                <w:rFonts w:hint="eastAsia"/>
                <w:color w:val="auto"/>
                <w:sz w:val="24"/>
                <w:highlight w:val="none"/>
              </w:rPr>
              <w:t>℃</w:t>
            </w:r>
            <w:r>
              <w:rPr>
                <w:color w:val="auto"/>
                <w:sz w:val="24"/>
                <w:highlight w:val="none"/>
              </w:rPr>
              <w:t>，年内以7月为最热，月平均气温可达20</w:t>
            </w:r>
            <w:r>
              <w:rPr>
                <w:rFonts w:hint="eastAsia"/>
                <w:color w:val="auto"/>
                <w:sz w:val="24"/>
                <w:highlight w:val="none"/>
              </w:rPr>
              <w:t>℃</w:t>
            </w:r>
            <w:r>
              <w:rPr>
                <w:color w:val="auto"/>
                <w:sz w:val="24"/>
                <w:highlight w:val="none"/>
              </w:rPr>
              <w:t>以上，1月份为最低，月平均气温达到-20</w:t>
            </w:r>
            <w:r>
              <w:rPr>
                <w:rFonts w:hint="eastAsia"/>
                <w:color w:val="auto"/>
                <w:sz w:val="24"/>
                <w:highlight w:val="none"/>
              </w:rPr>
              <w:t>℃</w:t>
            </w:r>
            <w:r>
              <w:rPr>
                <w:color w:val="auto"/>
                <w:sz w:val="24"/>
                <w:highlight w:val="none"/>
              </w:rPr>
              <w:t>以下。土的冻层深度为2.0米左右。年日照时数为2605小时，生育期5–9月份日照时数为1218小时。无霜期为123天左右，初霜期一般出现在9月24日–10月11日，终霜期一般在5月10日–5月19日。日照较充足，全年大于10</w:t>
            </w:r>
            <w:r>
              <w:rPr>
                <w:rFonts w:hint="eastAsia"/>
                <w:color w:val="auto"/>
                <w:sz w:val="24"/>
                <w:highlight w:val="none"/>
              </w:rPr>
              <w:t>℃</w:t>
            </w:r>
            <w:r>
              <w:rPr>
                <w:color w:val="auto"/>
                <w:sz w:val="24"/>
                <w:highlight w:val="none"/>
              </w:rPr>
              <w:t>的有效积温为21</w:t>
            </w:r>
            <w:r>
              <w:rPr>
                <w:rFonts w:hint="eastAsia"/>
                <w:color w:val="auto"/>
                <w:sz w:val="24"/>
                <w:highlight w:val="none"/>
              </w:rPr>
              <w:t>.</w:t>
            </w:r>
            <w:r>
              <w:rPr>
                <w:color w:val="auto"/>
                <w:sz w:val="24"/>
                <w:highlight w:val="none"/>
              </w:rPr>
              <w:t>40</w:t>
            </w:r>
            <w:r>
              <w:rPr>
                <w:rFonts w:hint="eastAsia"/>
                <w:color w:val="auto"/>
                <w:sz w:val="24"/>
                <w:highlight w:val="none"/>
              </w:rPr>
              <w:t>℃</w:t>
            </w:r>
            <w:r>
              <w:rPr>
                <w:color w:val="auto"/>
                <w:sz w:val="24"/>
                <w:highlight w:val="none"/>
              </w:rPr>
              <w:t>，适于一年一季的农作物生长。</w:t>
            </w:r>
          </w:p>
          <w:p>
            <w:pPr>
              <w:spacing w:line="360" w:lineRule="auto"/>
              <w:ind w:firstLine="482" w:firstLineChars="200"/>
              <w:rPr>
                <w:b/>
                <w:color w:val="auto"/>
                <w:sz w:val="24"/>
                <w:szCs w:val="28"/>
                <w:highlight w:val="none"/>
              </w:rPr>
            </w:pPr>
            <w:r>
              <w:rPr>
                <w:b/>
                <w:color w:val="auto"/>
                <w:sz w:val="24"/>
                <w:szCs w:val="28"/>
                <w:highlight w:val="none"/>
              </w:rPr>
              <w:t>4、水文</w:t>
            </w:r>
            <w:r>
              <w:rPr>
                <w:rFonts w:hint="eastAsia"/>
                <w:b/>
                <w:color w:val="auto"/>
                <w:sz w:val="24"/>
                <w:szCs w:val="28"/>
                <w:highlight w:val="none"/>
              </w:rPr>
              <w:t>地质</w:t>
            </w:r>
          </w:p>
          <w:p>
            <w:pPr>
              <w:adjustRightInd w:val="0"/>
              <w:spacing w:line="360" w:lineRule="auto"/>
              <w:ind w:firstLine="480" w:firstLineChars="200"/>
              <w:rPr>
                <w:rFonts w:hint="eastAsia"/>
                <w:color w:val="auto"/>
                <w:sz w:val="24"/>
                <w:highlight w:val="none"/>
              </w:rPr>
            </w:pPr>
            <w:r>
              <w:rPr>
                <w:rFonts w:hint="eastAsia"/>
                <w:color w:val="auto"/>
                <w:sz w:val="24"/>
                <w:highlight w:val="none"/>
              </w:rPr>
              <w:t>桦川县地处松花江下游，境内主要河流均自西而东平等排列，均自南而北穿越本县直接流入松花江，主要河流有铃当麦河及其支流音达木河、太平沟、丰收沟、安邦河及其支流柳树河及幸福排干退水渠4条，桦川县以上控制面积53万余平方公里，县境内江段长102公里，江面宽阔，弯曲系数为1.15，最枯水位流量125立方米∕秒，实测历史最大洪峰量为18400立方米/秒。</w:t>
            </w: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tc>
      </w:tr>
    </w:tbl>
    <w:p>
      <w:pPr>
        <w:pStyle w:val="143"/>
        <w:pageBreakBefore/>
        <w:spacing w:line="240" w:lineRule="auto"/>
        <w:outlineLvl w:val="0"/>
        <w:rPr>
          <w:rFonts w:ascii="Times New Roman" w:hAnsi="Times New Roman"/>
          <w:bCs w:val="0"/>
          <w:iCs w:val="0"/>
          <w:color w:val="auto"/>
          <w:szCs w:val="32"/>
          <w:highlight w:val="none"/>
        </w:rPr>
      </w:pPr>
      <w:bookmarkStart w:id="6" w:name="_Toc20892"/>
      <w:bookmarkStart w:id="7" w:name="_Toc288044535"/>
      <w:r>
        <w:rPr>
          <w:rFonts w:hint="eastAsia" w:ascii="Times New Roman" w:hAnsi="Times New Roman"/>
          <w:b/>
          <w:bCs w:val="0"/>
          <w:color w:val="auto"/>
          <w:szCs w:val="32"/>
          <w:highlight w:val="none"/>
          <w:lang w:eastAsia="zh-CN"/>
        </w:rPr>
        <w:t>三、</w:t>
      </w:r>
      <w:r>
        <w:rPr>
          <w:rFonts w:hint="eastAsia" w:ascii="Times New Roman" w:hAnsi="Times New Roman"/>
          <w:b/>
          <w:bCs w:val="0"/>
          <w:color w:val="auto"/>
          <w:szCs w:val="32"/>
          <w:highlight w:val="none"/>
        </w:rPr>
        <w:t>环境质量状况</w:t>
      </w:r>
      <w:bookmarkEnd w:id="6"/>
      <w:bookmarkEnd w:id="7"/>
    </w:p>
    <w:tbl>
      <w:tblPr>
        <w:tblStyle w:val="36"/>
        <w:tblW w:w="9287"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748"/>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3196" w:hRule="atLeast"/>
        </w:trPr>
        <w:tc>
          <w:tcPr>
            <w:tcW w:w="8748" w:type="dxa"/>
          </w:tcPr>
          <w:p>
            <w:pPr>
              <w:pStyle w:val="17"/>
              <w:tabs>
                <w:tab w:val="left" w:pos="6480"/>
              </w:tabs>
              <w:spacing w:line="500" w:lineRule="exact"/>
              <w:ind w:firstLine="0" w:firstLineChars="0"/>
              <w:rPr>
                <w:rFonts w:ascii="Times New Roman" w:hAnsi="Times New Roman" w:cs="Arial"/>
                <w:b/>
                <w:bCs/>
                <w:color w:val="auto"/>
                <w:sz w:val="30"/>
                <w:szCs w:val="30"/>
                <w:highlight w:val="none"/>
              </w:rPr>
            </w:pPr>
            <w:r>
              <w:rPr>
                <w:rFonts w:ascii="Times New Roman" w:cs="Arial"/>
                <w:b/>
                <w:bCs/>
                <w:color w:val="auto"/>
                <w:sz w:val="30"/>
                <w:szCs w:val="30"/>
                <w:highlight w:val="none"/>
              </w:rPr>
              <w:t>建设项目所在地区域质量现状及主要环境问题（环境空气、地面水、地下水、声环境、生态环境等）</w:t>
            </w:r>
          </w:p>
          <w:p>
            <w:pPr>
              <w:spacing w:line="360" w:lineRule="auto"/>
              <w:ind w:firstLine="482" w:firstLineChars="200"/>
              <w:contextualSpacing/>
              <w:rPr>
                <w:color w:val="auto"/>
                <w:sz w:val="24"/>
                <w:highlight w:val="none"/>
              </w:rPr>
            </w:pPr>
            <w:r>
              <w:rPr>
                <w:b/>
                <w:bCs/>
                <w:color w:val="auto"/>
                <w:sz w:val="24"/>
                <w:highlight w:val="none"/>
              </w:rPr>
              <w:t>1</w:t>
            </w:r>
            <w:r>
              <w:rPr>
                <w:rFonts w:hAnsi="宋体"/>
                <w:b/>
                <w:bCs/>
                <w:color w:val="auto"/>
                <w:sz w:val="24"/>
                <w:highlight w:val="none"/>
              </w:rPr>
              <w:t>、环境空气质量现状</w:t>
            </w:r>
          </w:p>
          <w:p>
            <w:pPr>
              <w:spacing w:line="360" w:lineRule="auto"/>
              <w:ind w:firstLine="480" w:firstLineChars="200"/>
              <w:rPr>
                <w:rFonts w:hint="eastAsia"/>
                <w:color w:val="auto"/>
                <w:sz w:val="24"/>
                <w:highlight w:val="none"/>
              </w:rPr>
            </w:pPr>
            <w:r>
              <w:rPr>
                <w:rFonts w:hint="default" w:ascii="Times New Roman" w:hAnsi="Times New Roman" w:cs="Times New Roman"/>
                <w:color w:val="auto"/>
                <w:sz w:val="24"/>
                <w:szCs w:val="24"/>
                <w:highlight w:val="none"/>
              </w:rPr>
              <w:t>（1）基本污染物</w:t>
            </w:r>
          </w:p>
          <w:p>
            <w:pPr>
              <w:spacing w:line="360" w:lineRule="auto"/>
              <w:ind w:firstLine="480" w:firstLineChars="200"/>
              <w:contextualSpacing/>
              <w:rPr>
                <w:color w:val="auto"/>
                <w:sz w:val="24"/>
                <w:highlight w:val="none"/>
              </w:rPr>
            </w:pPr>
            <w:r>
              <w:rPr>
                <w:rFonts w:hint="eastAsia"/>
                <w:color w:val="auto"/>
                <w:sz w:val="24"/>
                <w:highlight w:val="none"/>
              </w:rPr>
              <w:t>项目所在地属环境空气质量功能区划中的二类区。本报告引用《2018年佳木斯市环境质量简报》中的数据。</w:t>
            </w:r>
            <w:r>
              <w:rPr>
                <w:color w:val="auto"/>
                <w:sz w:val="24"/>
                <w:highlight w:val="none"/>
              </w:rPr>
              <w:t>2018</w:t>
            </w:r>
            <w:r>
              <w:rPr>
                <w:rFonts w:hint="eastAsia"/>
                <w:color w:val="auto"/>
                <w:sz w:val="24"/>
                <w:highlight w:val="none"/>
              </w:rPr>
              <w:t>年，佳木斯市区环境空气质量指数</w:t>
            </w:r>
            <w:r>
              <w:rPr>
                <w:color w:val="auto"/>
                <w:sz w:val="24"/>
                <w:highlight w:val="none"/>
              </w:rPr>
              <w:t>AQI</w:t>
            </w:r>
            <w:r>
              <w:rPr>
                <w:rFonts w:hint="eastAsia"/>
                <w:color w:val="auto"/>
                <w:sz w:val="24"/>
                <w:highlight w:val="none"/>
              </w:rPr>
              <w:t>达到和好于二级的优良天数为</w:t>
            </w:r>
            <w:r>
              <w:rPr>
                <w:color w:val="auto"/>
                <w:sz w:val="24"/>
                <w:highlight w:val="none"/>
              </w:rPr>
              <w:t>337</w:t>
            </w:r>
            <w:r>
              <w:rPr>
                <w:rFonts w:hint="eastAsia"/>
                <w:color w:val="auto"/>
                <w:sz w:val="24"/>
                <w:highlight w:val="none"/>
              </w:rPr>
              <w:t>天，达标比例为</w:t>
            </w:r>
            <w:r>
              <w:rPr>
                <w:color w:val="auto"/>
                <w:sz w:val="24"/>
                <w:highlight w:val="none"/>
              </w:rPr>
              <w:t>93.4%</w:t>
            </w:r>
            <w:r>
              <w:rPr>
                <w:rFonts w:hint="eastAsia"/>
                <w:color w:val="auto"/>
                <w:sz w:val="24"/>
                <w:highlight w:val="none"/>
              </w:rPr>
              <w:t>；污染天数为</w:t>
            </w:r>
            <w:r>
              <w:rPr>
                <w:color w:val="auto"/>
                <w:sz w:val="24"/>
                <w:highlight w:val="none"/>
              </w:rPr>
              <w:t>24</w:t>
            </w:r>
            <w:r>
              <w:rPr>
                <w:rFonts w:hint="eastAsia"/>
                <w:color w:val="auto"/>
                <w:sz w:val="24"/>
                <w:highlight w:val="none"/>
              </w:rPr>
              <w:t>天，其中轻度污染为</w:t>
            </w:r>
            <w:r>
              <w:rPr>
                <w:color w:val="auto"/>
                <w:sz w:val="24"/>
                <w:highlight w:val="none"/>
              </w:rPr>
              <w:t>20</w:t>
            </w:r>
            <w:r>
              <w:rPr>
                <w:rFonts w:hint="eastAsia"/>
                <w:color w:val="auto"/>
                <w:sz w:val="24"/>
                <w:highlight w:val="none"/>
              </w:rPr>
              <w:t>天，中度污染为</w:t>
            </w:r>
            <w:r>
              <w:rPr>
                <w:color w:val="auto"/>
                <w:sz w:val="24"/>
                <w:highlight w:val="none"/>
              </w:rPr>
              <w:t>1</w:t>
            </w:r>
            <w:r>
              <w:rPr>
                <w:rFonts w:hint="eastAsia"/>
                <w:color w:val="auto"/>
                <w:sz w:val="24"/>
                <w:highlight w:val="none"/>
              </w:rPr>
              <w:t>天，重度污染为</w:t>
            </w:r>
            <w:r>
              <w:rPr>
                <w:color w:val="auto"/>
                <w:sz w:val="24"/>
                <w:highlight w:val="none"/>
              </w:rPr>
              <w:t>1</w:t>
            </w:r>
            <w:r>
              <w:rPr>
                <w:rFonts w:hint="eastAsia"/>
                <w:color w:val="auto"/>
                <w:sz w:val="24"/>
                <w:highlight w:val="none"/>
              </w:rPr>
              <w:t>天，严重污染为</w:t>
            </w:r>
            <w:r>
              <w:rPr>
                <w:color w:val="auto"/>
                <w:sz w:val="24"/>
                <w:highlight w:val="none"/>
              </w:rPr>
              <w:t>2</w:t>
            </w:r>
            <w:r>
              <w:rPr>
                <w:rFonts w:hint="eastAsia"/>
                <w:color w:val="auto"/>
                <w:sz w:val="24"/>
                <w:highlight w:val="none"/>
              </w:rPr>
              <w:t>天；全年有</w:t>
            </w:r>
            <w:r>
              <w:rPr>
                <w:color w:val="auto"/>
                <w:sz w:val="24"/>
                <w:highlight w:val="none"/>
              </w:rPr>
              <w:t>4</w:t>
            </w:r>
            <w:r>
              <w:rPr>
                <w:rFonts w:hint="eastAsia"/>
                <w:color w:val="auto"/>
                <w:sz w:val="24"/>
                <w:highlight w:val="none"/>
              </w:rPr>
              <w:t>天无效天。通过</w:t>
            </w:r>
            <w:r>
              <w:rPr>
                <w:color w:val="auto"/>
                <w:sz w:val="24"/>
                <w:highlight w:val="none"/>
              </w:rPr>
              <w:t>AQI</w:t>
            </w:r>
            <w:r>
              <w:rPr>
                <w:rFonts w:hint="eastAsia"/>
                <w:color w:val="auto"/>
                <w:sz w:val="24"/>
                <w:highlight w:val="none"/>
              </w:rPr>
              <w:t>指数可以确定，佳木斯市环境空气中，首要污染物主要为细颗粒物（</w:t>
            </w:r>
            <w:r>
              <w:rPr>
                <w:color w:val="auto"/>
                <w:sz w:val="24"/>
                <w:highlight w:val="none"/>
              </w:rPr>
              <w:t>PM</w:t>
            </w:r>
            <w:r>
              <w:rPr>
                <w:color w:val="auto"/>
                <w:sz w:val="24"/>
                <w:highlight w:val="none"/>
                <w:vertAlign w:val="subscript"/>
              </w:rPr>
              <w:t>2.5</w:t>
            </w:r>
            <w:r>
              <w:rPr>
                <w:rFonts w:hint="eastAsia"/>
                <w:color w:val="auto"/>
                <w:sz w:val="24"/>
                <w:highlight w:val="none"/>
              </w:rPr>
              <w:t>）。</w:t>
            </w:r>
          </w:p>
          <w:p>
            <w:pPr>
              <w:spacing w:line="360" w:lineRule="auto"/>
              <w:ind w:firstLine="480" w:firstLineChars="200"/>
              <w:contextualSpacing/>
              <w:rPr>
                <w:rFonts w:hint="eastAsia"/>
                <w:color w:val="auto"/>
                <w:sz w:val="24"/>
                <w:highlight w:val="none"/>
              </w:rPr>
            </w:pPr>
            <w:r>
              <w:rPr>
                <w:rFonts w:hint="eastAsia"/>
                <w:color w:val="auto"/>
                <w:sz w:val="24"/>
                <w:highlight w:val="none"/>
              </w:rPr>
              <w:t>佳木斯市</w:t>
            </w:r>
            <w:r>
              <w:rPr>
                <w:color w:val="auto"/>
                <w:sz w:val="24"/>
                <w:highlight w:val="none"/>
              </w:rPr>
              <w:t>2018</w:t>
            </w:r>
            <w:r>
              <w:rPr>
                <w:rFonts w:hint="eastAsia"/>
                <w:color w:val="auto"/>
                <w:sz w:val="24"/>
                <w:highlight w:val="none"/>
              </w:rPr>
              <w:t>年</w:t>
            </w:r>
            <w:r>
              <w:rPr>
                <w:color w:val="auto"/>
                <w:sz w:val="24"/>
                <w:highlight w:val="none"/>
              </w:rPr>
              <w:t>SO</w:t>
            </w:r>
            <w:r>
              <w:rPr>
                <w:color w:val="auto"/>
                <w:sz w:val="24"/>
                <w:highlight w:val="none"/>
                <w:vertAlign w:val="subscript"/>
              </w:rPr>
              <w:t>2</w:t>
            </w:r>
            <w:r>
              <w:rPr>
                <w:rFonts w:hint="eastAsia"/>
                <w:color w:val="auto"/>
                <w:sz w:val="24"/>
                <w:highlight w:val="none"/>
              </w:rPr>
              <w:t>、</w:t>
            </w:r>
            <w:r>
              <w:rPr>
                <w:color w:val="auto"/>
                <w:sz w:val="24"/>
                <w:highlight w:val="none"/>
              </w:rPr>
              <w:t>NO</w:t>
            </w:r>
            <w:r>
              <w:rPr>
                <w:color w:val="auto"/>
                <w:sz w:val="24"/>
                <w:highlight w:val="none"/>
                <w:vertAlign w:val="subscript"/>
              </w:rPr>
              <w:t>2</w:t>
            </w:r>
            <w:r>
              <w:rPr>
                <w:rFonts w:hint="eastAsia"/>
                <w:color w:val="auto"/>
                <w:sz w:val="24"/>
                <w:highlight w:val="none"/>
              </w:rPr>
              <w:t>、</w:t>
            </w:r>
            <w:r>
              <w:rPr>
                <w:color w:val="auto"/>
                <w:sz w:val="24"/>
                <w:highlight w:val="none"/>
              </w:rPr>
              <w:t>PM</w:t>
            </w:r>
            <w:r>
              <w:rPr>
                <w:color w:val="auto"/>
                <w:sz w:val="24"/>
                <w:highlight w:val="none"/>
                <w:vertAlign w:val="subscript"/>
              </w:rPr>
              <w:t>10</w:t>
            </w:r>
            <w:r>
              <w:rPr>
                <w:rFonts w:hint="eastAsia"/>
                <w:color w:val="auto"/>
                <w:sz w:val="24"/>
                <w:highlight w:val="none"/>
              </w:rPr>
              <w:t>、</w:t>
            </w:r>
            <w:r>
              <w:rPr>
                <w:color w:val="auto"/>
                <w:sz w:val="24"/>
                <w:highlight w:val="none"/>
              </w:rPr>
              <w:t>PM</w:t>
            </w:r>
            <w:r>
              <w:rPr>
                <w:color w:val="auto"/>
                <w:sz w:val="24"/>
                <w:highlight w:val="none"/>
                <w:vertAlign w:val="subscript"/>
              </w:rPr>
              <w:t>2.5</w:t>
            </w:r>
            <w:r>
              <w:rPr>
                <w:rFonts w:hint="eastAsia"/>
                <w:color w:val="auto"/>
                <w:sz w:val="24"/>
                <w:highlight w:val="none"/>
              </w:rPr>
              <w:t>年均浓度分别为</w:t>
            </w:r>
            <w:r>
              <w:rPr>
                <w:color w:val="auto"/>
                <w:sz w:val="24"/>
                <w:highlight w:val="none"/>
              </w:rPr>
              <w:t>8ug/m</w:t>
            </w:r>
            <w:r>
              <w:rPr>
                <w:color w:val="auto"/>
                <w:sz w:val="24"/>
                <w:highlight w:val="none"/>
                <w:vertAlign w:val="superscript"/>
              </w:rPr>
              <w:t>3</w:t>
            </w:r>
            <w:r>
              <w:rPr>
                <w:rFonts w:hint="eastAsia"/>
                <w:color w:val="auto"/>
                <w:sz w:val="24"/>
                <w:highlight w:val="none"/>
              </w:rPr>
              <w:t>、</w:t>
            </w:r>
            <w:r>
              <w:rPr>
                <w:color w:val="auto"/>
                <w:sz w:val="24"/>
                <w:highlight w:val="none"/>
              </w:rPr>
              <w:t>22ug/m</w:t>
            </w:r>
            <w:r>
              <w:rPr>
                <w:color w:val="auto"/>
                <w:sz w:val="24"/>
                <w:highlight w:val="none"/>
                <w:vertAlign w:val="superscript"/>
              </w:rPr>
              <w:t>3</w:t>
            </w:r>
            <w:r>
              <w:rPr>
                <w:rFonts w:hint="eastAsia"/>
                <w:color w:val="auto"/>
                <w:sz w:val="24"/>
                <w:highlight w:val="none"/>
              </w:rPr>
              <w:t>、</w:t>
            </w:r>
            <w:r>
              <w:rPr>
                <w:color w:val="auto"/>
                <w:sz w:val="24"/>
                <w:highlight w:val="none"/>
              </w:rPr>
              <w:t>47ug/m</w:t>
            </w:r>
            <w:r>
              <w:rPr>
                <w:color w:val="auto"/>
                <w:sz w:val="24"/>
                <w:highlight w:val="none"/>
                <w:vertAlign w:val="superscript"/>
              </w:rPr>
              <w:t>3</w:t>
            </w:r>
            <w:r>
              <w:rPr>
                <w:rFonts w:hint="eastAsia"/>
                <w:color w:val="auto"/>
                <w:sz w:val="24"/>
                <w:highlight w:val="none"/>
              </w:rPr>
              <w:t>、</w:t>
            </w:r>
            <w:r>
              <w:rPr>
                <w:color w:val="auto"/>
                <w:sz w:val="24"/>
                <w:highlight w:val="none"/>
              </w:rPr>
              <w:t>29ug/m</w:t>
            </w:r>
            <w:r>
              <w:rPr>
                <w:color w:val="auto"/>
                <w:sz w:val="24"/>
                <w:highlight w:val="none"/>
                <w:vertAlign w:val="superscript"/>
              </w:rPr>
              <w:t>3</w:t>
            </w:r>
            <w:r>
              <w:rPr>
                <w:rFonts w:hint="eastAsia"/>
                <w:color w:val="auto"/>
                <w:sz w:val="24"/>
                <w:highlight w:val="none"/>
              </w:rPr>
              <w:t>；</w:t>
            </w:r>
            <w:r>
              <w:rPr>
                <w:color w:val="auto"/>
                <w:sz w:val="24"/>
                <w:highlight w:val="none"/>
              </w:rPr>
              <w:t>CO 24</w:t>
            </w:r>
            <w:r>
              <w:rPr>
                <w:rFonts w:hint="eastAsia"/>
                <w:color w:val="auto"/>
                <w:sz w:val="24"/>
                <w:highlight w:val="none"/>
              </w:rPr>
              <w:t>小时平均第</w:t>
            </w:r>
            <w:r>
              <w:rPr>
                <w:color w:val="auto"/>
                <w:sz w:val="24"/>
                <w:highlight w:val="none"/>
              </w:rPr>
              <w:t>95</w:t>
            </w:r>
            <w:r>
              <w:rPr>
                <w:rFonts w:hint="eastAsia"/>
                <w:color w:val="auto"/>
                <w:sz w:val="24"/>
                <w:highlight w:val="none"/>
              </w:rPr>
              <w:t>百分位数为</w:t>
            </w:r>
            <w:r>
              <w:rPr>
                <w:color w:val="auto"/>
                <w:sz w:val="24"/>
                <w:highlight w:val="none"/>
              </w:rPr>
              <w:t>1.1mg/m</w:t>
            </w:r>
            <w:r>
              <w:rPr>
                <w:color w:val="auto"/>
                <w:sz w:val="24"/>
                <w:highlight w:val="none"/>
                <w:vertAlign w:val="superscript"/>
              </w:rPr>
              <w:t>3</w:t>
            </w:r>
            <w:r>
              <w:rPr>
                <w:rFonts w:hint="eastAsia"/>
                <w:color w:val="auto"/>
                <w:sz w:val="24"/>
                <w:highlight w:val="none"/>
              </w:rPr>
              <w:t>，</w:t>
            </w:r>
            <w:r>
              <w:rPr>
                <w:color w:val="auto"/>
                <w:sz w:val="24"/>
                <w:highlight w:val="none"/>
              </w:rPr>
              <w:t>O</w:t>
            </w:r>
            <w:r>
              <w:rPr>
                <w:color w:val="auto"/>
                <w:sz w:val="24"/>
                <w:highlight w:val="none"/>
                <w:vertAlign w:val="subscript"/>
              </w:rPr>
              <w:t>3</w:t>
            </w:r>
            <w:r>
              <w:rPr>
                <w:rFonts w:hint="eastAsia"/>
                <w:color w:val="auto"/>
                <w:sz w:val="24"/>
                <w:highlight w:val="none"/>
              </w:rPr>
              <w:t>日最大</w:t>
            </w:r>
            <w:r>
              <w:rPr>
                <w:color w:val="auto"/>
                <w:sz w:val="24"/>
                <w:highlight w:val="none"/>
              </w:rPr>
              <w:t>8</w:t>
            </w:r>
            <w:r>
              <w:rPr>
                <w:rFonts w:hint="eastAsia"/>
                <w:color w:val="auto"/>
                <w:sz w:val="24"/>
                <w:highlight w:val="none"/>
              </w:rPr>
              <w:t>小时平均第</w:t>
            </w:r>
            <w:r>
              <w:rPr>
                <w:color w:val="auto"/>
                <w:sz w:val="24"/>
                <w:highlight w:val="none"/>
              </w:rPr>
              <w:t>90</w:t>
            </w:r>
            <w:r>
              <w:rPr>
                <w:rFonts w:hint="eastAsia"/>
                <w:color w:val="auto"/>
                <w:sz w:val="24"/>
                <w:highlight w:val="none"/>
              </w:rPr>
              <w:t>百分位数为</w:t>
            </w:r>
            <w:r>
              <w:rPr>
                <w:color w:val="auto"/>
                <w:sz w:val="24"/>
                <w:highlight w:val="none"/>
              </w:rPr>
              <w:t>121ug/m</w:t>
            </w:r>
            <w:r>
              <w:rPr>
                <w:color w:val="auto"/>
                <w:sz w:val="24"/>
                <w:highlight w:val="none"/>
                <w:vertAlign w:val="superscript"/>
              </w:rPr>
              <w:t>3</w:t>
            </w:r>
            <w:r>
              <w:rPr>
                <w:rFonts w:hint="eastAsia"/>
                <w:color w:val="auto"/>
                <w:sz w:val="24"/>
                <w:highlight w:val="none"/>
              </w:rPr>
              <w:t>；各污染物平均浓度均优于《环境空气质量标准》（</w:t>
            </w:r>
            <w:r>
              <w:rPr>
                <w:color w:val="auto"/>
                <w:sz w:val="24"/>
                <w:highlight w:val="none"/>
              </w:rPr>
              <w:t>GB3095-2012</w:t>
            </w:r>
            <w:r>
              <w:rPr>
                <w:rFonts w:hint="eastAsia"/>
                <w:color w:val="auto"/>
                <w:sz w:val="24"/>
                <w:highlight w:val="none"/>
              </w:rPr>
              <w:t>）中二级标准限值。项目所在区域为环境空气达标区域。</w:t>
            </w:r>
          </w:p>
          <w:p>
            <w:pPr>
              <w:spacing w:line="360" w:lineRule="auto"/>
              <w:ind w:firstLine="482" w:firstLineChars="200"/>
              <w:contextualSpacing/>
              <w:rPr>
                <w:b/>
                <w:color w:val="auto"/>
                <w:sz w:val="24"/>
                <w:highlight w:val="none"/>
              </w:rPr>
            </w:pPr>
            <w:r>
              <w:rPr>
                <w:b/>
                <w:color w:val="auto"/>
                <w:sz w:val="24"/>
                <w:highlight w:val="none"/>
              </w:rPr>
              <w:t>2</w:t>
            </w:r>
            <w:r>
              <w:rPr>
                <w:rFonts w:hAnsi="宋体"/>
                <w:b/>
                <w:color w:val="auto"/>
                <w:sz w:val="24"/>
                <w:highlight w:val="none"/>
              </w:rPr>
              <w:t>、地表水环境质量</w:t>
            </w:r>
            <w:r>
              <w:rPr>
                <w:b/>
                <w:bCs/>
                <w:color w:val="auto"/>
                <w:sz w:val="24"/>
                <w:szCs w:val="28"/>
                <w:highlight w:val="none"/>
              </w:rPr>
              <w:t>现状</w:t>
            </w:r>
          </w:p>
          <w:p>
            <w:pPr>
              <w:autoSpaceDE w:val="0"/>
              <w:autoSpaceDN w:val="0"/>
              <w:spacing w:line="360" w:lineRule="auto"/>
              <w:ind w:firstLine="480" w:firstLineChars="200"/>
              <w:contextualSpacing/>
              <w:rPr>
                <w:bCs/>
                <w:iCs/>
                <w:color w:val="auto"/>
                <w:sz w:val="24"/>
                <w:highlight w:val="none"/>
              </w:rPr>
            </w:pPr>
            <w:r>
              <w:rPr>
                <w:rFonts w:hAnsi="宋体"/>
                <w:bCs/>
                <w:color w:val="auto"/>
                <w:sz w:val="24"/>
                <w:highlight w:val="none"/>
              </w:rPr>
              <w:t>项目所在</w:t>
            </w:r>
            <w:r>
              <w:rPr>
                <w:rFonts w:hint="eastAsia" w:hAnsi="宋体"/>
                <w:bCs/>
                <w:color w:val="auto"/>
                <w:sz w:val="24"/>
                <w:highlight w:val="none"/>
                <w:lang w:eastAsia="zh-CN"/>
              </w:rPr>
              <w:t>区域</w:t>
            </w:r>
            <w:r>
              <w:rPr>
                <w:rFonts w:hAnsi="宋体"/>
                <w:bCs/>
                <w:color w:val="auto"/>
                <w:sz w:val="24"/>
                <w:highlight w:val="none"/>
              </w:rPr>
              <w:t>地表水体是</w:t>
            </w:r>
            <w:r>
              <w:rPr>
                <w:rFonts w:hint="eastAsia" w:hAnsi="宋体"/>
                <w:bCs/>
                <w:color w:val="auto"/>
                <w:sz w:val="24"/>
                <w:highlight w:val="none"/>
              </w:rPr>
              <w:t>松花江</w:t>
            </w:r>
            <w:r>
              <w:rPr>
                <w:rFonts w:hint="eastAsia"/>
                <w:bCs/>
                <w:iCs/>
                <w:color w:val="auto"/>
                <w:sz w:val="24"/>
                <w:highlight w:val="none"/>
                <w:lang w:eastAsia="zh-CN"/>
              </w:rPr>
              <w:t>中和村</w:t>
            </w:r>
            <w:r>
              <w:rPr>
                <w:rFonts w:hint="eastAsia"/>
                <w:bCs/>
                <w:iCs/>
                <w:color w:val="auto"/>
                <w:sz w:val="24"/>
                <w:highlight w:val="none"/>
              </w:rPr>
              <w:t>监测断面和</w:t>
            </w:r>
            <w:r>
              <w:rPr>
                <w:rFonts w:hint="eastAsia"/>
                <w:bCs/>
                <w:iCs/>
                <w:color w:val="auto"/>
                <w:sz w:val="24"/>
                <w:highlight w:val="none"/>
                <w:lang w:eastAsia="zh-CN"/>
              </w:rPr>
              <w:t>福合村</w:t>
            </w:r>
            <w:r>
              <w:rPr>
                <w:rFonts w:hint="eastAsia"/>
                <w:bCs/>
                <w:iCs/>
                <w:color w:val="auto"/>
                <w:sz w:val="24"/>
                <w:highlight w:val="none"/>
              </w:rPr>
              <w:t>监测断面之间</w:t>
            </w:r>
            <w:r>
              <w:rPr>
                <w:rFonts w:hint="eastAsia" w:hAnsi="宋体"/>
                <w:bCs/>
                <w:color w:val="auto"/>
                <w:sz w:val="24"/>
                <w:highlight w:val="none"/>
              </w:rPr>
              <w:t>，</w:t>
            </w:r>
            <w:r>
              <w:rPr>
                <w:rFonts w:hint="eastAsia" w:hAnsi="宋体"/>
                <w:bCs/>
                <w:color w:val="auto"/>
                <w:sz w:val="24"/>
                <w:highlight w:val="none"/>
                <w:lang w:eastAsia="zh-CN"/>
              </w:rPr>
              <w:t>监测断面规划水体类别为</w:t>
            </w:r>
            <w:r>
              <w:rPr>
                <w:rFonts w:hint="eastAsia" w:ascii="宋体" w:hAnsi="宋体" w:eastAsia="宋体" w:cs="宋体"/>
                <w:bCs/>
                <w:color w:val="auto"/>
                <w:sz w:val="24"/>
                <w:highlight w:val="none"/>
                <w:lang w:eastAsia="zh-CN"/>
              </w:rPr>
              <w:t>Ⅲ</w:t>
            </w:r>
            <w:r>
              <w:rPr>
                <w:rFonts w:hint="eastAsia" w:hAnsi="宋体"/>
                <w:bCs/>
                <w:color w:val="auto"/>
                <w:sz w:val="24"/>
                <w:highlight w:val="none"/>
                <w:lang w:eastAsia="zh-CN"/>
              </w:rPr>
              <w:t>类水体，</w:t>
            </w:r>
            <w:r>
              <w:rPr>
                <w:rFonts w:hint="eastAsia" w:hAnsi="宋体"/>
                <w:bCs/>
                <w:color w:val="auto"/>
                <w:sz w:val="24"/>
                <w:highlight w:val="none"/>
              </w:rPr>
              <w:t>根据佳木斯市生态环境局发布的《佳木斯市环境质量简报》（</w:t>
            </w:r>
            <w:r>
              <w:rPr>
                <w:rFonts w:hAnsi="宋体"/>
                <w:bCs/>
                <w:color w:val="auto"/>
                <w:sz w:val="24"/>
                <w:highlight w:val="none"/>
              </w:rPr>
              <w:t>2018</w:t>
            </w:r>
            <w:r>
              <w:rPr>
                <w:rFonts w:hint="eastAsia" w:hAnsi="宋体"/>
                <w:bCs/>
                <w:color w:val="auto"/>
                <w:sz w:val="24"/>
                <w:highlight w:val="none"/>
              </w:rPr>
              <w:t>年），</w:t>
            </w:r>
            <w:r>
              <w:rPr>
                <w:rFonts w:hint="eastAsia" w:hAnsi="宋体"/>
                <w:bCs/>
                <w:color w:val="auto"/>
                <w:sz w:val="24"/>
                <w:highlight w:val="none"/>
                <w:lang w:eastAsia="zh-CN"/>
              </w:rPr>
              <w:t>松花江佳木斯段干流水质达到</w:t>
            </w:r>
            <w:r>
              <w:rPr>
                <w:rFonts w:hint="eastAsia" w:ascii="宋体" w:hAnsi="宋体" w:eastAsia="宋体" w:cs="宋体"/>
                <w:bCs/>
                <w:color w:val="auto"/>
                <w:sz w:val="24"/>
                <w:highlight w:val="none"/>
                <w:lang w:eastAsia="zh-CN"/>
              </w:rPr>
              <w:t>Ⅲ</w:t>
            </w:r>
            <w:r>
              <w:rPr>
                <w:rFonts w:hint="eastAsia" w:hAnsi="宋体"/>
                <w:bCs/>
                <w:color w:val="auto"/>
                <w:sz w:val="24"/>
                <w:highlight w:val="none"/>
                <w:lang w:eastAsia="zh-CN"/>
              </w:rPr>
              <w:t>类，</w:t>
            </w:r>
            <w:r>
              <w:rPr>
                <w:rFonts w:hint="eastAsia"/>
                <w:bCs/>
                <w:iCs/>
                <w:color w:val="auto"/>
                <w:sz w:val="24"/>
                <w:highlight w:val="none"/>
              </w:rPr>
              <w:t>区域水质能够满足</w:t>
            </w:r>
            <w:r>
              <w:rPr>
                <w:rFonts w:hint="eastAsia" w:ascii="宋体" w:hAnsi="宋体" w:eastAsia="宋体" w:cs="宋体"/>
                <w:bCs/>
                <w:iCs/>
                <w:color w:val="auto"/>
                <w:sz w:val="24"/>
                <w:highlight w:val="none"/>
              </w:rPr>
              <w:t>Ⅲ</w:t>
            </w:r>
            <w:r>
              <w:rPr>
                <w:rFonts w:hint="eastAsia"/>
                <w:bCs/>
                <w:iCs/>
                <w:color w:val="auto"/>
                <w:sz w:val="24"/>
                <w:highlight w:val="none"/>
              </w:rPr>
              <w:t>类水域标准要求，水质状况良好。</w:t>
            </w:r>
          </w:p>
          <w:p>
            <w:pPr>
              <w:adjustRightInd w:val="0"/>
              <w:spacing w:line="360" w:lineRule="auto"/>
              <w:ind w:firstLine="482" w:firstLineChars="200"/>
              <w:rPr>
                <w:b/>
                <w:bCs/>
                <w:color w:val="auto"/>
                <w:sz w:val="24"/>
                <w:szCs w:val="28"/>
                <w:highlight w:val="none"/>
              </w:rPr>
            </w:pPr>
            <w:r>
              <w:rPr>
                <w:b/>
                <w:bCs/>
                <w:color w:val="auto"/>
                <w:sz w:val="24"/>
                <w:szCs w:val="28"/>
                <w:highlight w:val="none"/>
              </w:rPr>
              <w:t>3、声环境质量现状</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（1）监测点布设</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本次评价在厂界外1m处布设</w:t>
            </w:r>
            <w:r>
              <w:rPr>
                <w:rFonts w:hint="default" w:ascii="Times New Roman" w:hAnsi="Times New Roman" w:cs="Times New Roman"/>
                <w:color w:val="auto"/>
                <w:sz w:val="24"/>
                <w:szCs w:val="24"/>
                <w:highlight w:val="none"/>
                <w:lang w:eastAsia="zh-CN"/>
              </w:rPr>
              <w:t>四</w:t>
            </w:r>
            <w:r>
              <w:rPr>
                <w:rFonts w:hint="default" w:ascii="Times New Roman" w:hAnsi="Times New Roman" w:cs="Times New Roman"/>
                <w:color w:val="auto"/>
                <w:sz w:val="24"/>
                <w:szCs w:val="24"/>
                <w:highlight w:val="none"/>
              </w:rPr>
              <w:t>个监测点</w:t>
            </w:r>
            <w:r>
              <w:rPr>
                <w:rFonts w:hint="default" w:ascii="Times New Roman" w:hAnsi="Times New Roman" w:cs="Times New Roman"/>
                <w:color w:val="auto"/>
                <w:sz w:val="24"/>
                <w:szCs w:val="24"/>
                <w:highlight w:val="none"/>
                <w:lang w:eastAsia="zh-CN"/>
              </w:rPr>
              <w:t>，在</w:t>
            </w:r>
            <w:r>
              <w:rPr>
                <w:rFonts w:hint="eastAsia" w:cs="Times New Roman"/>
                <w:color w:val="auto"/>
                <w:sz w:val="24"/>
                <w:szCs w:val="24"/>
                <w:highlight w:val="none"/>
                <w:lang w:eastAsia="zh-CN"/>
              </w:rPr>
              <w:t>北</w:t>
            </w:r>
            <w:r>
              <w:rPr>
                <w:rFonts w:hint="default" w:ascii="Times New Roman" w:hAnsi="Times New Roman" w:cs="Times New Roman"/>
                <w:color w:val="auto"/>
                <w:sz w:val="24"/>
                <w:szCs w:val="24"/>
                <w:highlight w:val="none"/>
                <w:lang w:eastAsia="zh-CN"/>
              </w:rPr>
              <w:t>侧</w:t>
            </w:r>
            <w:r>
              <w:rPr>
                <w:rFonts w:hint="eastAsia" w:ascii="Times New Roman" w:hAnsi="Times New Roman" w:cs="Times New Roman"/>
                <w:color w:val="auto"/>
                <w:sz w:val="24"/>
                <w:szCs w:val="24"/>
                <w:highlight w:val="none"/>
                <w:lang w:eastAsia="zh-CN"/>
              </w:rPr>
              <w:t>敏感点、</w:t>
            </w:r>
            <w:r>
              <w:rPr>
                <w:rFonts w:hint="eastAsia" w:cs="Times New Roman"/>
                <w:color w:val="auto"/>
                <w:sz w:val="24"/>
                <w:szCs w:val="24"/>
                <w:highlight w:val="none"/>
                <w:lang w:eastAsia="zh-CN"/>
              </w:rPr>
              <w:t>东侧敏感点、</w:t>
            </w:r>
            <w:r>
              <w:rPr>
                <w:rFonts w:hint="eastAsia" w:ascii="Times New Roman" w:hAnsi="Times New Roman" w:cs="Times New Roman"/>
                <w:color w:val="auto"/>
                <w:sz w:val="24"/>
                <w:szCs w:val="24"/>
                <w:highlight w:val="none"/>
                <w:lang w:eastAsia="zh-CN"/>
              </w:rPr>
              <w:t>西</w:t>
            </w:r>
            <w:r>
              <w:rPr>
                <w:rFonts w:hint="eastAsia" w:cs="Times New Roman"/>
                <w:color w:val="auto"/>
                <w:sz w:val="24"/>
                <w:szCs w:val="24"/>
                <w:highlight w:val="none"/>
                <w:lang w:eastAsia="zh-CN"/>
              </w:rPr>
              <w:t>南</w:t>
            </w:r>
            <w:r>
              <w:rPr>
                <w:rFonts w:hint="eastAsia" w:ascii="Times New Roman" w:hAnsi="Times New Roman" w:cs="Times New Roman"/>
                <w:color w:val="auto"/>
                <w:sz w:val="24"/>
                <w:szCs w:val="24"/>
                <w:highlight w:val="none"/>
                <w:lang w:eastAsia="zh-CN"/>
              </w:rPr>
              <w:t>侧敏感点及南侧敏感点各</w:t>
            </w:r>
            <w:r>
              <w:rPr>
                <w:rFonts w:hint="default" w:ascii="Times New Roman" w:hAnsi="Times New Roman" w:cs="Times New Roman"/>
                <w:color w:val="auto"/>
                <w:sz w:val="24"/>
                <w:szCs w:val="24"/>
                <w:highlight w:val="none"/>
              </w:rPr>
              <w:t>布设一个监测点，</w:t>
            </w:r>
            <w:r>
              <w:rPr>
                <w:rFonts w:hint="default" w:ascii="Times New Roman" w:hAnsi="Times New Roman" w:cs="Times New Roman"/>
                <w:color w:val="auto"/>
                <w:sz w:val="24"/>
                <w:szCs w:val="24"/>
                <w:highlight w:val="none"/>
                <w:lang w:eastAsia="zh-CN"/>
              </w:rPr>
              <w:t>共布设</w:t>
            </w:r>
            <w:r>
              <w:rPr>
                <w:rFonts w:hint="eastAsia" w:cs="Times New Roman"/>
                <w:color w:val="auto"/>
                <w:sz w:val="24"/>
                <w:szCs w:val="24"/>
                <w:highlight w:val="none"/>
                <w:lang w:eastAsia="zh-CN"/>
              </w:rPr>
              <w:t>八</w:t>
            </w:r>
            <w:r>
              <w:rPr>
                <w:rFonts w:hint="default" w:ascii="Times New Roman" w:hAnsi="Times New Roman" w:cs="Times New Roman"/>
                <w:color w:val="auto"/>
                <w:sz w:val="24"/>
                <w:szCs w:val="24"/>
                <w:highlight w:val="none"/>
                <w:lang w:eastAsia="zh-CN"/>
              </w:rPr>
              <w:t>个监测点。</w:t>
            </w:r>
            <w:r>
              <w:rPr>
                <w:rFonts w:hint="default" w:ascii="Times New Roman" w:hAnsi="Times New Roman" w:cs="Times New Roman"/>
                <w:color w:val="auto"/>
                <w:sz w:val="24"/>
                <w:szCs w:val="24"/>
                <w:highlight w:val="none"/>
              </w:rPr>
              <w:t>详见图3-</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w:t>
            </w:r>
          </w:p>
          <w:p>
            <w:pPr>
              <w:pStyle w:val="35"/>
              <w:rPr>
                <w:rFonts w:hint="default"/>
                <w:color w:val="auto"/>
                <w:highlight w:val="none"/>
              </w:rPr>
            </w:pPr>
          </w:p>
          <w:p>
            <w:pPr>
              <w:spacing w:line="360" w:lineRule="auto"/>
              <w:ind w:firstLine="480" w:firstLineChars="200"/>
              <w:jc w:val="center"/>
              <w:rPr>
                <w:rFonts w:hint="default" w:ascii="Times New Roman" w:hAnsi="Times New Roman" w:eastAsia="宋体" w:cs="Times New Roman"/>
                <w:color w:val="auto"/>
                <w:sz w:val="24"/>
                <w:szCs w:val="24"/>
                <w:highlight w:val="none"/>
                <w:lang w:eastAsia="zh-CN"/>
              </w:rPr>
            </w:pPr>
            <w:r>
              <w:rPr>
                <w:rFonts w:hint="default" w:ascii="Times New Roman" w:hAnsi="Times New Roman" w:eastAsia="宋体" w:cs="Times New Roman"/>
                <w:color w:val="auto"/>
                <w:sz w:val="24"/>
                <w:szCs w:val="24"/>
                <w:highlight w:val="none"/>
                <w:lang w:eastAsia="zh-CN"/>
              </w:rPr>
              <w:drawing>
                <wp:inline distT="0" distB="0" distL="114300" distR="114300">
                  <wp:extent cx="4661535" cy="2676525"/>
                  <wp:effectExtent l="0" t="0" r="5715" b="9525"/>
                  <wp:docPr id="15" name="图片 15" descr="1579141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1579141205(1)"/>
                          <pic:cNvPicPr>
                            <a:picLocks noChangeAspect="1"/>
                          </pic:cNvPicPr>
                        </pic:nvPicPr>
                        <pic:blipFill>
                          <a:blip r:embed="rId14"/>
                          <a:stretch>
                            <a:fillRect/>
                          </a:stretch>
                        </pic:blipFill>
                        <pic:spPr>
                          <a:xfrm>
                            <a:off x="0" y="0"/>
                            <a:ext cx="4661535" cy="2676525"/>
                          </a:xfrm>
                          <a:prstGeom prst="rect">
                            <a:avLst/>
                          </a:prstGeom>
                        </pic:spPr>
                      </pic:pic>
                    </a:graphicData>
                  </a:graphic>
                </wp:inline>
              </w:drawing>
            </w:r>
          </w:p>
          <w:p>
            <w:pPr>
              <w:spacing w:line="360" w:lineRule="auto"/>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图3-</w:t>
            </w:r>
            <w:r>
              <w:rPr>
                <w:rFonts w:hint="eastAsia" w:cs="Times New Roman"/>
                <w:b/>
                <w:color w:val="auto"/>
                <w:sz w:val="24"/>
                <w:szCs w:val="24"/>
                <w:highlight w:val="none"/>
                <w:lang w:val="en-US" w:eastAsia="zh-CN"/>
              </w:rPr>
              <w:t>1</w:t>
            </w:r>
            <w:r>
              <w:rPr>
                <w:rFonts w:hint="default" w:ascii="Times New Roman" w:hAnsi="Times New Roman" w:cs="Times New Roman"/>
                <w:b/>
                <w:color w:val="auto"/>
                <w:sz w:val="24"/>
                <w:szCs w:val="24"/>
                <w:highlight w:val="none"/>
              </w:rPr>
              <w:t xml:space="preserve">  声环境质量监测点位</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（2）监测方法</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环境噪声按照《声环境质量标准》（GB3096-2008）中的有关规定执行。</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（3）监测单位及时间</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由黑龙江开源检测技术有限公司于2019年</w:t>
            </w:r>
            <w:r>
              <w:rPr>
                <w:rFonts w:hint="eastAsia" w:ascii="Times New Roman" w:hAnsi="Times New Roman" w:cs="Times New Roman"/>
                <w:color w:val="auto"/>
                <w:sz w:val="24"/>
                <w:szCs w:val="24"/>
                <w:highlight w:val="none"/>
                <w:lang w:val="en-US" w:eastAsia="zh-CN"/>
              </w:rPr>
              <w:t>1</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rPr>
              <w:t>月</w:t>
            </w:r>
            <w:r>
              <w:rPr>
                <w:rFonts w:hint="eastAsia" w:cs="Times New Roman"/>
                <w:color w:val="auto"/>
                <w:sz w:val="24"/>
                <w:szCs w:val="24"/>
                <w:highlight w:val="none"/>
                <w:lang w:val="en-US" w:eastAsia="zh-CN"/>
              </w:rPr>
              <w:t>31</w:t>
            </w:r>
            <w:r>
              <w:rPr>
                <w:rFonts w:hint="default" w:ascii="Times New Roman" w:hAnsi="Times New Roman" w:cs="Times New Roman"/>
                <w:color w:val="auto"/>
                <w:sz w:val="24"/>
                <w:szCs w:val="24"/>
                <w:highlight w:val="none"/>
              </w:rPr>
              <w:t>日~</w:t>
            </w:r>
            <w:r>
              <w:rPr>
                <w:rFonts w:hint="eastAsia" w:cs="Times New Roman"/>
                <w:color w:val="auto"/>
                <w:sz w:val="24"/>
                <w:szCs w:val="24"/>
                <w:highlight w:val="none"/>
                <w:lang w:val="en-US" w:eastAsia="zh-CN"/>
              </w:rPr>
              <w:t>2020年1月1</w:t>
            </w:r>
            <w:r>
              <w:rPr>
                <w:rFonts w:hint="default" w:ascii="Times New Roman" w:hAnsi="Times New Roman" w:cs="Times New Roman"/>
                <w:color w:val="auto"/>
                <w:sz w:val="24"/>
                <w:szCs w:val="24"/>
                <w:highlight w:val="none"/>
              </w:rPr>
              <w:t>日，连续监测两天，每天昼夜各测一次。</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（4）监测结果</w:t>
            </w:r>
          </w:p>
          <w:p>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环境噪声监测结果见表3-</w:t>
            </w:r>
            <w:r>
              <w:rPr>
                <w:rFonts w:hint="eastAsia"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w:t>
            </w:r>
          </w:p>
          <w:p>
            <w:pPr>
              <w:jc w:val="center"/>
              <w:rPr>
                <w:rFonts w:hint="default" w:ascii="Times New Roman" w:hAnsi="Times New Roman" w:cs="Times New Roman"/>
                <w:b/>
                <w:color w:val="auto"/>
                <w:sz w:val="24"/>
                <w:szCs w:val="24"/>
                <w:highlight w:val="none"/>
              </w:rPr>
            </w:pPr>
            <w:r>
              <w:rPr>
                <w:rFonts w:hint="default" w:ascii="Times New Roman" w:hAnsi="Times New Roman" w:cs="Times New Roman"/>
                <w:b/>
                <w:color w:val="auto"/>
                <w:sz w:val="24"/>
                <w:szCs w:val="24"/>
                <w:highlight w:val="none"/>
              </w:rPr>
              <w:t>表3-</w:t>
            </w:r>
            <w:r>
              <w:rPr>
                <w:rFonts w:hint="eastAsia" w:cs="Times New Roman"/>
                <w:b/>
                <w:color w:val="auto"/>
                <w:sz w:val="24"/>
                <w:szCs w:val="24"/>
                <w:highlight w:val="none"/>
                <w:lang w:val="en-US" w:eastAsia="zh-CN"/>
              </w:rPr>
              <w:t>1</w:t>
            </w:r>
            <w:r>
              <w:rPr>
                <w:rFonts w:hint="default" w:ascii="Times New Roman" w:hAnsi="Times New Roman" w:cs="Times New Roman"/>
                <w:b/>
                <w:color w:val="auto"/>
                <w:sz w:val="24"/>
                <w:szCs w:val="24"/>
                <w:highlight w:val="none"/>
              </w:rPr>
              <w:t xml:space="preserve"> 项目所在地声环境现状监测结果  单位：dB(A)</w:t>
            </w:r>
          </w:p>
          <w:tbl>
            <w:tblPr>
              <w:tblStyle w:val="3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76"/>
              <w:gridCol w:w="943"/>
              <w:gridCol w:w="1061"/>
              <w:gridCol w:w="1028"/>
              <w:gridCol w:w="1008"/>
              <w:gridCol w:w="741"/>
              <w:gridCol w:w="144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76" w:type="dxa"/>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位置</w:t>
                  </w:r>
                </w:p>
              </w:tc>
              <w:tc>
                <w:tcPr>
                  <w:tcW w:w="2004" w:type="dxa"/>
                  <w:gridSpan w:val="2"/>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12</w:t>
                  </w:r>
                  <w:r>
                    <w:rPr>
                      <w:rFonts w:hint="default" w:ascii="Times New Roman" w:hAnsi="Times New Roman" w:cs="Times New Roman"/>
                      <w:color w:val="auto"/>
                      <w:sz w:val="21"/>
                      <w:szCs w:val="21"/>
                      <w:highlight w:val="none"/>
                    </w:rPr>
                    <w:t>月</w:t>
                  </w:r>
                  <w:r>
                    <w:rPr>
                      <w:rFonts w:hint="eastAsia" w:cs="Times New Roman"/>
                      <w:color w:val="auto"/>
                      <w:sz w:val="21"/>
                      <w:szCs w:val="21"/>
                      <w:highlight w:val="none"/>
                      <w:lang w:val="en-US" w:eastAsia="zh-CN"/>
                    </w:rPr>
                    <w:t>31</w:t>
                  </w:r>
                  <w:r>
                    <w:rPr>
                      <w:rFonts w:hint="default" w:ascii="Times New Roman" w:hAnsi="Times New Roman" w:cs="Times New Roman"/>
                      <w:color w:val="auto"/>
                      <w:sz w:val="21"/>
                      <w:szCs w:val="21"/>
                      <w:highlight w:val="none"/>
                    </w:rPr>
                    <w:t>日</w:t>
                  </w:r>
                </w:p>
              </w:tc>
              <w:tc>
                <w:tcPr>
                  <w:tcW w:w="2036" w:type="dxa"/>
                  <w:gridSpan w:val="2"/>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月</w:t>
                  </w:r>
                  <w:r>
                    <w:rPr>
                      <w:rFonts w:hint="eastAsia" w:cs="Times New Roman"/>
                      <w:color w:val="auto"/>
                      <w:sz w:val="21"/>
                      <w:szCs w:val="21"/>
                      <w:highlight w:val="none"/>
                      <w:lang w:val="en-US" w:eastAsia="zh-CN"/>
                    </w:rPr>
                    <w:t>1</w:t>
                  </w:r>
                  <w:r>
                    <w:rPr>
                      <w:rFonts w:hint="default" w:ascii="Times New Roman" w:hAnsi="Times New Roman" w:cs="Times New Roman"/>
                      <w:color w:val="auto"/>
                      <w:sz w:val="21"/>
                      <w:szCs w:val="21"/>
                      <w:highlight w:val="none"/>
                    </w:rPr>
                    <w:t>日</w:t>
                  </w:r>
                </w:p>
              </w:tc>
              <w:tc>
                <w:tcPr>
                  <w:tcW w:w="741" w:type="dxa"/>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情况</w:t>
                  </w:r>
                </w:p>
              </w:tc>
              <w:tc>
                <w:tcPr>
                  <w:tcW w:w="1448" w:type="dxa"/>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jc w:val="center"/>
              </w:trPr>
              <w:tc>
                <w:tcPr>
                  <w:tcW w:w="2276" w:type="dxa"/>
                  <w:vMerge w:val="continue"/>
                  <w:tcBorders>
                    <w:tl2br w:val="nil"/>
                    <w:tr2bl w:val="nil"/>
                  </w:tcBorders>
                  <w:noWrap w:val="0"/>
                  <w:vAlign w:val="center"/>
                </w:tcPr>
                <w:p>
                  <w:pPr>
                    <w:widowControl/>
                    <w:jc w:val="left"/>
                    <w:rPr>
                      <w:rFonts w:hint="default" w:ascii="Times New Roman" w:hAnsi="Times New Roman" w:cs="Times New Roman"/>
                      <w:color w:val="auto"/>
                      <w:sz w:val="21"/>
                      <w:szCs w:val="21"/>
                      <w:highlight w:val="none"/>
                    </w:rPr>
                  </w:pPr>
                </w:p>
              </w:tc>
              <w:tc>
                <w:tcPr>
                  <w:tcW w:w="943"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1061"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c>
                <w:tcPr>
                  <w:tcW w:w="1028"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w:t>
                  </w:r>
                </w:p>
              </w:tc>
              <w:tc>
                <w:tcPr>
                  <w:tcW w:w="1008"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w:t>
                  </w:r>
                </w:p>
              </w:tc>
              <w:tc>
                <w:tcPr>
                  <w:tcW w:w="741" w:type="dxa"/>
                  <w:vMerge w:val="continue"/>
                  <w:tcBorders>
                    <w:tl2br w:val="nil"/>
                    <w:tr2bl w:val="nil"/>
                  </w:tcBorders>
                  <w:noWrap w:val="0"/>
                  <w:vAlign w:val="center"/>
                </w:tcPr>
                <w:p>
                  <w:pPr>
                    <w:widowControl/>
                    <w:jc w:val="left"/>
                    <w:rPr>
                      <w:rFonts w:hint="default" w:ascii="Times New Roman" w:hAnsi="Times New Roman" w:cs="Times New Roman"/>
                      <w:color w:val="auto"/>
                      <w:sz w:val="21"/>
                      <w:szCs w:val="21"/>
                      <w:highlight w:val="none"/>
                    </w:rPr>
                  </w:pPr>
                </w:p>
              </w:tc>
              <w:tc>
                <w:tcPr>
                  <w:tcW w:w="1448" w:type="dxa"/>
                  <w:vMerge w:val="continue"/>
                  <w:tcBorders>
                    <w:tl2br w:val="nil"/>
                    <w:tr2bl w:val="nil"/>
                  </w:tcBorders>
                  <w:noWrap w:val="0"/>
                  <w:vAlign w:val="center"/>
                </w:tcPr>
                <w:p>
                  <w:pPr>
                    <w:widowControl/>
                    <w:jc w:val="left"/>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22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Cs w:val="0"/>
                      <w:color w:val="auto"/>
                      <w:sz w:val="21"/>
                      <w:szCs w:val="21"/>
                      <w:highlight w:val="none"/>
                    </w:rPr>
                    <w:t>1</w:t>
                  </w:r>
                  <w:r>
                    <w:rPr>
                      <w:rFonts w:hint="default" w:ascii="Times New Roman" w:hAnsi="Times New Roman" w:cs="Times New Roman"/>
                      <w:bCs w:val="0"/>
                      <w:color w:val="auto"/>
                      <w:sz w:val="21"/>
                      <w:szCs w:val="21"/>
                      <w:highlight w:val="none"/>
                      <w:lang w:val="en-US" w:eastAsia="zh-CN"/>
                    </w:rPr>
                    <w:t>#厂界东侧</w:t>
                  </w:r>
                </w:p>
              </w:tc>
              <w:tc>
                <w:tcPr>
                  <w:tcW w:w="9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6</w:t>
                  </w:r>
                </w:p>
              </w:tc>
              <w:tc>
                <w:tcPr>
                  <w:tcW w:w="106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4</w:t>
                  </w:r>
                </w:p>
              </w:tc>
              <w:tc>
                <w:tcPr>
                  <w:tcW w:w="102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6</w:t>
                  </w:r>
                </w:p>
              </w:tc>
              <w:tc>
                <w:tcPr>
                  <w:tcW w:w="100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3</w:t>
                  </w:r>
                </w:p>
              </w:tc>
              <w:tc>
                <w:tcPr>
                  <w:tcW w:w="741"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1448" w:type="dxa"/>
                  <w:vMerge w:val="restart"/>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昼间≤60</w:t>
                  </w:r>
                </w:p>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夜间≤50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22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Cs w:val="0"/>
                      <w:color w:val="auto"/>
                      <w:sz w:val="21"/>
                      <w:szCs w:val="21"/>
                      <w:highlight w:val="none"/>
                    </w:rPr>
                    <w:t>2</w:t>
                  </w:r>
                  <w:r>
                    <w:rPr>
                      <w:rFonts w:hint="default" w:ascii="Times New Roman" w:hAnsi="Times New Roman" w:cs="Times New Roman"/>
                      <w:bCs w:val="0"/>
                      <w:color w:val="auto"/>
                      <w:sz w:val="21"/>
                      <w:szCs w:val="21"/>
                      <w:highlight w:val="none"/>
                      <w:lang w:val="en-US" w:eastAsia="zh-CN"/>
                    </w:rPr>
                    <w:t>#厂界南侧</w:t>
                  </w:r>
                </w:p>
              </w:tc>
              <w:tc>
                <w:tcPr>
                  <w:tcW w:w="9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6</w:t>
                  </w:r>
                </w:p>
              </w:tc>
              <w:tc>
                <w:tcPr>
                  <w:tcW w:w="106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4</w:t>
                  </w:r>
                </w:p>
              </w:tc>
              <w:tc>
                <w:tcPr>
                  <w:tcW w:w="102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4</w:t>
                  </w:r>
                </w:p>
              </w:tc>
              <w:tc>
                <w:tcPr>
                  <w:tcW w:w="100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5</w:t>
                  </w:r>
                </w:p>
              </w:tc>
              <w:tc>
                <w:tcPr>
                  <w:tcW w:w="741"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1448" w:type="dxa"/>
                  <w:vMerge w:val="continue"/>
                  <w:tcBorders>
                    <w:tl2br w:val="nil"/>
                    <w:tr2bl w:val="nil"/>
                  </w:tcBorders>
                  <w:noWrap w:val="0"/>
                  <w:vAlign w:val="center"/>
                </w:tcPr>
                <w:p>
                  <w:pPr>
                    <w:widowControl/>
                    <w:jc w:val="left"/>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22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Cs w:val="0"/>
                      <w:color w:val="auto"/>
                      <w:sz w:val="21"/>
                      <w:szCs w:val="21"/>
                      <w:highlight w:val="none"/>
                    </w:rPr>
                    <w:t>3</w:t>
                  </w:r>
                  <w:r>
                    <w:rPr>
                      <w:rFonts w:hint="default" w:ascii="Times New Roman" w:hAnsi="Times New Roman" w:cs="Times New Roman"/>
                      <w:bCs w:val="0"/>
                      <w:color w:val="auto"/>
                      <w:sz w:val="21"/>
                      <w:szCs w:val="21"/>
                      <w:highlight w:val="none"/>
                      <w:lang w:val="en-US" w:eastAsia="zh-CN"/>
                    </w:rPr>
                    <w:t>#厂界西侧</w:t>
                  </w:r>
                </w:p>
              </w:tc>
              <w:tc>
                <w:tcPr>
                  <w:tcW w:w="9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4</w:t>
                  </w:r>
                </w:p>
              </w:tc>
              <w:tc>
                <w:tcPr>
                  <w:tcW w:w="106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5</w:t>
                  </w:r>
                </w:p>
              </w:tc>
              <w:tc>
                <w:tcPr>
                  <w:tcW w:w="102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3</w:t>
                  </w:r>
                </w:p>
              </w:tc>
              <w:tc>
                <w:tcPr>
                  <w:tcW w:w="100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4</w:t>
                  </w:r>
                </w:p>
              </w:tc>
              <w:tc>
                <w:tcPr>
                  <w:tcW w:w="741"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1448" w:type="dxa"/>
                  <w:vMerge w:val="continue"/>
                  <w:tcBorders>
                    <w:tl2br w:val="nil"/>
                    <w:tr2bl w:val="nil"/>
                  </w:tcBorders>
                  <w:noWrap w:val="0"/>
                  <w:vAlign w:val="center"/>
                </w:tcPr>
                <w:p>
                  <w:pPr>
                    <w:widowControl/>
                    <w:jc w:val="left"/>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2" w:hRule="atLeast"/>
                <w:jc w:val="center"/>
              </w:trPr>
              <w:tc>
                <w:tcPr>
                  <w:tcW w:w="22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Cs w:val="0"/>
                      <w:color w:val="auto"/>
                      <w:sz w:val="21"/>
                      <w:szCs w:val="21"/>
                      <w:highlight w:val="none"/>
                    </w:rPr>
                    <w:t>4</w:t>
                  </w:r>
                  <w:r>
                    <w:rPr>
                      <w:rFonts w:hint="default" w:ascii="Times New Roman" w:hAnsi="Times New Roman" w:cs="Times New Roman"/>
                      <w:bCs w:val="0"/>
                      <w:color w:val="auto"/>
                      <w:sz w:val="21"/>
                      <w:szCs w:val="21"/>
                      <w:highlight w:val="none"/>
                      <w:lang w:val="en-US" w:eastAsia="zh-CN"/>
                    </w:rPr>
                    <w:t>#厂界北侧</w:t>
                  </w:r>
                </w:p>
              </w:tc>
              <w:tc>
                <w:tcPr>
                  <w:tcW w:w="9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5</w:t>
                  </w:r>
                </w:p>
              </w:tc>
              <w:tc>
                <w:tcPr>
                  <w:tcW w:w="106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5</w:t>
                  </w:r>
                </w:p>
              </w:tc>
              <w:tc>
                <w:tcPr>
                  <w:tcW w:w="102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5</w:t>
                  </w:r>
                </w:p>
              </w:tc>
              <w:tc>
                <w:tcPr>
                  <w:tcW w:w="100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44</w:t>
                  </w:r>
                </w:p>
              </w:tc>
              <w:tc>
                <w:tcPr>
                  <w:tcW w:w="741" w:type="dxa"/>
                  <w:tcBorders>
                    <w:tl2br w:val="nil"/>
                    <w:tr2bl w:val="nil"/>
                  </w:tcBorders>
                  <w:noWrap w:val="0"/>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达标</w:t>
                  </w:r>
                </w:p>
              </w:tc>
              <w:tc>
                <w:tcPr>
                  <w:tcW w:w="1448" w:type="dxa"/>
                  <w:vMerge w:val="continue"/>
                  <w:tcBorders>
                    <w:tl2br w:val="nil"/>
                    <w:tr2bl w:val="nil"/>
                  </w:tcBorders>
                  <w:noWrap w:val="0"/>
                  <w:vAlign w:val="center"/>
                </w:tcPr>
                <w:p>
                  <w:pPr>
                    <w:widowControl/>
                    <w:jc w:val="left"/>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Cs w:val="0"/>
                      <w:color w:val="auto"/>
                      <w:sz w:val="21"/>
                      <w:szCs w:val="21"/>
                      <w:highlight w:val="none"/>
                      <w:lang w:val="en-US" w:eastAsia="zh-CN"/>
                    </w:rPr>
                    <w:t>5#</w:t>
                  </w:r>
                  <w:r>
                    <w:rPr>
                      <w:rFonts w:hint="eastAsia" w:cs="Times New Roman"/>
                      <w:bCs w:val="0"/>
                      <w:color w:val="auto"/>
                      <w:sz w:val="21"/>
                      <w:szCs w:val="21"/>
                      <w:highlight w:val="none"/>
                      <w:lang w:val="en-US" w:eastAsia="zh-CN"/>
                    </w:rPr>
                    <w:t>北</w:t>
                  </w:r>
                  <w:r>
                    <w:rPr>
                      <w:rFonts w:hint="eastAsia" w:ascii="Times New Roman" w:hAnsi="Times New Roman" w:cs="Times New Roman"/>
                      <w:bCs w:val="0"/>
                      <w:color w:val="auto"/>
                      <w:sz w:val="21"/>
                      <w:szCs w:val="21"/>
                      <w:highlight w:val="none"/>
                      <w:lang w:val="en-US" w:eastAsia="zh-CN"/>
                    </w:rPr>
                    <w:t>侧敏感点</w:t>
                  </w:r>
                </w:p>
              </w:tc>
              <w:tc>
                <w:tcPr>
                  <w:tcW w:w="9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3</w:t>
                  </w:r>
                </w:p>
              </w:tc>
              <w:tc>
                <w:tcPr>
                  <w:tcW w:w="106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rPr>
                  </w:pPr>
                  <w:r>
                    <w:rPr>
                      <w:rFonts w:hint="default"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5</w:t>
                  </w:r>
                </w:p>
              </w:tc>
              <w:tc>
                <w:tcPr>
                  <w:tcW w:w="102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rPr>
                  </w:pPr>
                  <w:r>
                    <w:rPr>
                      <w:rFonts w:hint="eastAsia"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4</w:t>
                  </w:r>
                </w:p>
              </w:tc>
              <w:tc>
                <w:tcPr>
                  <w:tcW w:w="100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4</w:t>
                  </w:r>
                </w:p>
              </w:tc>
              <w:tc>
                <w:tcPr>
                  <w:tcW w:w="741" w:type="dxa"/>
                  <w:tcBorders>
                    <w:tl2br w:val="nil"/>
                    <w:tr2bl w:val="nil"/>
                  </w:tcBorders>
                  <w:noWrap w:val="0"/>
                  <w:vAlign w:val="center"/>
                </w:tcPr>
                <w:p>
                  <w:pPr>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达标</w:t>
                  </w:r>
                </w:p>
              </w:tc>
              <w:tc>
                <w:tcPr>
                  <w:tcW w:w="1448" w:type="dxa"/>
                  <w:vMerge w:val="continue"/>
                  <w:tcBorders>
                    <w:tl2br w:val="nil"/>
                    <w:tr2bl w:val="nil"/>
                  </w:tcBorders>
                  <w:noWrap w:val="0"/>
                  <w:vAlign w:val="center"/>
                </w:tcPr>
                <w:p>
                  <w:pPr>
                    <w:widowControl/>
                    <w:jc w:val="left"/>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cs="Times New Roman"/>
                      <w:bCs w:val="0"/>
                      <w:color w:val="auto"/>
                      <w:sz w:val="21"/>
                      <w:szCs w:val="21"/>
                      <w:highlight w:val="none"/>
                      <w:lang w:val="en-US" w:eastAsia="zh-CN"/>
                    </w:rPr>
                  </w:pPr>
                  <w:r>
                    <w:rPr>
                      <w:rFonts w:hint="eastAsia" w:ascii="Times New Roman" w:hAnsi="Times New Roman" w:cs="Times New Roman"/>
                      <w:bCs w:val="0"/>
                      <w:color w:val="auto"/>
                      <w:sz w:val="21"/>
                      <w:szCs w:val="21"/>
                      <w:highlight w:val="none"/>
                      <w:lang w:val="en-US" w:eastAsia="zh-CN"/>
                    </w:rPr>
                    <w:t>6</w:t>
                  </w:r>
                  <w:r>
                    <w:rPr>
                      <w:rFonts w:hint="default" w:ascii="Times New Roman" w:hAnsi="Times New Roman" w:cs="Times New Roman"/>
                      <w:bCs w:val="0"/>
                      <w:color w:val="auto"/>
                      <w:sz w:val="21"/>
                      <w:szCs w:val="21"/>
                      <w:highlight w:val="none"/>
                      <w:lang w:val="en-US" w:eastAsia="zh-CN"/>
                    </w:rPr>
                    <w:t>#</w:t>
                  </w:r>
                  <w:r>
                    <w:rPr>
                      <w:rFonts w:hint="eastAsia" w:cs="Times New Roman"/>
                      <w:bCs w:val="0"/>
                      <w:color w:val="auto"/>
                      <w:sz w:val="21"/>
                      <w:szCs w:val="21"/>
                      <w:highlight w:val="none"/>
                      <w:lang w:val="en-US" w:eastAsia="zh-CN"/>
                    </w:rPr>
                    <w:t>东</w:t>
                  </w:r>
                  <w:r>
                    <w:rPr>
                      <w:rFonts w:hint="eastAsia" w:ascii="Times New Roman" w:hAnsi="Times New Roman" w:cs="Times New Roman"/>
                      <w:bCs w:val="0"/>
                      <w:color w:val="auto"/>
                      <w:sz w:val="21"/>
                      <w:szCs w:val="21"/>
                      <w:highlight w:val="none"/>
                      <w:lang w:val="en-US" w:eastAsia="zh-CN"/>
                    </w:rPr>
                    <w:t>侧敏感点</w:t>
                  </w:r>
                </w:p>
              </w:tc>
              <w:tc>
                <w:tcPr>
                  <w:tcW w:w="9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52</w:t>
                  </w:r>
                </w:p>
              </w:tc>
              <w:tc>
                <w:tcPr>
                  <w:tcW w:w="106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1</w:t>
                  </w:r>
                </w:p>
              </w:tc>
              <w:tc>
                <w:tcPr>
                  <w:tcW w:w="102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53</w:t>
                  </w:r>
                </w:p>
              </w:tc>
              <w:tc>
                <w:tcPr>
                  <w:tcW w:w="100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2</w:t>
                  </w:r>
                </w:p>
              </w:tc>
              <w:tc>
                <w:tcPr>
                  <w:tcW w:w="741"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达标</w:t>
                  </w:r>
                </w:p>
              </w:tc>
              <w:tc>
                <w:tcPr>
                  <w:tcW w:w="1448" w:type="dxa"/>
                  <w:vMerge w:val="continue"/>
                  <w:tcBorders>
                    <w:tl2br w:val="nil"/>
                    <w:tr2bl w:val="nil"/>
                  </w:tcBorders>
                  <w:noWrap w:val="0"/>
                  <w:vAlign w:val="center"/>
                </w:tcPr>
                <w:p>
                  <w:pPr>
                    <w:widowControl/>
                    <w:jc w:val="left"/>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cs="Times New Roman"/>
                      <w:bCs w:val="0"/>
                      <w:color w:val="auto"/>
                      <w:sz w:val="21"/>
                      <w:szCs w:val="21"/>
                      <w:highlight w:val="none"/>
                      <w:lang w:val="en-US" w:eastAsia="zh-CN"/>
                    </w:rPr>
                  </w:pPr>
                  <w:r>
                    <w:rPr>
                      <w:rFonts w:hint="eastAsia" w:ascii="Times New Roman" w:hAnsi="Times New Roman" w:cs="Times New Roman"/>
                      <w:bCs w:val="0"/>
                      <w:color w:val="auto"/>
                      <w:sz w:val="21"/>
                      <w:szCs w:val="21"/>
                      <w:highlight w:val="none"/>
                      <w:lang w:val="en-US" w:eastAsia="zh-CN"/>
                    </w:rPr>
                    <w:t>7</w:t>
                  </w:r>
                  <w:r>
                    <w:rPr>
                      <w:rFonts w:hint="default" w:ascii="Times New Roman" w:hAnsi="Times New Roman" w:cs="Times New Roman"/>
                      <w:bCs w:val="0"/>
                      <w:color w:val="auto"/>
                      <w:sz w:val="21"/>
                      <w:szCs w:val="21"/>
                      <w:highlight w:val="none"/>
                      <w:lang w:val="en-US" w:eastAsia="zh-CN"/>
                    </w:rPr>
                    <w:t>#</w:t>
                  </w:r>
                  <w:r>
                    <w:rPr>
                      <w:rFonts w:hint="eastAsia" w:ascii="Times New Roman" w:hAnsi="Times New Roman" w:cs="Times New Roman"/>
                      <w:bCs w:val="0"/>
                      <w:color w:val="auto"/>
                      <w:sz w:val="21"/>
                      <w:szCs w:val="21"/>
                      <w:highlight w:val="none"/>
                      <w:lang w:val="en-US" w:eastAsia="zh-CN"/>
                    </w:rPr>
                    <w:t>南侧敏感点</w:t>
                  </w:r>
                </w:p>
              </w:tc>
              <w:tc>
                <w:tcPr>
                  <w:tcW w:w="9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7</w:t>
                  </w:r>
                </w:p>
              </w:tc>
              <w:tc>
                <w:tcPr>
                  <w:tcW w:w="106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43</w:t>
                  </w:r>
                </w:p>
              </w:tc>
              <w:tc>
                <w:tcPr>
                  <w:tcW w:w="102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5</w:t>
                  </w:r>
                  <w:r>
                    <w:rPr>
                      <w:rFonts w:hint="eastAsia" w:cs="Times New Roman"/>
                      <w:color w:val="auto"/>
                      <w:kern w:val="0"/>
                      <w:sz w:val="21"/>
                      <w:szCs w:val="21"/>
                      <w:highlight w:val="none"/>
                      <w:lang w:val="en-US" w:eastAsia="zh-CN"/>
                    </w:rPr>
                    <w:t>6</w:t>
                  </w:r>
                </w:p>
              </w:tc>
              <w:tc>
                <w:tcPr>
                  <w:tcW w:w="100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4</w:t>
                  </w:r>
                  <w:r>
                    <w:rPr>
                      <w:rFonts w:hint="eastAsia" w:cs="Times New Roman"/>
                      <w:color w:val="auto"/>
                      <w:kern w:val="0"/>
                      <w:sz w:val="21"/>
                      <w:szCs w:val="21"/>
                      <w:highlight w:val="none"/>
                      <w:lang w:val="en-US" w:eastAsia="zh-CN"/>
                    </w:rPr>
                    <w:t>3</w:t>
                  </w:r>
                </w:p>
              </w:tc>
              <w:tc>
                <w:tcPr>
                  <w:tcW w:w="741"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达标</w:t>
                  </w:r>
                </w:p>
              </w:tc>
              <w:tc>
                <w:tcPr>
                  <w:tcW w:w="1448" w:type="dxa"/>
                  <w:vMerge w:val="continue"/>
                  <w:tcBorders>
                    <w:tl2br w:val="nil"/>
                    <w:tr2bl w:val="nil"/>
                  </w:tcBorders>
                  <w:noWrap w:val="0"/>
                  <w:vAlign w:val="center"/>
                </w:tcPr>
                <w:p>
                  <w:pPr>
                    <w:widowControl/>
                    <w:jc w:val="left"/>
                    <w:rPr>
                      <w:rFonts w:hint="default" w:ascii="Times New Roman" w:hAnsi="Times New Roman" w:cs="Times New Roman"/>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2" w:hRule="atLeast"/>
                <w:jc w:val="center"/>
              </w:trPr>
              <w:tc>
                <w:tcPr>
                  <w:tcW w:w="2276" w:type="dxa"/>
                  <w:tcBorders>
                    <w:tl2br w:val="nil"/>
                    <w:tr2bl w:val="nil"/>
                  </w:tcBorders>
                  <w:noWrap w:val="0"/>
                  <w:vAlign w:val="center"/>
                </w:tcPr>
                <w:p>
                  <w:pPr>
                    <w:keepNext w:val="0"/>
                    <w:keepLines w:val="0"/>
                    <w:pageBreakBefore w:val="0"/>
                    <w:widowControl/>
                    <w:kinsoku/>
                    <w:wordWrap/>
                    <w:overflowPunct/>
                    <w:topLinePunct w:val="0"/>
                    <w:autoSpaceDE/>
                    <w:autoSpaceDN/>
                    <w:bidi w:val="0"/>
                    <w:adjustRightInd/>
                    <w:jc w:val="center"/>
                    <w:textAlignment w:val="auto"/>
                    <w:rPr>
                      <w:rFonts w:hint="default" w:ascii="Times New Roman" w:hAnsi="Times New Roman"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8#西</w:t>
                  </w:r>
                  <w:r>
                    <w:rPr>
                      <w:rFonts w:hint="eastAsia" w:ascii="Times New Roman" w:hAnsi="Times New Roman" w:cs="Times New Roman"/>
                      <w:bCs w:val="0"/>
                      <w:color w:val="auto"/>
                      <w:sz w:val="21"/>
                      <w:szCs w:val="21"/>
                      <w:highlight w:val="none"/>
                      <w:lang w:val="en-US" w:eastAsia="zh-CN"/>
                    </w:rPr>
                    <w:t>南侧敏感点</w:t>
                  </w:r>
                </w:p>
              </w:tc>
              <w:tc>
                <w:tcPr>
                  <w:tcW w:w="943"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58</w:t>
                  </w:r>
                </w:p>
              </w:tc>
              <w:tc>
                <w:tcPr>
                  <w:tcW w:w="106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45</w:t>
                  </w:r>
                </w:p>
              </w:tc>
              <w:tc>
                <w:tcPr>
                  <w:tcW w:w="102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57</w:t>
                  </w:r>
                </w:p>
              </w:tc>
              <w:tc>
                <w:tcPr>
                  <w:tcW w:w="1008"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eastAsia" w:cs="Times New Roman"/>
                      <w:color w:val="auto"/>
                      <w:kern w:val="0"/>
                      <w:sz w:val="21"/>
                      <w:szCs w:val="21"/>
                      <w:highlight w:val="none"/>
                      <w:lang w:val="en-US" w:eastAsia="zh-CN"/>
                    </w:rPr>
                    <w:t>44</w:t>
                  </w:r>
                </w:p>
              </w:tc>
              <w:tc>
                <w:tcPr>
                  <w:tcW w:w="741" w:type="dxa"/>
                  <w:tcBorders>
                    <w:tl2br w:val="nil"/>
                    <w:tr2bl w:val="nil"/>
                  </w:tcBorders>
                  <w:noWrap w:val="0"/>
                  <w:vAlign w:val="center"/>
                </w:tcPr>
                <w:p>
                  <w:pPr>
                    <w:jc w:val="center"/>
                    <w:rPr>
                      <w:rFonts w:hint="default" w:ascii="Times New Roman" w:hAnsi="Times New Roman" w:cs="Times New Roman"/>
                      <w:color w:val="auto"/>
                      <w:sz w:val="21"/>
                      <w:szCs w:val="21"/>
                      <w:highlight w:val="none"/>
                      <w:lang w:eastAsia="zh-CN"/>
                    </w:rPr>
                  </w:pPr>
                  <w:r>
                    <w:rPr>
                      <w:rFonts w:hint="eastAsia" w:cs="Times New Roman"/>
                      <w:color w:val="auto"/>
                      <w:sz w:val="21"/>
                      <w:szCs w:val="21"/>
                      <w:highlight w:val="none"/>
                      <w:lang w:eastAsia="zh-CN"/>
                    </w:rPr>
                    <w:t>达标</w:t>
                  </w:r>
                </w:p>
              </w:tc>
              <w:tc>
                <w:tcPr>
                  <w:tcW w:w="1448" w:type="dxa"/>
                  <w:vMerge w:val="continue"/>
                  <w:tcBorders>
                    <w:tl2br w:val="nil"/>
                    <w:tr2bl w:val="nil"/>
                  </w:tcBorders>
                  <w:noWrap w:val="0"/>
                  <w:vAlign w:val="center"/>
                </w:tcPr>
                <w:p>
                  <w:pPr>
                    <w:widowControl/>
                    <w:jc w:val="left"/>
                    <w:rPr>
                      <w:rFonts w:hint="default" w:ascii="Times New Roman" w:hAnsi="Times New Roman" w:cs="Times New Roman"/>
                      <w:color w:val="auto"/>
                      <w:sz w:val="21"/>
                      <w:szCs w:val="21"/>
                      <w:highlight w:val="none"/>
                    </w:rPr>
                  </w:pPr>
                </w:p>
              </w:tc>
            </w:tr>
          </w:tbl>
          <w:p>
            <w:pPr>
              <w:spacing w:line="360" w:lineRule="auto"/>
              <w:ind w:firstLine="480" w:firstLineChars="200"/>
              <w:rPr>
                <w:b/>
                <w:color w:val="auto"/>
                <w:sz w:val="24"/>
                <w:highlight w:val="none"/>
              </w:rPr>
            </w:pPr>
            <w:r>
              <w:rPr>
                <w:rFonts w:hint="default" w:ascii="Times New Roman" w:hAnsi="Times New Roman" w:cs="Times New Roman"/>
                <w:color w:val="auto"/>
                <w:sz w:val="24"/>
                <w:szCs w:val="24"/>
                <w:highlight w:val="none"/>
              </w:rPr>
              <w:t>由上表可以看出，项目厂界监测点</w:t>
            </w:r>
            <w:r>
              <w:rPr>
                <w:rFonts w:hint="default" w:ascii="Times New Roman" w:hAnsi="Times New Roman" w:cs="Times New Roman"/>
                <w:color w:val="auto"/>
                <w:sz w:val="24"/>
                <w:szCs w:val="24"/>
                <w:highlight w:val="none"/>
                <w:lang w:eastAsia="zh-CN"/>
              </w:rPr>
              <w:t>及敏感点</w:t>
            </w:r>
            <w:r>
              <w:rPr>
                <w:rFonts w:hint="default" w:ascii="Times New Roman" w:hAnsi="Times New Roman" w:cs="Times New Roman"/>
                <w:color w:val="auto"/>
                <w:sz w:val="24"/>
                <w:szCs w:val="24"/>
                <w:highlight w:val="none"/>
              </w:rPr>
              <w:t>噪声值均满足《声环境质量标准》（GB3096-2008）中2类标准限值要求，项目所在区域声环境质量良好。</w:t>
            </w:r>
          </w:p>
        </w:tc>
      </w:tr>
    </w:tbl>
    <w:tbl>
      <w:tblPr>
        <w:tblStyle w:val="37"/>
        <w:tblW w:w="928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30" w:hRule="atLeast"/>
        </w:trPr>
        <w:tc>
          <w:tcPr>
            <w:tcW w:w="9287" w:type="dxa"/>
          </w:tcPr>
          <w:p>
            <w:pPr>
              <w:pageBreakBefore/>
              <w:tabs>
                <w:tab w:val="left" w:pos="6480"/>
              </w:tabs>
              <w:spacing w:line="520" w:lineRule="exact"/>
              <w:ind w:right="42" w:rightChars="20"/>
              <w:rPr>
                <w:b/>
                <w:bCs/>
                <w:color w:val="auto"/>
                <w:sz w:val="24"/>
                <w:szCs w:val="24"/>
                <w:highlight w:val="none"/>
              </w:rPr>
            </w:pPr>
            <w:bookmarkStart w:id="8" w:name="_Toc288044536"/>
            <w:r>
              <w:rPr>
                <w:b/>
                <w:bCs/>
                <w:color w:val="auto"/>
                <w:sz w:val="24"/>
                <w:szCs w:val="24"/>
                <w:highlight w:val="none"/>
              </w:rPr>
              <w:t>主要环境保护目标（列出名单及保护级别）</w:t>
            </w:r>
          </w:p>
          <w:p>
            <w:pPr>
              <w:tabs>
                <w:tab w:val="left" w:pos="1680"/>
              </w:tabs>
              <w:spacing w:line="360" w:lineRule="auto"/>
              <w:ind w:firstLine="480" w:firstLineChars="200"/>
              <w:rPr>
                <w:color w:val="auto"/>
                <w:sz w:val="24"/>
                <w:szCs w:val="24"/>
                <w:highlight w:val="none"/>
              </w:rPr>
            </w:pPr>
            <w:r>
              <w:rPr>
                <w:color w:val="auto"/>
                <w:sz w:val="24"/>
                <w:szCs w:val="24"/>
                <w:highlight w:val="none"/>
              </w:rPr>
              <w:t>根据对当地现状调查，评价区内无需重点保护的人文景观、文物保护单位，无濒危保护动植物。</w:t>
            </w:r>
          </w:p>
          <w:p>
            <w:pPr>
              <w:tabs>
                <w:tab w:val="left" w:pos="1680"/>
              </w:tabs>
              <w:spacing w:line="360" w:lineRule="auto"/>
              <w:ind w:firstLine="480" w:firstLineChars="200"/>
              <w:rPr>
                <w:color w:val="auto"/>
                <w:sz w:val="24"/>
                <w:szCs w:val="24"/>
                <w:highlight w:val="none"/>
              </w:rPr>
            </w:pPr>
            <w:r>
              <w:rPr>
                <w:rFonts w:hint="eastAsia"/>
                <w:color w:val="auto"/>
                <w:sz w:val="24"/>
                <w:szCs w:val="24"/>
                <w:highlight w:val="none"/>
              </w:rPr>
              <w:t>本项目在</w:t>
            </w:r>
            <w:r>
              <w:rPr>
                <w:rFonts w:hint="eastAsia"/>
                <w:color w:val="auto"/>
                <w:sz w:val="24"/>
                <w:szCs w:val="24"/>
                <w:highlight w:val="none"/>
                <w:lang w:eastAsia="zh-CN"/>
              </w:rPr>
              <w:t>黑龙江省江川农场</w:t>
            </w:r>
            <w:r>
              <w:rPr>
                <w:color w:val="auto"/>
                <w:sz w:val="24"/>
                <w:szCs w:val="24"/>
                <w:highlight w:val="none"/>
              </w:rPr>
              <w:t>供热</w:t>
            </w:r>
            <w:r>
              <w:rPr>
                <w:rFonts w:hint="eastAsia"/>
                <w:color w:val="auto"/>
                <w:sz w:val="24"/>
                <w:szCs w:val="24"/>
                <w:highlight w:val="none"/>
                <w:lang w:eastAsia="zh-CN"/>
              </w:rPr>
              <w:t>中心</w:t>
            </w:r>
            <w:r>
              <w:rPr>
                <w:rFonts w:hint="eastAsia"/>
                <w:color w:val="auto"/>
                <w:sz w:val="24"/>
                <w:szCs w:val="24"/>
                <w:highlight w:val="none"/>
              </w:rPr>
              <w:t>院内建设，</w:t>
            </w:r>
            <w:r>
              <w:rPr>
                <w:color w:val="auto"/>
                <w:sz w:val="24"/>
                <w:szCs w:val="24"/>
                <w:highlight w:val="none"/>
              </w:rPr>
              <w:t>东侧隔</w:t>
            </w:r>
            <w:r>
              <w:rPr>
                <w:rFonts w:hint="eastAsia"/>
                <w:color w:val="auto"/>
                <w:sz w:val="24"/>
                <w:szCs w:val="24"/>
                <w:highlight w:val="none"/>
                <w:lang w:eastAsia="zh-CN"/>
              </w:rPr>
              <w:t>路</w:t>
            </w:r>
            <w:r>
              <w:rPr>
                <w:color w:val="auto"/>
                <w:sz w:val="24"/>
                <w:szCs w:val="24"/>
                <w:highlight w:val="none"/>
              </w:rPr>
              <w:t>为居民、西侧为</w:t>
            </w:r>
            <w:r>
              <w:rPr>
                <w:rFonts w:hint="eastAsia"/>
                <w:color w:val="auto"/>
                <w:sz w:val="24"/>
                <w:szCs w:val="24"/>
                <w:highlight w:val="none"/>
                <w:lang w:eastAsia="zh-CN"/>
              </w:rPr>
              <w:t>空地</w:t>
            </w:r>
            <w:r>
              <w:rPr>
                <w:color w:val="auto"/>
                <w:sz w:val="24"/>
                <w:szCs w:val="24"/>
                <w:highlight w:val="none"/>
              </w:rPr>
              <w:t>、南侧隔</w:t>
            </w:r>
            <w:r>
              <w:rPr>
                <w:rFonts w:hint="eastAsia"/>
                <w:color w:val="auto"/>
                <w:sz w:val="24"/>
                <w:szCs w:val="24"/>
                <w:highlight w:val="none"/>
                <w:lang w:eastAsia="zh-CN"/>
              </w:rPr>
              <w:t>路</w:t>
            </w:r>
            <w:r>
              <w:rPr>
                <w:color w:val="auto"/>
                <w:sz w:val="24"/>
                <w:szCs w:val="24"/>
                <w:highlight w:val="none"/>
              </w:rPr>
              <w:t>为</w:t>
            </w:r>
            <w:r>
              <w:rPr>
                <w:rFonts w:hint="eastAsia"/>
                <w:color w:val="auto"/>
                <w:sz w:val="24"/>
                <w:szCs w:val="24"/>
                <w:highlight w:val="none"/>
                <w:lang w:eastAsia="zh-CN"/>
              </w:rPr>
              <w:t>江川农场学校</w:t>
            </w:r>
            <w:r>
              <w:rPr>
                <w:color w:val="auto"/>
                <w:sz w:val="24"/>
                <w:szCs w:val="24"/>
                <w:highlight w:val="none"/>
              </w:rPr>
              <w:t>、北侧隔</w:t>
            </w:r>
            <w:r>
              <w:rPr>
                <w:rFonts w:hint="eastAsia"/>
                <w:color w:val="auto"/>
                <w:sz w:val="24"/>
                <w:szCs w:val="24"/>
                <w:highlight w:val="none"/>
                <w:lang w:eastAsia="zh-CN"/>
              </w:rPr>
              <w:t>路</w:t>
            </w:r>
            <w:r>
              <w:rPr>
                <w:color w:val="auto"/>
                <w:sz w:val="24"/>
                <w:szCs w:val="24"/>
                <w:highlight w:val="none"/>
              </w:rPr>
              <w:t>为</w:t>
            </w:r>
            <w:r>
              <w:rPr>
                <w:rFonts w:hint="eastAsia"/>
                <w:color w:val="auto"/>
                <w:sz w:val="24"/>
                <w:szCs w:val="24"/>
                <w:highlight w:val="none"/>
                <w:lang w:eastAsia="zh-CN"/>
              </w:rPr>
              <w:t>居民</w:t>
            </w:r>
            <w:r>
              <w:rPr>
                <w:color w:val="auto"/>
                <w:sz w:val="24"/>
                <w:szCs w:val="24"/>
                <w:highlight w:val="none"/>
              </w:rPr>
              <w:t>。环境保护目标详见表3-</w:t>
            </w:r>
            <w:r>
              <w:rPr>
                <w:rFonts w:hint="eastAsia"/>
                <w:color w:val="auto"/>
                <w:sz w:val="24"/>
                <w:szCs w:val="24"/>
                <w:highlight w:val="none"/>
                <w:lang w:val="en-US" w:eastAsia="zh-CN"/>
              </w:rPr>
              <w:t>2</w:t>
            </w:r>
            <w:r>
              <w:rPr>
                <w:color w:val="auto"/>
                <w:sz w:val="24"/>
                <w:szCs w:val="24"/>
                <w:highlight w:val="none"/>
              </w:rPr>
              <w:t xml:space="preserve">。 </w:t>
            </w:r>
          </w:p>
          <w:p>
            <w:pPr>
              <w:jc w:val="center"/>
              <w:rPr>
                <w:b/>
                <w:bCs/>
                <w:color w:val="auto"/>
                <w:sz w:val="24"/>
                <w:szCs w:val="24"/>
                <w:highlight w:val="none"/>
              </w:rPr>
            </w:pPr>
            <w:r>
              <w:rPr>
                <w:b/>
                <w:bCs/>
                <w:color w:val="auto"/>
                <w:sz w:val="24"/>
                <w:szCs w:val="24"/>
                <w:highlight w:val="none"/>
              </w:rPr>
              <w:t>表3-</w:t>
            </w:r>
            <w:r>
              <w:rPr>
                <w:rFonts w:hint="eastAsia"/>
                <w:b/>
                <w:bCs/>
                <w:color w:val="auto"/>
                <w:sz w:val="24"/>
                <w:szCs w:val="24"/>
                <w:highlight w:val="none"/>
                <w:lang w:val="en-US" w:eastAsia="zh-CN"/>
              </w:rPr>
              <w:t>2</w:t>
            </w:r>
            <w:r>
              <w:rPr>
                <w:b/>
                <w:bCs/>
                <w:color w:val="auto"/>
                <w:sz w:val="24"/>
                <w:szCs w:val="24"/>
                <w:highlight w:val="none"/>
              </w:rPr>
              <w:t xml:space="preserve">   环境空气保护目标概况</w:t>
            </w:r>
          </w:p>
          <w:tbl>
            <w:tblPr>
              <w:tblStyle w:val="36"/>
              <w:tblW w:w="82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8"/>
              <w:gridCol w:w="708"/>
              <w:gridCol w:w="709"/>
              <w:gridCol w:w="1985"/>
              <w:gridCol w:w="850"/>
              <w:gridCol w:w="934"/>
              <w:gridCol w:w="1096"/>
              <w:gridCol w:w="110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restart"/>
                  <w:tcBorders>
                    <w:tl2br w:val="nil"/>
                    <w:tr2bl w:val="nil"/>
                  </w:tcBorders>
                  <w:vAlign w:val="center"/>
                </w:tcPr>
                <w:p>
                  <w:pPr>
                    <w:adjustRightInd w:val="0"/>
                    <w:snapToGrid w:val="0"/>
                    <w:jc w:val="center"/>
                    <w:rPr>
                      <w:color w:val="auto"/>
                      <w:highlight w:val="none"/>
                    </w:rPr>
                  </w:pPr>
                  <w:r>
                    <w:rPr>
                      <w:rFonts w:hint="eastAsia"/>
                      <w:color w:val="auto"/>
                      <w:highlight w:val="none"/>
                    </w:rPr>
                    <w:t>环境</w:t>
                  </w:r>
                </w:p>
                <w:p>
                  <w:pPr>
                    <w:adjustRightInd w:val="0"/>
                    <w:snapToGrid w:val="0"/>
                    <w:jc w:val="center"/>
                    <w:rPr>
                      <w:color w:val="auto"/>
                      <w:highlight w:val="none"/>
                    </w:rPr>
                  </w:pPr>
                  <w:r>
                    <w:rPr>
                      <w:rFonts w:hint="eastAsia"/>
                      <w:color w:val="auto"/>
                      <w:highlight w:val="none"/>
                    </w:rPr>
                    <w:t>要素</w:t>
                  </w:r>
                </w:p>
              </w:tc>
              <w:tc>
                <w:tcPr>
                  <w:tcW w:w="1417" w:type="dxa"/>
                  <w:gridSpan w:val="2"/>
                  <w:tcBorders>
                    <w:tl2br w:val="nil"/>
                    <w:tr2bl w:val="nil"/>
                  </w:tcBorders>
                  <w:vAlign w:val="center"/>
                </w:tcPr>
                <w:p>
                  <w:pPr>
                    <w:adjustRightInd w:val="0"/>
                    <w:snapToGrid w:val="0"/>
                    <w:jc w:val="center"/>
                    <w:rPr>
                      <w:color w:val="auto"/>
                      <w:highlight w:val="none"/>
                    </w:rPr>
                  </w:pPr>
                  <w:r>
                    <w:rPr>
                      <w:rFonts w:hint="eastAsia"/>
                      <w:color w:val="auto"/>
                      <w:highlight w:val="none"/>
                    </w:rPr>
                    <w:t>坐标</w:t>
                  </w:r>
                  <w:r>
                    <w:rPr>
                      <w:color w:val="auto"/>
                      <w:highlight w:val="none"/>
                    </w:rPr>
                    <w:t>/m</w:t>
                  </w:r>
                </w:p>
              </w:tc>
              <w:tc>
                <w:tcPr>
                  <w:tcW w:w="1985" w:type="dxa"/>
                  <w:vMerge w:val="restart"/>
                  <w:tcBorders>
                    <w:tl2br w:val="nil"/>
                    <w:tr2bl w:val="nil"/>
                  </w:tcBorders>
                  <w:vAlign w:val="center"/>
                </w:tcPr>
                <w:p>
                  <w:pPr>
                    <w:adjustRightInd w:val="0"/>
                    <w:snapToGrid w:val="0"/>
                    <w:jc w:val="center"/>
                    <w:rPr>
                      <w:color w:val="auto"/>
                      <w:highlight w:val="none"/>
                    </w:rPr>
                  </w:pPr>
                  <w:r>
                    <w:rPr>
                      <w:rFonts w:hint="eastAsia"/>
                      <w:color w:val="auto"/>
                      <w:highlight w:val="none"/>
                    </w:rPr>
                    <w:t>保护对象</w:t>
                  </w:r>
                </w:p>
              </w:tc>
              <w:tc>
                <w:tcPr>
                  <w:tcW w:w="850" w:type="dxa"/>
                  <w:vMerge w:val="restart"/>
                  <w:tcBorders>
                    <w:tl2br w:val="nil"/>
                    <w:tr2bl w:val="nil"/>
                  </w:tcBorders>
                  <w:vAlign w:val="center"/>
                </w:tcPr>
                <w:p>
                  <w:pPr>
                    <w:adjustRightInd w:val="0"/>
                    <w:snapToGrid w:val="0"/>
                    <w:jc w:val="center"/>
                    <w:rPr>
                      <w:color w:val="auto"/>
                      <w:highlight w:val="none"/>
                    </w:rPr>
                  </w:pPr>
                  <w:r>
                    <w:rPr>
                      <w:rFonts w:hint="eastAsia"/>
                      <w:color w:val="auto"/>
                      <w:highlight w:val="none"/>
                    </w:rPr>
                    <w:t>保护</w:t>
                  </w:r>
                </w:p>
                <w:p>
                  <w:pPr>
                    <w:adjustRightInd w:val="0"/>
                    <w:snapToGrid w:val="0"/>
                    <w:jc w:val="center"/>
                    <w:rPr>
                      <w:color w:val="auto"/>
                      <w:highlight w:val="none"/>
                    </w:rPr>
                  </w:pPr>
                  <w:r>
                    <w:rPr>
                      <w:rFonts w:hint="eastAsia"/>
                      <w:color w:val="auto"/>
                      <w:highlight w:val="none"/>
                    </w:rPr>
                    <w:t>内容</w:t>
                  </w:r>
                </w:p>
              </w:tc>
              <w:tc>
                <w:tcPr>
                  <w:tcW w:w="934" w:type="dxa"/>
                  <w:vMerge w:val="restart"/>
                  <w:tcBorders>
                    <w:tl2br w:val="nil"/>
                    <w:tr2bl w:val="nil"/>
                  </w:tcBorders>
                  <w:vAlign w:val="center"/>
                </w:tcPr>
                <w:p>
                  <w:pPr>
                    <w:adjustRightInd w:val="0"/>
                    <w:snapToGrid w:val="0"/>
                    <w:jc w:val="center"/>
                    <w:rPr>
                      <w:color w:val="auto"/>
                      <w:highlight w:val="none"/>
                    </w:rPr>
                  </w:pPr>
                  <w:r>
                    <w:rPr>
                      <w:rFonts w:hint="eastAsia"/>
                      <w:color w:val="auto"/>
                      <w:highlight w:val="none"/>
                    </w:rPr>
                    <w:t>环境功能区</w:t>
                  </w:r>
                </w:p>
              </w:tc>
              <w:tc>
                <w:tcPr>
                  <w:tcW w:w="1096" w:type="dxa"/>
                  <w:vMerge w:val="restart"/>
                  <w:tcBorders>
                    <w:tl2br w:val="nil"/>
                    <w:tr2bl w:val="nil"/>
                  </w:tcBorders>
                  <w:vAlign w:val="center"/>
                </w:tcPr>
                <w:p>
                  <w:pPr>
                    <w:adjustRightInd w:val="0"/>
                    <w:snapToGrid w:val="0"/>
                    <w:jc w:val="center"/>
                    <w:rPr>
                      <w:color w:val="auto"/>
                      <w:highlight w:val="none"/>
                    </w:rPr>
                  </w:pPr>
                  <w:r>
                    <w:rPr>
                      <w:rFonts w:hint="eastAsia"/>
                      <w:color w:val="auto"/>
                      <w:highlight w:val="none"/>
                    </w:rPr>
                    <w:t>相对厂址方位</w:t>
                  </w:r>
                </w:p>
              </w:tc>
              <w:tc>
                <w:tcPr>
                  <w:tcW w:w="1102" w:type="dxa"/>
                  <w:vMerge w:val="restart"/>
                  <w:tcBorders>
                    <w:tl2br w:val="nil"/>
                    <w:tr2bl w:val="nil"/>
                  </w:tcBorders>
                  <w:vAlign w:val="center"/>
                </w:tcPr>
                <w:p>
                  <w:pPr>
                    <w:adjustRightInd w:val="0"/>
                    <w:snapToGrid w:val="0"/>
                    <w:jc w:val="center"/>
                    <w:rPr>
                      <w:rFonts w:hint="eastAsia"/>
                      <w:color w:val="auto"/>
                      <w:highlight w:val="none"/>
                      <w:lang w:eastAsia="zh-CN"/>
                    </w:rPr>
                  </w:pPr>
                  <w:r>
                    <w:rPr>
                      <w:rFonts w:hint="eastAsia"/>
                      <w:color w:val="auto"/>
                      <w:highlight w:val="none"/>
                    </w:rPr>
                    <w:t>相对厂界距离</w:t>
                  </w:r>
                  <w:r>
                    <w:rPr>
                      <w:rFonts w:hint="eastAsia"/>
                      <w:color w:val="auto"/>
                      <w:highlight w:val="none"/>
                      <w:lang w:eastAsia="zh-CN"/>
                    </w:rPr>
                    <w:t>（</w:t>
                  </w:r>
                  <w:r>
                    <w:rPr>
                      <w:rFonts w:hint="eastAsia"/>
                      <w:color w:val="auto"/>
                      <w:highlight w:val="none"/>
                      <w:lang w:val="en-US" w:eastAsia="zh-CN"/>
                    </w:rPr>
                    <w:t xml:space="preserve">m </w:t>
                  </w:r>
                  <w:r>
                    <w:rPr>
                      <w:rFonts w:hint="eastAsia"/>
                      <w:color w:val="auto"/>
                      <w:highlight w:val="none"/>
                      <w:lang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color w:val="auto"/>
                      <w:highlight w:val="none"/>
                    </w:rPr>
                  </w:pPr>
                </w:p>
              </w:tc>
              <w:tc>
                <w:tcPr>
                  <w:tcW w:w="708" w:type="dxa"/>
                  <w:tcBorders>
                    <w:tl2br w:val="nil"/>
                    <w:tr2bl w:val="nil"/>
                  </w:tcBorders>
                  <w:vAlign w:val="center"/>
                </w:tcPr>
                <w:p>
                  <w:pPr>
                    <w:adjustRightInd w:val="0"/>
                    <w:snapToGrid w:val="0"/>
                    <w:jc w:val="center"/>
                    <w:rPr>
                      <w:color w:val="auto"/>
                      <w:highlight w:val="none"/>
                    </w:rPr>
                  </w:pPr>
                  <w:r>
                    <w:rPr>
                      <w:color w:val="auto"/>
                      <w:highlight w:val="none"/>
                    </w:rPr>
                    <w:t>X</w:t>
                  </w:r>
                </w:p>
              </w:tc>
              <w:tc>
                <w:tcPr>
                  <w:tcW w:w="709" w:type="dxa"/>
                  <w:tcBorders>
                    <w:tl2br w:val="nil"/>
                    <w:tr2bl w:val="nil"/>
                  </w:tcBorders>
                  <w:vAlign w:val="center"/>
                </w:tcPr>
                <w:p>
                  <w:pPr>
                    <w:adjustRightInd w:val="0"/>
                    <w:snapToGrid w:val="0"/>
                    <w:jc w:val="center"/>
                    <w:rPr>
                      <w:color w:val="auto"/>
                      <w:highlight w:val="none"/>
                    </w:rPr>
                  </w:pPr>
                  <w:r>
                    <w:rPr>
                      <w:color w:val="auto"/>
                      <w:highlight w:val="none"/>
                    </w:rPr>
                    <w:t>Y</w:t>
                  </w:r>
                </w:p>
              </w:tc>
              <w:tc>
                <w:tcPr>
                  <w:tcW w:w="1985" w:type="dxa"/>
                  <w:vMerge w:val="continue"/>
                  <w:tcBorders>
                    <w:tl2br w:val="nil"/>
                    <w:tr2bl w:val="nil"/>
                  </w:tcBorders>
                  <w:vAlign w:val="center"/>
                </w:tcPr>
                <w:p>
                  <w:pPr>
                    <w:widowControl/>
                    <w:jc w:val="center"/>
                    <w:rPr>
                      <w:color w:val="auto"/>
                      <w:highlight w:val="none"/>
                    </w:rPr>
                  </w:pPr>
                </w:p>
              </w:tc>
              <w:tc>
                <w:tcPr>
                  <w:tcW w:w="850" w:type="dxa"/>
                  <w:vMerge w:val="continue"/>
                  <w:tcBorders>
                    <w:tl2br w:val="nil"/>
                    <w:tr2bl w:val="nil"/>
                  </w:tcBorders>
                  <w:vAlign w:val="center"/>
                </w:tcPr>
                <w:p>
                  <w:pPr>
                    <w:widowControl/>
                    <w:jc w:val="center"/>
                    <w:rPr>
                      <w:color w:val="auto"/>
                      <w:highlight w:val="none"/>
                    </w:rPr>
                  </w:pPr>
                </w:p>
              </w:tc>
              <w:tc>
                <w:tcPr>
                  <w:tcW w:w="934" w:type="dxa"/>
                  <w:vMerge w:val="continue"/>
                  <w:tcBorders>
                    <w:tl2br w:val="nil"/>
                    <w:tr2bl w:val="nil"/>
                  </w:tcBorders>
                  <w:vAlign w:val="center"/>
                </w:tcPr>
                <w:p>
                  <w:pPr>
                    <w:widowControl/>
                    <w:jc w:val="center"/>
                    <w:rPr>
                      <w:color w:val="auto"/>
                      <w:highlight w:val="none"/>
                    </w:rPr>
                  </w:pPr>
                </w:p>
              </w:tc>
              <w:tc>
                <w:tcPr>
                  <w:tcW w:w="1096" w:type="dxa"/>
                  <w:vMerge w:val="continue"/>
                  <w:tcBorders>
                    <w:tl2br w:val="nil"/>
                    <w:tr2bl w:val="nil"/>
                  </w:tcBorders>
                  <w:vAlign w:val="center"/>
                </w:tcPr>
                <w:p>
                  <w:pPr>
                    <w:widowControl/>
                    <w:jc w:val="center"/>
                    <w:rPr>
                      <w:color w:val="auto"/>
                      <w:highlight w:val="none"/>
                    </w:rPr>
                  </w:pPr>
                </w:p>
              </w:tc>
              <w:tc>
                <w:tcPr>
                  <w:tcW w:w="1102" w:type="dxa"/>
                  <w:vMerge w:val="continue"/>
                  <w:tcBorders>
                    <w:tl2br w:val="nil"/>
                    <w:tr2bl w:val="nil"/>
                  </w:tcBorders>
                  <w:vAlign w:val="center"/>
                </w:tcPr>
                <w:p>
                  <w:pPr>
                    <w:widowControl/>
                    <w:jc w:val="center"/>
                    <w:rPr>
                      <w:color w:val="auto"/>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restart"/>
                  <w:tcBorders>
                    <w:tl2br w:val="nil"/>
                    <w:tr2bl w:val="nil"/>
                  </w:tcBorders>
                  <w:vAlign w:val="center"/>
                </w:tcPr>
                <w:p>
                  <w:pPr>
                    <w:adjustRightInd w:val="0"/>
                    <w:snapToGrid w:val="0"/>
                    <w:jc w:val="center"/>
                    <w:rPr>
                      <w:color w:val="auto"/>
                      <w:highlight w:val="none"/>
                    </w:rPr>
                  </w:pPr>
                  <w:r>
                    <w:rPr>
                      <w:rFonts w:hint="eastAsia"/>
                      <w:color w:val="auto"/>
                      <w:highlight w:val="none"/>
                    </w:rPr>
                    <w:t>环境</w:t>
                  </w:r>
                </w:p>
                <w:p>
                  <w:pPr>
                    <w:adjustRightInd w:val="0"/>
                    <w:snapToGrid w:val="0"/>
                    <w:jc w:val="center"/>
                    <w:rPr>
                      <w:color w:val="auto"/>
                      <w:highlight w:val="none"/>
                    </w:rPr>
                  </w:pPr>
                  <w:r>
                    <w:rPr>
                      <w:rFonts w:hint="eastAsia"/>
                      <w:color w:val="auto"/>
                      <w:highlight w:val="none"/>
                    </w:rPr>
                    <w:t>空气</w:t>
                  </w:r>
                </w:p>
              </w:tc>
              <w:tc>
                <w:tcPr>
                  <w:tcW w:w="708" w:type="dxa"/>
                  <w:tcBorders>
                    <w:tl2br w:val="nil"/>
                    <w:tr2bl w:val="nil"/>
                  </w:tcBorders>
                  <w:vAlign w:val="center"/>
                </w:tcPr>
                <w:p>
                  <w:pPr>
                    <w:adjustRightInd w:val="0"/>
                    <w:snapToGrid w:val="0"/>
                    <w:jc w:val="center"/>
                    <w:rPr>
                      <w:rFonts w:hint="default" w:eastAsia="宋体"/>
                      <w:color w:val="auto"/>
                      <w:highlight w:val="none"/>
                      <w:lang w:val="en-US" w:eastAsia="zh-CN"/>
                    </w:rPr>
                  </w:pPr>
                  <w:r>
                    <w:rPr>
                      <w:rFonts w:hint="eastAsia"/>
                      <w:color w:val="auto"/>
                      <w:highlight w:val="none"/>
                      <w:lang w:val="en-US" w:eastAsia="zh-CN"/>
                    </w:rPr>
                    <w:t>80</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0</w:t>
                  </w:r>
                </w:p>
              </w:tc>
              <w:tc>
                <w:tcPr>
                  <w:tcW w:w="1985" w:type="dxa"/>
                  <w:tcBorders>
                    <w:tl2br w:val="nil"/>
                    <w:tr2bl w:val="nil"/>
                  </w:tcBorders>
                  <w:vAlign w:val="center"/>
                </w:tcPr>
                <w:p>
                  <w:pPr>
                    <w:adjustRightInd w:val="0"/>
                    <w:snapToGrid w:val="0"/>
                    <w:jc w:val="center"/>
                    <w:rPr>
                      <w:rFonts w:hint="eastAsia"/>
                      <w:color w:val="auto"/>
                      <w:highlight w:val="none"/>
                      <w:lang w:eastAsia="zh-CN"/>
                    </w:rPr>
                  </w:pPr>
                  <w:r>
                    <w:rPr>
                      <w:rFonts w:hint="eastAsia"/>
                      <w:color w:val="auto"/>
                      <w:highlight w:val="none"/>
                      <w:lang w:eastAsia="zh-CN"/>
                    </w:rPr>
                    <w:t>东侧居民</w:t>
                  </w:r>
                </w:p>
              </w:tc>
              <w:tc>
                <w:tcPr>
                  <w:tcW w:w="850" w:type="dxa"/>
                  <w:tcBorders>
                    <w:tl2br w:val="nil"/>
                    <w:tr2bl w:val="nil"/>
                  </w:tcBorders>
                  <w:vAlign w:val="center"/>
                </w:tcPr>
                <w:p>
                  <w:pPr>
                    <w:jc w:val="center"/>
                    <w:rPr>
                      <w:rFonts w:hint="eastAsia" w:eastAsia="宋体"/>
                      <w:color w:val="auto"/>
                      <w:highlight w:val="none"/>
                      <w:lang w:eastAsia="zh-CN"/>
                    </w:rPr>
                  </w:pPr>
                  <w:r>
                    <w:rPr>
                      <w:rFonts w:hint="eastAsia"/>
                      <w:color w:val="auto"/>
                      <w:highlight w:val="none"/>
                      <w:lang w:eastAsia="zh-CN"/>
                    </w:rPr>
                    <w:t>居民</w:t>
                  </w:r>
                </w:p>
              </w:tc>
              <w:tc>
                <w:tcPr>
                  <w:tcW w:w="934" w:type="dxa"/>
                  <w:vMerge w:val="restart"/>
                  <w:tcBorders>
                    <w:tl2br w:val="nil"/>
                    <w:tr2bl w:val="nil"/>
                  </w:tcBorders>
                  <w:vAlign w:val="center"/>
                </w:tcPr>
                <w:p>
                  <w:pPr>
                    <w:widowControl/>
                    <w:jc w:val="center"/>
                    <w:rPr>
                      <w:rFonts w:hint="default"/>
                      <w:color w:val="auto"/>
                      <w:highlight w:val="none"/>
                      <w:lang w:val="en-US" w:eastAsia="zh-CN"/>
                    </w:rPr>
                  </w:pPr>
                  <w:r>
                    <w:rPr>
                      <w:rFonts w:hint="eastAsia"/>
                      <w:color w:val="auto"/>
                      <w:highlight w:val="none"/>
                    </w:rPr>
                    <w:t>二类</w:t>
                  </w:r>
                  <w:r>
                    <w:rPr>
                      <w:rFonts w:hint="eastAsia"/>
                      <w:color w:val="auto"/>
                      <w:highlight w:val="none"/>
                      <w:lang w:val="en-US" w:eastAsia="zh-CN"/>
                    </w:rPr>
                    <w:t xml:space="preserve">                                                                   </w:t>
                  </w:r>
                </w:p>
              </w:tc>
              <w:tc>
                <w:tcPr>
                  <w:tcW w:w="1096"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E</w:t>
                  </w:r>
                </w:p>
              </w:tc>
              <w:tc>
                <w:tcPr>
                  <w:tcW w:w="1102"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adjustRightInd w:val="0"/>
                    <w:snapToGrid w:val="0"/>
                    <w:jc w:val="center"/>
                    <w:rPr>
                      <w:color w:val="auto"/>
                      <w:highlight w:val="none"/>
                    </w:rPr>
                  </w:pPr>
                </w:p>
              </w:tc>
              <w:tc>
                <w:tcPr>
                  <w:tcW w:w="708" w:type="dxa"/>
                  <w:tcBorders>
                    <w:tl2br w:val="nil"/>
                    <w:tr2bl w:val="nil"/>
                  </w:tcBorders>
                  <w:vAlign w:val="center"/>
                </w:tcPr>
                <w:p>
                  <w:pPr>
                    <w:adjustRightInd w:val="0"/>
                    <w:snapToGrid w:val="0"/>
                    <w:jc w:val="center"/>
                    <w:rPr>
                      <w:rFonts w:hint="eastAsia" w:eastAsia="宋体"/>
                      <w:color w:val="auto"/>
                      <w:highlight w:val="none"/>
                      <w:lang w:eastAsia="zh-CN"/>
                    </w:rPr>
                  </w:pPr>
                  <w:r>
                    <w:rPr>
                      <w:rFonts w:hint="eastAsia"/>
                      <w:color w:val="auto"/>
                      <w:highlight w:val="none"/>
                      <w:lang w:val="en-US" w:eastAsia="zh-CN"/>
                    </w:rPr>
                    <w:t>0</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26</w:t>
                  </w:r>
                </w:p>
              </w:tc>
              <w:tc>
                <w:tcPr>
                  <w:tcW w:w="1985"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eastAsia="zh-CN"/>
                    </w:rPr>
                    <w:t>北侧居民</w:t>
                  </w:r>
                </w:p>
              </w:tc>
              <w:tc>
                <w:tcPr>
                  <w:tcW w:w="850" w:type="dxa"/>
                  <w:tcBorders>
                    <w:tl2br w:val="nil"/>
                    <w:tr2bl w:val="nil"/>
                  </w:tcBorders>
                  <w:vAlign w:val="center"/>
                </w:tcPr>
                <w:p>
                  <w:pPr>
                    <w:jc w:val="center"/>
                    <w:rPr>
                      <w:color w:val="auto"/>
                      <w:highlight w:val="none"/>
                    </w:rPr>
                  </w:pPr>
                  <w:r>
                    <w:rPr>
                      <w:rFonts w:hint="eastAsia"/>
                      <w:color w:val="auto"/>
                      <w:highlight w:val="none"/>
                    </w:rPr>
                    <w:t>居民</w:t>
                  </w:r>
                </w:p>
              </w:tc>
              <w:tc>
                <w:tcPr>
                  <w:tcW w:w="934" w:type="dxa"/>
                  <w:vMerge w:val="continue"/>
                  <w:tcBorders>
                    <w:tl2br w:val="nil"/>
                    <w:tr2bl w:val="nil"/>
                  </w:tcBorders>
                  <w:vAlign w:val="center"/>
                </w:tcPr>
                <w:p>
                  <w:pPr>
                    <w:widowControl/>
                    <w:jc w:val="center"/>
                    <w:rPr>
                      <w:rFonts w:hint="default"/>
                      <w:color w:val="auto"/>
                      <w:highlight w:val="none"/>
                      <w:lang w:val="en-US" w:eastAsia="zh-CN"/>
                    </w:rPr>
                  </w:pPr>
                </w:p>
              </w:tc>
              <w:tc>
                <w:tcPr>
                  <w:tcW w:w="1096" w:type="dxa"/>
                  <w:tcBorders>
                    <w:tl2br w:val="nil"/>
                    <w:tr2bl w:val="nil"/>
                  </w:tcBorders>
                  <w:vAlign w:val="center"/>
                </w:tcPr>
                <w:p>
                  <w:pPr>
                    <w:jc w:val="center"/>
                    <w:rPr>
                      <w:rFonts w:hint="eastAsia"/>
                      <w:color w:val="auto"/>
                      <w:highlight w:val="none"/>
                      <w:lang w:eastAsia="zh-CN"/>
                    </w:rPr>
                  </w:pPr>
                  <w:r>
                    <w:rPr>
                      <w:rFonts w:hint="eastAsia"/>
                      <w:color w:val="auto"/>
                      <w:highlight w:val="none"/>
                      <w:lang w:val="en-US" w:eastAsia="zh-CN"/>
                    </w:rPr>
                    <w:t>N</w:t>
                  </w:r>
                </w:p>
              </w:tc>
              <w:tc>
                <w:tcPr>
                  <w:tcW w:w="1102" w:type="dxa"/>
                  <w:tcBorders>
                    <w:tl2br w:val="nil"/>
                    <w:tr2bl w:val="nil"/>
                  </w:tcBorders>
                  <w:vAlign w:val="center"/>
                </w:tcPr>
                <w:p>
                  <w:pPr>
                    <w:jc w:val="center"/>
                    <w:rPr>
                      <w:rFonts w:hint="eastAsia" w:eastAsia="宋体"/>
                      <w:color w:val="auto"/>
                      <w:highlight w:val="none"/>
                      <w:lang w:val="en-US" w:eastAsia="zh-CN"/>
                    </w:rPr>
                  </w:pPr>
                  <w:r>
                    <w:rPr>
                      <w:rFonts w:hint="eastAsia"/>
                      <w:color w:val="auto"/>
                      <w:highlight w:val="none"/>
                      <w:lang w:val="en-US" w:eastAsia="zh-C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adjustRightInd w:val="0"/>
                    <w:snapToGrid w:val="0"/>
                    <w:jc w:val="center"/>
                    <w:rPr>
                      <w:color w:val="auto"/>
                      <w:highlight w:val="none"/>
                    </w:rPr>
                  </w:pPr>
                </w:p>
              </w:tc>
              <w:tc>
                <w:tcPr>
                  <w:tcW w:w="708"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-30</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0</w:t>
                  </w:r>
                </w:p>
              </w:tc>
              <w:tc>
                <w:tcPr>
                  <w:tcW w:w="1985" w:type="dxa"/>
                  <w:tcBorders>
                    <w:tl2br w:val="nil"/>
                    <w:tr2bl w:val="nil"/>
                  </w:tcBorders>
                  <w:vAlign w:val="center"/>
                </w:tcPr>
                <w:p>
                  <w:pPr>
                    <w:adjustRightInd w:val="0"/>
                    <w:snapToGrid w:val="0"/>
                    <w:jc w:val="center"/>
                    <w:rPr>
                      <w:rFonts w:hint="eastAsia"/>
                      <w:color w:val="auto"/>
                      <w:highlight w:val="none"/>
                      <w:lang w:eastAsia="zh-CN"/>
                    </w:rPr>
                  </w:pPr>
                  <w:r>
                    <w:rPr>
                      <w:rFonts w:hint="eastAsia"/>
                      <w:color w:val="auto"/>
                      <w:highlight w:val="none"/>
                      <w:lang w:eastAsia="zh-CN"/>
                    </w:rPr>
                    <w:t>西侧居民</w:t>
                  </w:r>
                </w:p>
              </w:tc>
              <w:tc>
                <w:tcPr>
                  <w:tcW w:w="850" w:type="dxa"/>
                  <w:tcBorders>
                    <w:tl2br w:val="nil"/>
                    <w:tr2bl w:val="nil"/>
                  </w:tcBorders>
                  <w:vAlign w:val="center"/>
                </w:tcPr>
                <w:p>
                  <w:pPr>
                    <w:jc w:val="center"/>
                    <w:rPr>
                      <w:rFonts w:hint="eastAsia" w:eastAsia="宋体"/>
                      <w:color w:val="auto"/>
                      <w:highlight w:val="none"/>
                      <w:lang w:eastAsia="zh-CN"/>
                    </w:rPr>
                  </w:pPr>
                  <w:r>
                    <w:rPr>
                      <w:rFonts w:hint="eastAsia"/>
                      <w:color w:val="auto"/>
                      <w:highlight w:val="none"/>
                      <w:lang w:eastAsia="zh-CN"/>
                    </w:rPr>
                    <w:t>居民</w:t>
                  </w:r>
                </w:p>
              </w:tc>
              <w:tc>
                <w:tcPr>
                  <w:tcW w:w="934" w:type="dxa"/>
                  <w:vMerge w:val="continue"/>
                  <w:tcBorders>
                    <w:tl2br w:val="nil"/>
                    <w:tr2bl w:val="nil"/>
                  </w:tcBorders>
                  <w:vAlign w:val="center"/>
                </w:tcPr>
                <w:p>
                  <w:pPr>
                    <w:widowControl/>
                    <w:jc w:val="center"/>
                    <w:rPr>
                      <w:rFonts w:hint="default"/>
                      <w:color w:val="auto"/>
                      <w:highlight w:val="none"/>
                      <w:lang w:val="en-US" w:eastAsia="zh-CN"/>
                    </w:rPr>
                  </w:pPr>
                </w:p>
              </w:tc>
              <w:tc>
                <w:tcPr>
                  <w:tcW w:w="1096"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W</w:t>
                  </w:r>
                </w:p>
              </w:tc>
              <w:tc>
                <w:tcPr>
                  <w:tcW w:w="1102"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adjustRightInd w:val="0"/>
                    <w:snapToGrid w:val="0"/>
                    <w:jc w:val="center"/>
                    <w:rPr>
                      <w:rFonts w:hint="eastAsia"/>
                      <w:color w:val="auto"/>
                      <w:highlight w:val="none"/>
                    </w:rPr>
                  </w:pPr>
                </w:p>
              </w:tc>
              <w:tc>
                <w:tcPr>
                  <w:tcW w:w="708" w:type="dxa"/>
                  <w:tcBorders>
                    <w:tl2br w:val="nil"/>
                    <w:tr2bl w:val="nil"/>
                  </w:tcBorders>
                  <w:vAlign w:val="center"/>
                </w:tcPr>
                <w:p>
                  <w:pPr>
                    <w:adjustRightInd w:val="0"/>
                    <w:snapToGrid w:val="0"/>
                    <w:jc w:val="center"/>
                    <w:rPr>
                      <w:rFonts w:hint="eastAsia"/>
                      <w:color w:val="auto"/>
                      <w:highlight w:val="none"/>
                      <w:lang w:val="en-US" w:eastAsia="zh-CN"/>
                    </w:rPr>
                  </w:pPr>
                  <w:r>
                    <w:rPr>
                      <w:rFonts w:hint="eastAsia"/>
                      <w:color w:val="auto"/>
                      <w:highlight w:val="none"/>
                      <w:lang w:val="en-US" w:eastAsia="zh-CN"/>
                    </w:rPr>
                    <w:t>0</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-45</w:t>
                  </w:r>
                </w:p>
              </w:tc>
              <w:tc>
                <w:tcPr>
                  <w:tcW w:w="1985" w:type="dxa"/>
                  <w:tcBorders>
                    <w:tl2br w:val="nil"/>
                    <w:tr2bl w:val="nil"/>
                  </w:tcBorders>
                  <w:vAlign w:val="center"/>
                </w:tcPr>
                <w:p>
                  <w:pPr>
                    <w:adjustRightInd w:val="0"/>
                    <w:snapToGrid w:val="0"/>
                    <w:jc w:val="center"/>
                    <w:rPr>
                      <w:rFonts w:hint="eastAsia"/>
                      <w:color w:val="auto"/>
                      <w:highlight w:val="none"/>
                      <w:lang w:eastAsia="zh-CN"/>
                    </w:rPr>
                  </w:pPr>
                  <w:r>
                    <w:rPr>
                      <w:rFonts w:hint="eastAsia"/>
                      <w:color w:val="auto"/>
                      <w:highlight w:val="none"/>
                      <w:lang w:eastAsia="zh-CN"/>
                    </w:rPr>
                    <w:t>江川农场学校</w:t>
                  </w:r>
                </w:p>
              </w:tc>
              <w:tc>
                <w:tcPr>
                  <w:tcW w:w="850" w:type="dxa"/>
                  <w:tcBorders>
                    <w:tl2br w:val="nil"/>
                    <w:tr2bl w:val="nil"/>
                  </w:tcBorders>
                  <w:vAlign w:val="center"/>
                </w:tcPr>
                <w:p>
                  <w:pPr>
                    <w:jc w:val="center"/>
                    <w:rPr>
                      <w:rFonts w:hint="eastAsia"/>
                      <w:color w:val="auto"/>
                      <w:highlight w:val="none"/>
                    </w:rPr>
                  </w:pPr>
                  <w:r>
                    <w:rPr>
                      <w:rFonts w:hint="eastAsia"/>
                      <w:color w:val="auto"/>
                      <w:highlight w:val="none"/>
                    </w:rPr>
                    <w:t>学校</w:t>
                  </w:r>
                </w:p>
              </w:tc>
              <w:tc>
                <w:tcPr>
                  <w:tcW w:w="934" w:type="dxa"/>
                  <w:vMerge w:val="continue"/>
                  <w:tcBorders>
                    <w:tl2br w:val="nil"/>
                    <w:tr2bl w:val="nil"/>
                  </w:tcBorders>
                  <w:vAlign w:val="center"/>
                </w:tcPr>
                <w:p>
                  <w:pPr>
                    <w:jc w:val="center"/>
                    <w:rPr>
                      <w:rFonts w:hint="eastAsia"/>
                      <w:color w:val="auto"/>
                      <w:highlight w:val="none"/>
                    </w:rPr>
                  </w:pPr>
                </w:p>
              </w:tc>
              <w:tc>
                <w:tcPr>
                  <w:tcW w:w="1096" w:type="dxa"/>
                  <w:tcBorders>
                    <w:tl2br w:val="nil"/>
                    <w:tr2bl w:val="nil"/>
                  </w:tcBorders>
                  <w:vAlign w:val="center"/>
                </w:tcPr>
                <w:p>
                  <w:pPr>
                    <w:jc w:val="center"/>
                    <w:rPr>
                      <w:rFonts w:hint="eastAsia"/>
                      <w:color w:val="auto"/>
                      <w:highlight w:val="none"/>
                      <w:lang w:val="en-US" w:eastAsia="zh-CN"/>
                    </w:rPr>
                  </w:pPr>
                  <w:r>
                    <w:rPr>
                      <w:rFonts w:hint="eastAsia"/>
                      <w:color w:val="auto"/>
                      <w:highlight w:val="none"/>
                      <w:lang w:val="en-US" w:eastAsia="zh-CN"/>
                    </w:rPr>
                    <w:t>S</w:t>
                  </w:r>
                </w:p>
              </w:tc>
              <w:tc>
                <w:tcPr>
                  <w:tcW w:w="1102"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color w:val="auto"/>
                      <w:highlight w:val="none"/>
                    </w:rPr>
                  </w:pPr>
                </w:p>
              </w:tc>
              <w:tc>
                <w:tcPr>
                  <w:tcW w:w="708" w:type="dxa"/>
                  <w:tcBorders>
                    <w:tl2br w:val="nil"/>
                    <w:tr2bl w:val="nil"/>
                  </w:tcBorders>
                  <w:vAlign w:val="center"/>
                </w:tcPr>
                <w:p>
                  <w:pPr>
                    <w:adjustRightInd w:val="0"/>
                    <w:snapToGrid w:val="0"/>
                    <w:jc w:val="center"/>
                    <w:rPr>
                      <w:color w:val="auto"/>
                      <w:highlight w:val="none"/>
                    </w:rPr>
                  </w:pPr>
                  <w:r>
                    <w:rPr>
                      <w:rFonts w:hint="eastAsia"/>
                      <w:color w:val="auto"/>
                      <w:highlight w:val="none"/>
                      <w:lang w:val="en-US" w:eastAsia="zh-CN"/>
                    </w:rPr>
                    <w:t>-127</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-42</w:t>
                  </w:r>
                </w:p>
              </w:tc>
              <w:tc>
                <w:tcPr>
                  <w:tcW w:w="1985" w:type="dxa"/>
                  <w:tcBorders>
                    <w:tl2br w:val="nil"/>
                    <w:tr2bl w:val="nil"/>
                  </w:tcBorders>
                  <w:vAlign w:val="center"/>
                </w:tcPr>
                <w:p>
                  <w:pPr>
                    <w:adjustRightInd w:val="0"/>
                    <w:snapToGrid w:val="0"/>
                    <w:jc w:val="center"/>
                    <w:rPr>
                      <w:color w:val="auto"/>
                      <w:highlight w:val="none"/>
                    </w:rPr>
                  </w:pPr>
                  <w:r>
                    <w:rPr>
                      <w:rFonts w:hint="eastAsia"/>
                      <w:color w:val="auto"/>
                      <w:highlight w:val="none"/>
                      <w:lang w:eastAsia="zh-CN"/>
                    </w:rPr>
                    <w:t>兴川花园城</w:t>
                  </w:r>
                </w:p>
              </w:tc>
              <w:tc>
                <w:tcPr>
                  <w:tcW w:w="850" w:type="dxa"/>
                  <w:tcBorders>
                    <w:tl2br w:val="nil"/>
                    <w:tr2bl w:val="nil"/>
                  </w:tcBorders>
                  <w:vAlign w:val="center"/>
                </w:tcPr>
                <w:p>
                  <w:pPr>
                    <w:jc w:val="center"/>
                    <w:rPr>
                      <w:color w:val="auto"/>
                      <w:highlight w:val="none"/>
                    </w:rPr>
                  </w:pPr>
                  <w:r>
                    <w:rPr>
                      <w:rFonts w:hint="eastAsia"/>
                      <w:color w:val="auto"/>
                      <w:highlight w:val="none"/>
                    </w:rPr>
                    <w:t>居民</w:t>
                  </w:r>
                </w:p>
              </w:tc>
              <w:tc>
                <w:tcPr>
                  <w:tcW w:w="934" w:type="dxa"/>
                  <w:vMerge w:val="continue"/>
                  <w:tcBorders>
                    <w:tl2br w:val="nil"/>
                    <w:tr2bl w:val="nil"/>
                  </w:tcBorders>
                  <w:vAlign w:val="center"/>
                </w:tcPr>
                <w:p>
                  <w:pPr>
                    <w:widowControl/>
                    <w:jc w:val="center"/>
                    <w:rPr>
                      <w:color w:val="auto"/>
                      <w:highlight w:val="none"/>
                    </w:rPr>
                  </w:pPr>
                </w:p>
              </w:tc>
              <w:tc>
                <w:tcPr>
                  <w:tcW w:w="1096" w:type="dxa"/>
                  <w:tcBorders>
                    <w:tl2br w:val="nil"/>
                    <w:tr2bl w:val="nil"/>
                  </w:tcBorders>
                  <w:vAlign w:val="center"/>
                </w:tcPr>
                <w:p>
                  <w:pPr>
                    <w:jc w:val="center"/>
                    <w:rPr>
                      <w:rFonts w:hint="eastAsia" w:eastAsia="宋体"/>
                      <w:color w:val="auto"/>
                      <w:highlight w:val="none"/>
                      <w:lang w:eastAsia="zh-CN"/>
                    </w:rPr>
                  </w:pPr>
                  <w:r>
                    <w:rPr>
                      <w:rFonts w:hint="eastAsia"/>
                      <w:color w:val="auto"/>
                      <w:highlight w:val="none"/>
                      <w:lang w:val="en-US" w:eastAsia="zh-CN"/>
                    </w:rPr>
                    <w:t>SSW</w:t>
                  </w:r>
                </w:p>
              </w:tc>
              <w:tc>
                <w:tcPr>
                  <w:tcW w:w="1102"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149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color w:val="auto"/>
                      <w:highlight w:val="none"/>
                    </w:rPr>
                  </w:pPr>
                </w:p>
              </w:tc>
              <w:tc>
                <w:tcPr>
                  <w:tcW w:w="708"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-139</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-241</w:t>
                  </w:r>
                </w:p>
              </w:tc>
              <w:tc>
                <w:tcPr>
                  <w:tcW w:w="1985" w:type="dxa"/>
                  <w:tcBorders>
                    <w:tl2br w:val="nil"/>
                    <w:tr2bl w:val="nil"/>
                  </w:tcBorders>
                  <w:vAlign w:val="center"/>
                </w:tcPr>
                <w:p>
                  <w:pPr>
                    <w:adjustRightInd w:val="0"/>
                    <w:snapToGrid w:val="0"/>
                    <w:jc w:val="center"/>
                    <w:rPr>
                      <w:rFonts w:hint="eastAsia"/>
                      <w:color w:val="auto"/>
                      <w:highlight w:val="none"/>
                      <w:lang w:eastAsia="zh-CN"/>
                    </w:rPr>
                  </w:pPr>
                  <w:r>
                    <w:rPr>
                      <w:rFonts w:hint="eastAsia"/>
                      <w:color w:val="auto"/>
                      <w:highlight w:val="none"/>
                      <w:lang w:eastAsia="zh-CN"/>
                    </w:rPr>
                    <w:t>滨江小区</w:t>
                  </w:r>
                </w:p>
              </w:tc>
              <w:tc>
                <w:tcPr>
                  <w:tcW w:w="850" w:type="dxa"/>
                  <w:tcBorders>
                    <w:tl2br w:val="nil"/>
                    <w:tr2bl w:val="nil"/>
                  </w:tcBorders>
                  <w:vAlign w:val="center"/>
                </w:tcPr>
                <w:p>
                  <w:pPr>
                    <w:jc w:val="center"/>
                    <w:rPr>
                      <w:rFonts w:hint="eastAsia"/>
                      <w:color w:val="auto"/>
                      <w:highlight w:val="none"/>
                      <w:lang w:eastAsia="zh-CN"/>
                    </w:rPr>
                  </w:pPr>
                  <w:r>
                    <w:rPr>
                      <w:rFonts w:hint="eastAsia"/>
                      <w:color w:val="auto"/>
                      <w:highlight w:val="none"/>
                      <w:lang w:eastAsia="zh-CN"/>
                    </w:rPr>
                    <w:t>居民</w:t>
                  </w:r>
                </w:p>
              </w:tc>
              <w:tc>
                <w:tcPr>
                  <w:tcW w:w="934" w:type="dxa"/>
                  <w:vMerge w:val="continue"/>
                  <w:tcBorders>
                    <w:tl2br w:val="nil"/>
                    <w:tr2bl w:val="nil"/>
                  </w:tcBorders>
                  <w:vAlign w:val="center"/>
                </w:tcPr>
                <w:p>
                  <w:pPr>
                    <w:widowControl/>
                    <w:jc w:val="center"/>
                    <w:rPr>
                      <w:rFonts w:hint="eastAsia"/>
                      <w:color w:val="auto"/>
                      <w:highlight w:val="none"/>
                      <w:lang w:eastAsia="zh-CN"/>
                    </w:rPr>
                  </w:pPr>
                </w:p>
              </w:tc>
              <w:tc>
                <w:tcPr>
                  <w:tcW w:w="1096"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SSW</w:t>
                  </w:r>
                </w:p>
              </w:tc>
              <w:tc>
                <w:tcPr>
                  <w:tcW w:w="1102"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282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color w:val="auto"/>
                      <w:highlight w:val="none"/>
                    </w:rPr>
                  </w:pPr>
                </w:p>
              </w:tc>
              <w:tc>
                <w:tcPr>
                  <w:tcW w:w="708"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108</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-285</w:t>
                  </w:r>
                </w:p>
              </w:tc>
              <w:tc>
                <w:tcPr>
                  <w:tcW w:w="1985" w:type="dxa"/>
                  <w:tcBorders>
                    <w:tl2br w:val="nil"/>
                    <w:tr2bl w:val="nil"/>
                  </w:tcBorders>
                  <w:vAlign w:val="center"/>
                </w:tcPr>
                <w:p>
                  <w:pPr>
                    <w:adjustRightInd w:val="0"/>
                    <w:snapToGrid w:val="0"/>
                    <w:jc w:val="center"/>
                    <w:rPr>
                      <w:color w:val="auto"/>
                      <w:highlight w:val="none"/>
                    </w:rPr>
                  </w:pPr>
                  <w:r>
                    <w:rPr>
                      <w:rFonts w:hint="eastAsia"/>
                      <w:color w:val="auto"/>
                      <w:highlight w:val="none"/>
                      <w:lang w:eastAsia="zh-CN"/>
                    </w:rPr>
                    <w:t>养路连</w:t>
                  </w:r>
                </w:p>
              </w:tc>
              <w:tc>
                <w:tcPr>
                  <w:tcW w:w="850" w:type="dxa"/>
                  <w:tcBorders>
                    <w:tl2br w:val="nil"/>
                    <w:tr2bl w:val="nil"/>
                  </w:tcBorders>
                  <w:vAlign w:val="center"/>
                </w:tcPr>
                <w:p>
                  <w:pPr>
                    <w:jc w:val="center"/>
                    <w:rPr>
                      <w:rFonts w:hint="eastAsia"/>
                      <w:color w:val="auto"/>
                      <w:highlight w:val="none"/>
                      <w:lang w:eastAsia="zh-CN"/>
                    </w:rPr>
                  </w:pPr>
                  <w:r>
                    <w:rPr>
                      <w:rFonts w:hint="eastAsia"/>
                      <w:color w:val="auto"/>
                      <w:highlight w:val="none"/>
                      <w:lang w:eastAsia="zh-CN"/>
                    </w:rPr>
                    <w:t>居民</w:t>
                  </w:r>
                </w:p>
              </w:tc>
              <w:tc>
                <w:tcPr>
                  <w:tcW w:w="934" w:type="dxa"/>
                  <w:vMerge w:val="continue"/>
                  <w:tcBorders>
                    <w:tl2br w:val="nil"/>
                    <w:tr2bl w:val="nil"/>
                  </w:tcBorders>
                  <w:vAlign w:val="center"/>
                </w:tcPr>
                <w:p>
                  <w:pPr>
                    <w:widowControl/>
                    <w:jc w:val="center"/>
                    <w:rPr>
                      <w:color w:val="auto"/>
                      <w:highlight w:val="none"/>
                    </w:rPr>
                  </w:pPr>
                </w:p>
              </w:tc>
              <w:tc>
                <w:tcPr>
                  <w:tcW w:w="1096" w:type="dxa"/>
                  <w:tcBorders>
                    <w:tl2br w:val="nil"/>
                    <w:tr2bl w:val="nil"/>
                  </w:tcBorders>
                  <w:vAlign w:val="center"/>
                </w:tcPr>
                <w:p>
                  <w:pPr>
                    <w:jc w:val="center"/>
                    <w:rPr>
                      <w:rFonts w:hint="eastAsia"/>
                      <w:color w:val="auto"/>
                      <w:highlight w:val="none"/>
                      <w:lang w:val="en-US" w:eastAsia="zh-CN"/>
                    </w:rPr>
                  </w:pPr>
                  <w:r>
                    <w:rPr>
                      <w:rFonts w:hint="eastAsia"/>
                      <w:color w:val="auto"/>
                      <w:highlight w:val="none"/>
                      <w:lang w:val="en-US" w:eastAsia="zh-CN"/>
                    </w:rPr>
                    <w:t>SSE</w:t>
                  </w:r>
                </w:p>
              </w:tc>
              <w:tc>
                <w:tcPr>
                  <w:tcW w:w="1102" w:type="dxa"/>
                  <w:tcBorders>
                    <w:tl2br w:val="nil"/>
                    <w:tr2bl w:val="nil"/>
                  </w:tcBorders>
                  <w:vAlign w:val="center"/>
                </w:tcPr>
                <w:p>
                  <w:pPr>
                    <w:jc w:val="center"/>
                    <w:rPr>
                      <w:rFonts w:hint="default"/>
                      <w:color w:val="auto"/>
                      <w:highlight w:val="none"/>
                      <w:lang w:val="en-US" w:eastAsia="zh-CN"/>
                    </w:rPr>
                  </w:pPr>
                  <w:r>
                    <w:rPr>
                      <w:rFonts w:hint="eastAsia"/>
                      <w:color w:val="auto"/>
                      <w:highlight w:val="none"/>
                    </w:rPr>
                    <w:t>30</w:t>
                  </w:r>
                  <w:r>
                    <w:rPr>
                      <w:rFonts w:hint="eastAsia"/>
                      <w:color w:val="auto"/>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color w:val="auto"/>
                      <w:highlight w:val="none"/>
                    </w:rPr>
                  </w:pPr>
                </w:p>
              </w:tc>
              <w:tc>
                <w:tcPr>
                  <w:tcW w:w="708"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rPr>
                    <w:t>0</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color w:val="auto"/>
                      <w:highlight w:val="none"/>
                    </w:rPr>
                    <w:t>-</w:t>
                  </w:r>
                  <w:r>
                    <w:rPr>
                      <w:rFonts w:hint="eastAsia"/>
                      <w:color w:val="auto"/>
                      <w:highlight w:val="none"/>
                      <w:lang w:val="en-US" w:eastAsia="zh-CN"/>
                    </w:rPr>
                    <w:t>325</w:t>
                  </w:r>
                </w:p>
              </w:tc>
              <w:tc>
                <w:tcPr>
                  <w:tcW w:w="1985" w:type="dxa"/>
                  <w:tcBorders>
                    <w:tl2br w:val="nil"/>
                    <w:tr2bl w:val="nil"/>
                  </w:tcBorders>
                  <w:vAlign w:val="center"/>
                </w:tcPr>
                <w:p>
                  <w:pPr>
                    <w:adjustRightInd w:val="0"/>
                    <w:snapToGrid w:val="0"/>
                    <w:jc w:val="center"/>
                    <w:rPr>
                      <w:rFonts w:hint="eastAsia"/>
                      <w:color w:val="auto"/>
                      <w:highlight w:val="none"/>
                      <w:lang w:eastAsia="zh-CN"/>
                    </w:rPr>
                  </w:pPr>
                  <w:r>
                    <w:rPr>
                      <w:rFonts w:hint="eastAsia"/>
                      <w:color w:val="auto"/>
                      <w:highlight w:val="none"/>
                      <w:lang w:eastAsia="zh-CN"/>
                    </w:rPr>
                    <w:t>江川幼儿园</w:t>
                  </w:r>
                </w:p>
              </w:tc>
              <w:tc>
                <w:tcPr>
                  <w:tcW w:w="850" w:type="dxa"/>
                  <w:tcBorders>
                    <w:tl2br w:val="nil"/>
                    <w:tr2bl w:val="nil"/>
                  </w:tcBorders>
                  <w:vAlign w:val="center"/>
                </w:tcPr>
                <w:p>
                  <w:pPr>
                    <w:jc w:val="center"/>
                    <w:rPr>
                      <w:rFonts w:hint="eastAsia"/>
                      <w:color w:val="auto"/>
                      <w:highlight w:val="none"/>
                      <w:lang w:eastAsia="zh-CN"/>
                    </w:rPr>
                  </w:pPr>
                  <w:r>
                    <w:rPr>
                      <w:rFonts w:hint="eastAsia"/>
                      <w:color w:val="auto"/>
                      <w:highlight w:val="none"/>
                      <w:lang w:eastAsia="zh-CN"/>
                    </w:rPr>
                    <w:t>学校</w:t>
                  </w:r>
                </w:p>
              </w:tc>
              <w:tc>
                <w:tcPr>
                  <w:tcW w:w="934" w:type="dxa"/>
                  <w:vMerge w:val="continue"/>
                  <w:tcBorders>
                    <w:tl2br w:val="nil"/>
                    <w:tr2bl w:val="nil"/>
                  </w:tcBorders>
                  <w:vAlign w:val="center"/>
                </w:tcPr>
                <w:p>
                  <w:pPr>
                    <w:jc w:val="center"/>
                    <w:rPr>
                      <w:color w:val="auto"/>
                      <w:highlight w:val="none"/>
                    </w:rPr>
                  </w:pPr>
                </w:p>
              </w:tc>
              <w:tc>
                <w:tcPr>
                  <w:tcW w:w="1096" w:type="dxa"/>
                  <w:tcBorders>
                    <w:tl2br w:val="nil"/>
                    <w:tr2bl w:val="nil"/>
                  </w:tcBorders>
                  <w:vAlign w:val="center"/>
                </w:tcPr>
                <w:p>
                  <w:pPr>
                    <w:jc w:val="center"/>
                    <w:rPr>
                      <w:rFonts w:hint="default"/>
                      <w:color w:val="auto"/>
                      <w:highlight w:val="none"/>
                      <w:lang w:val="en-US" w:eastAsia="zh-CN"/>
                    </w:rPr>
                  </w:pPr>
                  <w:r>
                    <w:rPr>
                      <w:color w:val="auto"/>
                      <w:highlight w:val="none"/>
                    </w:rPr>
                    <w:t>S</w:t>
                  </w:r>
                </w:p>
              </w:tc>
              <w:tc>
                <w:tcPr>
                  <w:tcW w:w="1102" w:type="dxa"/>
                  <w:tcBorders>
                    <w:tl2br w:val="nil"/>
                    <w:tr2bl w:val="nil"/>
                  </w:tcBorders>
                  <w:vAlign w:val="center"/>
                </w:tcPr>
                <w:p>
                  <w:pPr>
                    <w:jc w:val="center"/>
                    <w:rPr>
                      <w:rFonts w:hint="eastAsia"/>
                      <w:color w:val="auto"/>
                      <w:highlight w:val="none"/>
                      <w:lang w:val="en-US" w:eastAsia="zh-CN"/>
                    </w:rPr>
                  </w:pPr>
                  <w:r>
                    <w:rPr>
                      <w:rFonts w:hint="eastAsia"/>
                      <w:color w:val="auto"/>
                      <w:highlight w:val="none"/>
                      <w:lang w:val="en-US" w:eastAsia="zh-CN"/>
                    </w:rPr>
                    <w:t>325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color w:val="auto"/>
                      <w:highlight w:val="none"/>
                    </w:rPr>
                  </w:pPr>
                </w:p>
              </w:tc>
              <w:tc>
                <w:tcPr>
                  <w:tcW w:w="708"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0</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443</w:t>
                  </w:r>
                </w:p>
              </w:tc>
              <w:tc>
                <w:tcPr>
                  <w:tcW w:w="1985" w:type="dxa"/>
                  <w:tcBorders>
                    <w:tl2br w:val="nil"/>
                    <w:tr2bl w:val="nil"/>
                  </w:tcBorders>
                  <w:vAlign w:val="center"/>
                </w:tcPr>
                <w:p>
                  <w:pPr>
                    <w:adjustRightInd w:val="0"/>
                    <w:snapToGrid w:val="0"/>
                    <w:jc w:val="center"/>
                    <w:rPr>
                      <w:rFonts w:hint="eastAsia"/>
                      <w:color w:val="auto"/>
                      <w:highlight w:val="none"/>
                      <w:lang w:eastAsia="zh-CN"/>
                    </w:rPr>
                  </w:pPr>
                  <w:r>
                    <w:rPr>
                      <w:rFonts w:hint="eastAsia"/>
                      <w:color w:val="auto"/>
                      <w:highlight w:val="none"/>
                      <w:lang w:eastAsia="zh-CN"/>
                    </w:rPr>
                    <w:t>马库力村</w:t>
                  </w:r>
                </w:p>
              </w:tc>
              <w:tc>
                <w:tcPr>
                  <w:tcW w:w="850" w:type="dxa"/>
                  <w:tcBorders>
                    <w:tl2br w:val="nil"/>
                    <w:tr2bl w:val="nil"/>
                  </w:tcBorders>
                  <w:vAlign w:val="center"/>
                </w:tcPr>
                <w:p>
                  <w:pPr>
                    <w:jc w:val="center"/>
                    <w:rPr>
                      <w:rFonts w:hint="default"/>
                      <w:color w:val="auto"/>
                      <w:highlight w:val="none"/>
                      <w:lang w:val="en-US" w:eastAsia="zh-CN"/>
                    </w:rPr>
                  </w:pPr>
                  <w:r>
                    <w:rPr>
                      <w:rFonts w:hint="eastAsia"/>
                      <w:color w:val="auto"/>
                      <w:highlight w:val="none"/>
                    </w:rPr>
                    <w:t>居民</w:t>
                  </w:r>
                </w:p>
              </w:tc>
              <w:tc>
                <w:tcPr>
                  <w:tcW w:w="934" w:type="dxa"/>
                  <w:vMerge w:val="continue"/>
                  <w:tcBorders>
                    <w:tl2br w:val="nil"/>
                    <w:tr2bl w:val="nil"/>
                  </w:tcBorders>
                  <w:vAlign w:val="center"/>
                </w:tcPr>
                <w:p>
                  <w:pPr>
                    <w:jc w:val="center"/>
                    <w:rPr>
                      <w:rFonts w:hint="eastAsia"/>
                      <w:color w:val="auto"/>
                      <w:highlight w:val="none"/>
                    </w:rPr>
                  </w:pPr>
                </w:p>
              </w:tc>
              <w:tc>
                <w:tcPr>
                  <w:tcW w:w="1096"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N</w:t>
                  </w:r>
                </w:p>
              </w:tc>
              <w:tc>
                <w:tcPr>
                  <w:tcW w:w="1102"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443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color w:val="auto"/>
                      <w:highlight w:val="none"/>
                    </w:rPr>
                  </w:pPr>
                </w:p>
              </w:tc>
              <w:tc>
                <w:tcPr>
                  <w:tcW w:w="708"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-576</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360</w:t>
                  </w:r>
                </w:p>
              </w:tc>
              <w:tc>
                <w:tcPr>
                  <w:tcW w:w="1985" w:type="dxa"/>
                  <w:tcBorders>
                    <w:tl2br w:val="nil"/>
                    <w:tr2bl w:val="nil"/>
                  </w:tcBorders>
                  <w:vAlign w:val="center"/>
                </w:tcPr>
                <w:p>
                  <w:pPr>
                    <w:adjustRightInd w:val="0"/>
                    <w:snapToGrid w:val="0"/>
                    <w:jc w:val="center"/>
                    <w:rPr>
                      <w:color w:val="auto"/>
                      <w:highlight w:val="none"/>
                    </w:rPr>
                  </w:pPr>
                  <w:r>
                    <w:rPr>
                      <w:rFonts w:hint="eastAsia"/>
                      <w:color w:val="auto"/>
                      <w:highlight w:val="none"/>
                      <w:lang w:eastAsia="zh-CN"/>
                    </w:rPr>
                    <w:t>阳光老年公寓</w:t>
                  </w:r>
                </w:p>
              </w:tc>
              <w:tc>
                <w:tcPr>
                  <w:tcW w:w="850" w:type="dxa"/>
                  <w:tcBorders>
                    <w:tl2br w:val="nil"/>
                    <w:tr2bl w:val="nil"/>
                  </w:tcBorders>
                  <w:vAlign w:val="center"/>
                </w:tcPr>
                <w:p>
                  <w:pPr>
                    <w:jc w:val="center"/>
                    <w:rPr>
                      <w:color w:val="auto"/>
                      <w:highlight w:val="none"/>
                    </w:rPr>
                  </w:pPr>
                  <w:r>
                    <w:rPr>
                      <w:rFonts w:hint="eastAsia"/>
                      <w:color w:val="auto"/>
                      <w:highlight w:val="none"/>
                      <w:lang w:val="en-US" w:eastAsia="zh-CN"/>
                    </w:rPr>
                    <w:t xml:space="preserve">居民                        </w:t>
                  </w:r>
                </w:p>
              </w:tc>
              <w:tc>
                <w:tcPr>
                  <w:tcW w:w="934" w:type="dxa"/>
                  <w:vMerge w:val="continue"/>
                  <w:tcBorders>
                    <w:tl2br w:val="nil"/>
                    <w:tr2bl w:val="nil"/>
                  </w:tcBorders>
                  <w:vAlign w:val="center"/>
                </w:tcPr>
                <w:p>
                  <w:pPr>
                    <w:widowControl/>
                    <w:jc w:val="center"/>
                    <w:rPr>
                      <w:rFonts w:hint="default"/>
                      <w:color w:val="auto"/>
                      <w:highlight w:val="none"/>
                      <w:lang w:val="en-US" w:eastAsia="zh-CN"/>
                    </w:rPr>
                  </w:pPr>
                </w:p>
              </w:tc>
              <w:tc>
                <w:tcPr>
                  <w:tcW w:w="1096"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 xml:space="preserve">NNW                                           </w:t>
                  </w:r>
                </w:p>
              </w:tc>
              <w:tc>
                <w:tcPr>
                  <w:tcW w:w="1102" w:type="dxa"/>
                  <w:tcBorders>
                    <w:tl2br w:val="nil"/>
                    <w:tr2bl w:val="nil"/>
                  </w:tcBorders>
                  <w:vAlign w:val="center"/>
                </w:tcPr>
                <w:p>
                  <w:pPr>
                    <w:jc w:val="center"/>
                    <w:rPr>
                      <w:color w:val="auto"/>
                      <w:highlight w:val="none"/>
                    </w:rPr>
                  </w:pPr>
                  <w:r>
                    <w:rPr>
                      <w:rFonts w:hint="eastAsia"/>
                      <w:color w:val="auto"/>
                      <w:highlight w:val="none"/>
                      <w:lang w:val="en-US" w:eastAsia="zh-CN"/>
                    </w:rPr>
                    <w:t>723</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color w:val="auto"/>
                      <w:highlight w:val="none"/>
                    </w:rPr>
                  </w:pPr>
                </w:p>
              </w:tc>
              <w:tc>
                <w:tcPr>
                  <w:tcW w:w="708" w:type="dxa"/>
                  <w:tcBorders>
                    <w:tl2br w:val="nil"/>
                    <w:tr2bl w:val="nil"/>
                  </w:tcBorders>
                  <w:vAlign w:val="center"/>
                </w:tcPr>
                <w:p>
                  <w:pPr>
                    <w:adjustRightInd w:val="0"/>
                    <w:snapToGrid w:val="0"/>
                    <w:jc w:val="center"/>
                    <w:rPr>
                      <w:rFonts w:hint="eastAsia"/>
                      <w:color w:val="auto"/>
                      <w:highlight w:val="none"/>
                      <w:lang w:val="en-US" w:eastAsia="zh-CN"/>
                    </w:rPr>
                  </w:pPr>
                  <w:r>
                    <w:rPr>
                      <w:rFonts w:hint="eastAsia"/>
                      <w:color w:val="auto"/>
                      <w:highlight w:val="none"/>
                      <w:lang w:val="en-US" w:eastAsia="zh-CN"/>
                    </w:rPr>
                    <w:t>0</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-2055</w:t>
                  </w:r>
                </w:p>
              </w:tc>
              <w:tc>
                <w:tcPr>
                  <w:tcW w:w="1985" w:type="dxa"/>
                  <w:tcBorders>
                    <w:tl2br w:val="nil"/>
                    <w:tr2bl w:val="nil"/>
                  </w:tcBorders>
                  <w:vAlign w:val="center"/>
                </w:tcPr>
                <w:p>
                  <w:pPr>
                    <w:adjustRightInd w:val="0"/>
                    <w:snapToGrid w:val="0"/>
                    <w:jc w:val="center"/>
                    <w:rPr>
                      <w:rFonts w:hint="default"/>
                      <w:color w:val="auto"/>
                      <w:highlight w:val="none"/>
                      <w:lang w:val="en-US"/>
                    </w:rPr>
                  </w:pPr>
                  <w:r>
                    <w:rPr>
                      <w:rFonts w:hint="eastAsia"/>
                      <w:color w:val="auto"/>
                      <w:highlight w:val="none"/>
                      <w:lang w:eastAsia="zh-CN"/>
                    </w:rPr>
                    <w:t>江川</w:t>
                  </w:r>
                  <w:r>
                    <w:rPr>
                      <w:rFonts w:hint="eastAsia"/>
                      <w:color w:val="auto"/>
                      <w:highlight w:val="none"/>
                      <w:lang w:val="en-US" w:eastAsia="zh-CN"/>
                    </w:rPr>
                    <w:t>17队</w:t>
                  </w:r>
                </w:p>
              </w:tc>
              <w:tc>
                <w:tcPr>
                  <w:tcW w:w="850" w:type="dxa"/>
                  <w:tcBorders>
                    <w:tl2br w:val="nil"/>
                    <w:tr2bl w:val="nil"/>
                  </w:tcBorders>
                  <w:vAlign w:val="center"/>
                </w:tcPr>
                <w:p>
                  <w:pPr>
                    <w:jc w:val="center"/>
                    <w:rPr>
                      <w:color w:val="auto"/>
                      <w:highlight w:val="none"/>
                    </w:rPr>
                  </w:pPr>
                  <w:r>
                    <w:rPr>
                      <w:rFonts w:hint="eastAsia"/>
                      <w:color w:val="auto"/>
                      <w:highlight w:val="none"/>
                    </w:rPr>
                    <w:t>居民</w:t>
                  </w:r>
                </w:p>
              </w:tc>
              <w:tc>
                <w:tcPr>
                  <w:tcW w:w="934" w:type="dxa"/>
                  <w:vMerge w:val="continue"/>
                  <w:tcBorders>
                    <w:tl2br w:val="nil"/>
                    <w:tr2bl w:val="nil"/>
                  </w:tcBorders>
                  <w:vAlign w:val="center"/>
                </w:tcPr>
                <w:p>
                  <w:pPr>
                    <w:jc w:val="center"/>
                    <w:rPr>
                      <w:color w:val="auto"/>
                      <w:highlight w:val="none"/>
                    </w:rPr>
                  </w:pPr>
                </w:p>
              </w:tc>
              <w:tc>
                <w:tcPr>
                  <w:tcW w:w="1096" w:type="dxa"/>
                  <w:tcBorders>
                    <w:tl2br w:val="nil"/>
                    <w:tr2bl w:val="nil"/>
                  </w:tcBorders>
                  <w:vAlign w:val="center"/>
                </w:tcPr>
                <w:p>
                  <w:pPr>
                    <w:jc w:val="center"/>
                    <w:rPr>
                      <w:rFonts w:hint="eastAsia"/>
                      <w:color w:val="auto"/>
                      <w:highlight w:val="none"/>
                      <w:lang w:eastAsia="zh-CN"/>
                    </w:rPr>
                  </w:pPr>
                  <w:r>
                    <w:rPr>
                      <w:rFonts w:hint="eastAsia"/>
                      <w:color w:val="auto"/>
                      <w:highlight w:val="none"/>
                      <w:lang w:val="en-US" w:eastAsia="zh-CN"/>
                    </w:rPr>
                    <w:t>S</w:t>
                  </w:r>
                </w:p>
              </w:tc>
              <w:tc>
                <w:tcPr>
                  <w:tcW w:w="1102" w:type="dxa"/>
                  <w:tcBorders>
                    <w:tl2br w:val="nil"/>
                    <w:tr2bl w:val="nil"/>
                  </w:tcBorders>
                  <w:vAlign w:val="center"/>
                </w:tcPr>
                <w:p>
                  <w:pPr>
                    <w:jc w:val="center"/>
                    <w:rPr>
                      <w:rFonts w:hint="default"/>
                      <w:color w:val="auto"/>
                      <w:highlight w:val="none"/>
                      <w:lang w:val="en-US" w:eastAsia="zh-CN"/>
                    </w:rPr>
                  </w:pPr>
                  <w:r>
                    <w:rPr>
                      <w:rFonts w:hint="eastAsia"/>
                      <w:color w:val="auto"/>
                      <w:highlight w:val="none"/>
                    </w:rPr>
                    <w:t>20</w:t>
                  </w:r>
                  <w:r>
                    <w:rPr>
                      <w:rFonts w:hint="eastAsia"/>
                      <w:color w:val="auto"/>
                      <w:highlight w:val="none"/>
                      <w:lang w:val="en-US" w:eastAsia="zh-CN"/>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color w:val="auto"/>
                      <w:highlight w:val="none"/>
                    </w:rPr>
                  </w:pPr>
                </w:p>
              </w:tc>
              <w:tc>
                <w:tcPr>
                  <w:tcW w:w="708"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1563</w:t>
                  </w:r>
                </w:p>
              </w:tc>
              <w:tc>
                <w:tcPr>
                  <w:tcW w:w="709" w:type="dxa"/>
                  <w:tcBorders>
                    <w:tl2br w:val="nil"/>
                    <w:tr2bl w:val="nil"/>
                  </w:tcBorders>
                  <w:vAlign w:val="center"/>
                </w:tcPr>
                <w:p>
                  <w:pPr>
                    <w:adjustRightInd w:val="0"/>
                    <w:snapToGrid w:val="0"/>
                    <w:jc w:val="center"/>
                    <w:rPr>
                      <w:rFonts w:hint="default"/>
                      <w:color w:val="auto"/>
                      <w:highlight w:val="none"/>
                      <w:lang w:val="en-US" w:eastAsia="zh-CN"/>
                    </w:rPr>
                  </w:pPr>
                  <w:r>
                    <w:rPr>
                      <w:rFonts w:hint="eastAsia"/>
                      <w:color w:val="auto"/>
                      <w:highlight w:val="none"/>
                      <w:lang w:val="en-US" w:eastAsia="zh-CN"/>
                    </w:rPr>
                    <w:t>1594</w:t>
                  </w:r>
                </w:p>
              </w:tc>
              <w:tc>
                <w:tcPr>
                  <w:tcW w:w="1985" w:type="dxa"/>
                  <w:tcBorders>
                    <w:tl2br w:val="nil"/>
                    <w:tr2bl w:val="nil"/>
                  </w:tcBorders>
                  <w:vAlign w:val="center"/>
                </w:tcPr>
                <w:p>
                  <w:pPr>
                    <w:adjustRightInd w:val="0"/>
                    <w:snapToGrid w:val="0"/>
                    <w:jc w:val="center"/>
                    <w:rPr>
                      <w:rFonts w:hint="default"/>
                      <w:color w:val="auto"/>
                      <w:highlight w:val="none"/>
                      <w:lang w:val="en-US"/>
                    </w:rPr>
                  </w:pPr>
                  <w:r>
                    <w:rPr>
                      <w:rFonts w:hint="eastAsia"/>
                      <w:color w:val="auto"/>
                      <w:highlight w:val="none"/>
                      <w:lang w:eastAsia="zh-CN"/>
                    </w:rPr>
                    <w:t>江川</w:t>
                  </w:r>
                  <w:r>
                    <w:rPr>
                      <w:rFonts w:hint="eastAsia"/>
                      <w:color w:val="auto"/>
                      <w:highlight w:val="none"/>
                      <w:lang w:val="en-US" w:eastAsia="zh-CN"/>
                    </w:rPr>
                    <w:t>18队</w:t>
                  </w:r>
                </w:p>
              </w:tc>
              <w:tc>
                <w:tcPr>
                  <w:tcW w:w="850" w:type="dxa"/>
                  <w:tcBorders>
                    <w:tl2br w:val="nil"/>
                    <w:tr2bl w:val="nil"/>
                  </w:tcBorders>
                  <w:vAlign w:val="center"/>
                </w:tcPr>
                <w:p>
                  <w:pPr>
                    <w:jc w:val="center"/>
                    <w:rPr>
                      <w:color w:val="auto"/>
                      <w:highlight w:val="none"/>
                    </w:rPr>
                  </w:pPr>
                  <w:r>
                    <w:rPr>
                      <w:rFonts w:hint="eastAsia"/>
                      <w:color w:val="auto"/>
                      <w:highlight w:val="none"/>
                    </w:rPr>
                    <w:t>居民</w:t>
                  </w:r>
                </w:p>
              </w:tc>
              <w:tc>
                <w:tcPr>
                  <w:tcW w:w="934" w:type="dxa"/>
                  <w:vMerge w:val="continue"/>
                  <w:tcBorders>
                    <w:tl2br w:val="nil"/>
                    <w:tr2bl w:val="nil"/>
                  </w:tcBorders>
                  <w:vAlign w:val="center"/>
                </w:tcPr>
                <w:p>
                  <w:pPr>
                    <w:jc w:val="center"/>
                    <w:rPr>
                      <w:color w:val="auto"/>
                      <w:highlight w:val="none"/>
                    </w:rPr>
                  </w:pPr>
                </w:p>
              </w:tc>
              <w:tc>
                <w:tcPr>
                  <w:tcW w:w="1096"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NNE</w:t>
                  </w:r>
                </w:p>
              </w:tc>
              <w:tc>
                <w:tcPr>
                  <w:tcW w:w="1102" w:type="dxa"/>
                  <w:tcBorders>
                    <w:tl2br w:val="nil"/>
                    <w:tr2bl w:val="nil"/>
                  </w:tcBorders>
                  <w:vAlign w:val="center"/>
                </w:tcPr>
                <w:p>
                  <w:pPr>
                    <w:jc w:val="center"/>
                    <w:rPr>
                      <w:rFonts w:hint="default"/>
                      <w:color w:val="auto"/>
                      <w:highlight w:val="none"/>
                      <w:lang w:val="en-US" w:eastAsia="zh-CN"/>
                    </w:rPr>
                  </w:pPr>
                  <w:r>
                    <w:rPr>
                      <w:rFonts w:hint="eastAsia"/>
                      <w:color w:val="auto"/>
                      <w:highlight w:val="none"/>
                      <w:lang w:val="en-US" w:eastAsia="zh-CN"/>
                    </w:rPr>
                    <w:t>2581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restart"/>
                  <w:tcBorders>
                    <w:tl2br w:val="nil"/>
                    <w:tr2bl w:val="nil"/>
                  </w:tcBorders>
                  <w:vAlign w:val="center"/>
                </w:tcPr>
                <w:p>
                  <w:pPr>
                    <w:widowControl/>
                    <w:jc w:val="center"/>
                    <w:rPr>
                      <w:color w:val="auto"/>
                      <w:highlight w:val="none"/>
                    </w:rPr>
                  </w:pPr>
                  <w:r>
                    <w:rPr>
                      <w:rFonts w:hint="eastAsia"/>
                      <w:color w:val="auto"/>
                      <w:highlight w:val="none"/>
                    </w:rPr>
                    <w:t>声环境</w:t>
                  </w:r>
                </w:p>
              </w:tc>
              <w:tc>
                <w:tcPr>
                  <w:tcW w:w="708" w:type="dxa"/>
                  <w:tcBorders>
                    <w:tl2br w:val="nil"/>
                    <w:tr2bl w:val="nil"/>
                  </w:tcBorders>
                  <w:vAlign w:val="center"/>
                </w:tcPr>
                <w:p>
                  <w:pPr>
                    <w:adjustRightInd w:val="0"/>
                    <w:snapToGrid w:val="0"/>
                    <w:jc w:val="center"/>
                    <w:rPr>
                      <w:color w:val="auto"/>
                      <w:highlight w:val="none"/>
                    </w:rPr>
                  </w:pPr>
                  <w:r>
                    <w:rPr>
                      <w:rFonts w:hint="eastAsia"/>
                      <w:color w:val="auto"/>
                      <w:highlight w:val="none"/>
                      <w:lang w:val="en-US" w:eastAsia="zh-CN"/>
                    </w:rPr>
                    <w:t>80</w:t>
                  </w:r>
                </w:p>
              </w:tc>
              <w:tc>
                <w:tcPr>
                  <w:tcW w:w="709" w:type="dxa"/>
                  <w:tcBorders>
                    <w:tl2br w:val="nil"/>
                    <w:tr2bl w:val="nil"/>
                  </w:tcBorders>
                  <w:vAlign w:val="center"/>
                </w:tcPr>
                <w:p>
                  <w:pPr>
                    <w:adjustRightInd w:val="0"/>
                    <w:snapToGrid w:val="0"/>
                    <w:jc w:val="center"/>
                    <w:rPr>
                      <w:color w:val="auto"/>
                      <w:highlight w:val="none"/>
                    </w:rPr>
                  </w:pPr>
                  <w:r>
                    <w:rPr>
                      <w:rFonts w:hint="eastAsia"/>
                      <w:color w:val="auto"/>
                      <w:highlight w:val="none"/>
                      <w:lang w:val="en-US" w:eastAsia="zh-CN"/>
                    </w:rPr>
                    <w:t>0</w:t>
                  </w:r>
                </w:p>
              </w:tc>
              <w:tc>
                <w:tcPr>
                  <w:tcW w:w="1985" w:type="dxa"/>
                  <w:tcBorders>
                    <w:tl2br w:val="nil"/>
                    <w:tr2bl w:val="nil"/>
                  </w:tcBorders>
                  <w:vAlign w:val="center"/>
                </w:tcPr>
                <w:p>
                  <w:pPr>
                    <w:adjustRightInd w:val="0"/>
                    <w:snapToGrid w:val="0"/>
                    <w:jc w:val="center"/>
                    <w:rPr>
                      <w:color w:val="auto"/>
                      <w:highlight w:val="none"/>
                    </w:rPr>
                  </w:pPr>
                  <w:r>
                    <w:rPr>
                      <w:rFonts w:hint="eastAsia"/>
                      <w:color w:val="auto"/>
                      <w:highlight w:val="none"/>
                      <w:lang w:eastAsia="zh-CN"/>
                    </w:rPr>
                    <w:t>东侧居民</w:t>
                  </w:r>
                </w:p>
              </w:tc>
              <w:tc>
                <w:tcPr>
                  <w:tcW w:w="850" w:type="dxa"/>
                  <w:tcBorders>
                    <w:tl2br w:val="nil"/>
                    <w:tr2bl w:val="nil"/>
                  </w:tcBorders>
                  <w:vAlign w:val="center"/>
                </w:tcPr>
                <w:p>
                  <w:pPr>
                    <w:jc w:val="center"/>
                    <w:rPr>
                      <w:color w:val="auto"/>
                      <w:highlight w:val="none"/>
                    </w:rPr>
                  </w:pPr>
                  <w:r>
                    <w:rPr>
                      <w:rFonts w:hint="eastAsia"/>
                      <w:color w:val="auto"/>
                      <w:highlight w:val="none"/>
                      <w:lang w:eastAsia="zh-CN"/>
                    </w:rPr>
                    <w:t>居民</w:t>
                  </w:r>
                </w:p>
              </w:tc>
              <w:tc>
                <w:tcPr>
                  <w:tcW w:w="934" w:type="dxa"/>
                  <w:vMerge w:val="restart"/>
                  <w:tcBorders>
                    <w:tl2br w:val="nil"/>
                    <w:tr2bl w:val="nil"/>
                  </w:tcBorders>
                  <w:vAlign w:val="center"/>
                </w:tcPr>
                <w:p>
                  <w:pPr>
                    <w:jc w:val="center"/>
                    <w:rPr>
                      <w:color w:val="auto"/>
                      <w:highlight w:val="none"/>
                    </w:rPr>
                  </w:pPr>
                  <w:r>
                    <w:rPr>
                      <w:rFonts w:hint="eastAsia"/>
                      <w:color w:val="auto"/>
                      <w:highlight w:val="none"/>
                      <w:lang w:val="en-US" w:eastAsia="zh-CN"/>
                    </w:rPr>
                    <w:t>2</w:t>
                  </w:r>
                  <w:r>
                    <w:rPr>
                      <w:rFonts w:hint="eastAsia"/>
                      <w:color w:val="auto"/>
                      <w:highlight w:val="none"/>
                    </w:rPr>
                    <w:t>类</w:t>
                  </w:r>
                </w:p>
              </w:tc>
              <w:tc>
                <w:tcPr>
                  <w:tcW w:w="1096" w:type="dxa"/>
                  <w:tcBorders>
                    <w:tl2br w:val="nil"/>
                    <w:tr2bl w:val="nil"/>
                  </w:tcBorders>
                  <w:vAlign w:val="center"/>
                </w:tcPr>
                <w:p>
                  <w:pPr>
                    <w:jc w:val="center"/>
                    <w:rPr>
                      <w:color w:val="auto"/>
                      <w:highlight w:val="none"/>
                    </w:rPr>
                  </w:pPr>
                  <w:r>
                    <w:rPr>
                      <w:rFonts w:hint="eastAsia"/>
                      <w:color w:val="auto"/>
                      <w:highlight w:val="none"/>
                      <w:lang w:val="en-US" w:eastAsia="zh-CN"/>
                    </w:rPr>
                    <w:t>E</w:t>
                  </w:r>
                </w:p>
              </w:tc>
              <w:tc>
                <w:tcPr>
                  <w:tcW w:w="1102" w:type="dxa"/>
                  <w:tcBorders>
                    <w:tl2br w:val="nil"/>
                    <w:tr2bl w:val="nil"/>
                  </w:tcBorders>
                  <w:vAlign w:val="center"/>
                </w:tcPr>
                <w:p>
                  <w:pPr>
                    <w:jc w:val="center"/>
                    <w:rPr>
                      <w:color w:val="auto"/>
                      <w:highlight w:val="none"/>
                    </w:rPr>
                  </w:pPr>
                  <w:r>
                    <w:rPr>
                      <w:rFonts w:hint="eastAsia"/>
                      <w:color w:val="auto"/>
                      <w:highlight w:val="none"/>
                      <w:lang w:val="en-US" w:eastAsia="zh-CN"/>
                    </w:rPr>
                    <w:t>80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rFonts w:hint="eastAsia"/>
                      <w:color w:val="auto"/>
                      <w:highlight w:val="none"/>
                    </w:rPr>
                  </w:pPr>
                </w:p>
              </w:tc>
              <w:tc>
                <w:tcPr>
                  <w:tcW w:w="708" w:type="dxa"/>
                  <w:tcBorders>
                    <w:tl2br w:val="nil"/>
                    <w:tr2bl w:val="nil"/>
                  </w:tcBorders>
                  <w:vAlign w:val="center"/>
                </w:tcPr>
                <w:p>
                  <w:pPr>
                    <w:adjustRightInd w:val="0"/>
                    <w:snapToGrid w:val="0"/>
                    <w:jc w:val="center"/>
                    <w:rPr>
                      <w:rFonts w:hint="eastAsia"/>
                      <w:color w:val="auto"/>
                      <w:highlight w:val="none"/>
                    </w:rPr>
                  </w:pPr>
                  <w:r>
                    <w:rPr>
                      <w:rFonts w:hint="eastAsia"/>
                      <w:color w:val="auto"/>
                      <w:highlight w:val="none"/>
                      <w:lang w:val="en-US" w:eastAsia="zh-CN"/>
                    </w:rPr>
                    <w:t>0</w:t>
                  </w:r>
                </w:p>
              </w:tc>
              <w:tc>
                <w:tcPr>
                  <w:tcW w:w="709" w:type="dxa"/>
                  <w:tcBorders>
                    <w:tl2br w:val="nil"/>
                    <w:tr2bl w:val="nil"/>
                  </w:tcBorders>
                  <w:vAlign w:val="center"/>
                </w:tcPr>
                <w:p>
                  <w:pPr>
                    <w:adjustRightInd w:val="0"/>
                    <w:snapToGrid w:val="0"/>
                    <w:jc w:val="center"/>
                    <w:rPr>
                      <w:rFonts w:hint="eastAsia"/>
                      <w:color w:val="auto"/>
                      <w:highlight w:val="none"/>
                      <w:lang w:val="en-US" w:eastAsia="zh-CN"/>
                    </w:rPr>
                  </w:pPr>
                  <w:r>
                    <w:rPr>
                      <w:rFonts w:hint="eastAsia"/>
                      <w:color w:val="auto"/>
                      <w:highlight w:val="none"/>
                      <w:lang w:val="en-US" w:eastAsia="zh-CN"/>
                    </w:rPr>
                    <w:t>26</w:t>
                  </w:r>
                </w:p>
              </w:tc>
              <w:tc>
                <w:tcPr>
                  <w:tcW w:w="1985" w:type="dxa"/>
                  <w:tcBorders>
                    <w:tl2br w:val="nil"/>
                    <w:tr2bl w:val="nil"/>
                  </w:tcBorders>
                  <w:vAlign w:val="center"/>
                </w:tcPr>
                <w:p>
                  <w:pPr>
                    <w:adjustRightInd w:val="0"/>
                    <w:snapToGrid w:val="0"/>
                    <w:jc w:val="center"/>
                    <w:rPr>
                      <w:rFonts w:hint="eastAsia"/>
                      <w:color w:val="auto"/>
                      <w:highlight w:val="none"/>
                      <w:lang w:eastAsia="zh-CN"/>
                    </w:rPr>
                  </w:pPr>
                  <w:r>
                    <w:rPr>
                      <w:rFonts w:hint="eastAsia"/>
                      <w:color w:val="auto"/>
                      <w:highlight w:val="none"/>
                      <w:lang w:eastAsia="zh-CN"/>
                    </w:rPr>
                    <w:t>北侧居民</w:t>
                  </w:r>
                </w:p>
              </w:tc>
              <w:tc>
                <w:tcPr>
                  <w:tcW w:w="850" w:type="dxa"/>
                  <w:tcBorders>
                    <w:tl2br w:val="nil"/>
                    <w:tr2bl w:val="nil"/>
                  </w:tcBorders>
                  <w:vAlign w:val="center"/>
                </w:tcPr>
                <w:p>
                  <w:pPr>
                    <w:jc w:val="center"/>
                    <w:rPr>
                      <w:rFonts w:hint="eastAsia"/>
                      <w:color w:val="auto"/>
                      <w:highlight w:val="none"/>
                    </w:rPr>
                  </w:pPr>
                  <w:r>
                    <w:rPr>
                      <w:rFonts w:hint="eastAsia"/>
                      <w:color w:val="auto"/>
                      <w:highlight w:val="none"/>
                    </w:rPr>
                    <w:t>居民</w:t>
                  </w:r>
                </w:p>
              </w:tc>
              <w:tc>
                <w:tcPr>
                  <w:tcW w:w="934" w:type="dxa"/>
                  <w:vMerge w:val="continue"/>
                  <w:tcBorders>
                    <w:tl2br w:val="nil"/>
                    <w:tr2bl w:val="nil"/>
                  </w:tcBorders>
                  <w:vAlign w:val="center"/>
                </w:tcPr>
                <w:p>
                  <w:pPr>
                    <w:jc w:val="center"/>
                    <w:rPr>
                      <w:rFonts w:hint="eastAsia"/>
                      <w:color w:val="auto"/>
                      <w:highlight w:val="none"/>
                      <w:lang w:val="en-US" w:eastAsia="zh-CN"/>
                    </w:rPr>
                  </w:pPr>
                </w:p>
              </w:tc>
              <w:tc>
                <w:tcPr>
                  <w:tcW w:w="1096" w:type="dxa"/>
                  <w:tcBorders>
                    <w:tl2br w:val="nil"/>
                    <w:tr2bl w:val="nil"/>
                  </w:tcBorders>
                  <w:vAlign w:val="center"/>
                </w:tcPr>
                <w:p>
                  <w:pPr>
                    <w:jc w:val="center"/>
                    <w:rPr>
                      <w:rFonts w:hint="eastAsia"/>
                      <w:color w:val="auto"/>
                      <w:highlight w:val="none"/>
                      <w:lang w:val="en-US" w:eastAsia="zh-CN"/>
                    </w:rPr>
                  </w:pPr>
                  <w:r>
                    <w:rPr>
                      <w:rFonts w:hint="eastAsia"/>
                      <w:color w:val="auto"/>
                      <w:highlight w:val="none"/>
                      <w:lang w:val="en-US" w:eastAsia="zh-CN"/>
                    </w:rPr>
                    <w:t>N</w:t>
                  </w:r>
                </w:p>
              </w:tc>
              <w:tc>
                <w:tcPr>
                  <w:tcW w:w="1102" w:type="dxa"/>
                  <w:tcBorders>
                    <w:tl2br w:val="nil"/>
                    <w:tr2bl w:val="nil"/>
                  </w:tcBorders>
                  <w:vAlign w:val="center"/>
                </w:tcPr>
                <w:p>
                  <w:pPr>
                    <w:jc w:val="center"/>
                    <w:rPr>
                      <w:rFonts w:hint="eastAsia"/>
                      <w:color w:val="auto"/>
                      <w:highlight w:val="none"/>
                      <w:lang w:val="en-US" w:eastAsia="zh-CN"/>
                    </w:rPr>
                  </w:pPr>
                  <w:r>
                    <w:rPr>
                      <w:rFonts w:hint="eastAsia"/>
                      <w:color w:val="auto"/>
                      <w:highlight w:val="none"/>
                      <w:lang w:val="en-US" w:eastAsia="zh-CN"/>
                    </w:rPr>
                    <w:t>26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rFonts w:hint="eastAsia"/>
                      <w:color w:val="auto"/>
                      <w:highlight w:val="none"/>
                    </w:rPr>
                  </w:pPr>
                </w:p>
              </w:tc>
              <w:tc>
                <w:tcPr>
                  <w:tcW w:w="708" w:type="dxa"/>
                  <w:tcBorders>
                    <w:tl2br w:val="nil"/>
                    <w:tr2bl w:val="nil"/>
                  </w:tcBorders>
                  <w:vAlign w:val="center"/>
                </w:tcPr>
                <w:p>
                  <w:pPr>
                    <w:adjustRightInd w:val="0"/>
                    <w:snapToGrid w:val="0"/>
                    <w:jc w:val="center"/>
                    <w:rPr>
                      <w:rFonts w:hint="eastAsia"/>
                      <w:color w:val="auto"/>
                      <w:highlight w:val="none"/>
                      <w:lang w:val="en-US" w:eastAsia="zh-CN"/>
                    </w:rPr>
                  </w:pPr>
                  <w:r>
                    <w:rPr>
                      <w:rFonts w:hint="eastAsia"/>
                      <w:color w:val="auto"/>
                      <w:highlight w:val="none"/>
                      <w:lang w:val="en-US" w:eastAsia="zh-CN"/>
                    </w:rPr>
                    <w:t>-30</w:t>
                  </w:r>
                </w:p>
              </w:tc>
              <w:tc>
                <w:tcPr>
                  <w:tcW w:w="709" w:type="dxa"/>
                  <w:tcBorders>
                    <w:tl2br w:val="nil"/>
                    <w:tr2bl w:val="nil"/>
                  </w:tcBorders>
                  <w:vAlign w:val="center"/>
                </w:tcPr>
                <w:p>
                  <w:pPr>
                    <w:adjustRightInd w:val="0"/>
                    <w:snapToGrid w:val="0"/>
                    <w:jc w:val="center"/>
                    <w:rPr>
                      <w:rFonts w:hint="eastAsia"/>
                      <w:color w:val="auto"/>
                      <w:highlight w:val="none"/>
                      <w:lang w:val="en-US" w:eastAsia="zh-CN"/>
                    </w:rPr>
                  </w:pPr>
                  <w:r>
                    <w:rPr>
                      <w:rFonts w:hint="eastAsia"/>
                      <w:color w:val="auto"/>
                      <w:highlight w:val="none"/>
                      <w:lang w:val="en-US" w:eastAsia="zh-CN"/>
                    </w:rPr>
                    <w:t>0</w:t>
                  </w:r>
                </w:p>
              </w:tc>
              <w:tc>
                <w:tcPr>
                  <w:tcW w:w="1985" w:type="dxa"/>
                  <w:tcBorders>
                    <w:tl2br w:val="nil"/>
                    <w:tr2bl w:val="nil"/>
                  </w:tcBorders>
                  <w:vAlign w:val="center"/>
                </w:tcPr>
                <w:p>
                  <w:pPr>
                    <w:adjustRightInd w:val="0"/>
                    <w:snapToGrid w:val="0"/>
                    <w:jc w:val="center"/>
                    <w:rPr>
                      <w:rFonts w:hint="eastAsia"/>
                      <w:color w:val="auto"/>
                      <w:highlight w:val="none"/>
                      <w:lang w:eastAsia="zh-CN"/>
                    </w:rPr>
                  </w:pPr>
                  <w:r>
                    <w:rPr>
                      <w:rFonts w:hint="eastAsia"/>
                      <w:color w:val="auto"/>
                      <w:highlight w:val="none"/>
                      <w:lang w:eastAsia="zh-CN"/>
                    </w:rPr>
                    <w:t>西侧居民</w:t>
                  </w:r>
                </w:p>
              </w:tc>
              <w:tc>
                <w:tcPr>
                  <w:tcW w:w="850" w:type="dxa"/>
                  <w:tcBorders>
                    <w:tl2br w:val="nil"/>
                    <w:tr2bl w:val="nil"/>
                  </w:tcBorders>
                  <w:vAlign w:val="center"/>
                </w:tcPr>
                <w:p>
                  <w:pPr>
                    <w:jc w:val="center"/>
                    <w:rPr>
                      <w:rFonts w:hint="eastAsia"/>
                      <w:color w:val="auto"/>
                      <w:highlight w:val="none"/>
                    </w:rPr>
                  </w:pPr>
                  <w:r>
                    <w:rPr>
                      <w:rFonts w:hint="eastAsia"/>
                      <w:color w:val="auto"/>
                      <w:highlight w:val="none"/>
                      <w:lang w:eastAsia="zh-CN"/>
                    </w:rPr>
                    <w:t>居民</w:t>
                  </w:r>
                </w:p>
              </w:tc>
              <w:tc>
                <w:tcPr>
                  <w:tcW w:w="934" w:type="dxa"/>
                  <w:vMerge w:val="continue"/>
                  <w:tcBorders>
                    <w:tl2br w:val="nil"/>
                    <w:tr2bl w:val="nil"/>
                  </w:tcBorders>
                  <w:vAlign w:val="center"/>
                </w:tcPr>
                <w:p>
                  <w:pPr>
                    <w:jc w:val="center"/>
                    <w:rPr>
                      <w:rFonts w:hint="eastAsia"/>
                      <w:color w:val="auto"/>
                      <w:highlight w:val="none"/>
                      <w:lang w:val="en-US" w:eastAsia="zh-CN"/>
                    </w:rPr>
                  </w:pPr>
                </w:p>
              </w:tc>
              <w:tc>
                <w:tcPr>
                  <w:tcW w:w="1096" w:type="dxa"/>
                  <w:tcBorders>
                    <w:tl2br w:val="nil"/>
                    <w:tr2bl w:val="nil"/>
                  </w:tcBorders>
                  <w:vAlign w:val="center"/>
                </w:tcPr>
                <w:p>
                  <w:pPr>
                    <w:jc w:val="center"/>
                    <w:rPr>
                      <w:rFonts w:hint="eastAsia"/>
                      <w:color w:val="auto"/>
                      <w:highlight w:val="none"/>
                      <w:lang w:val="en-US" w:eastAsia="zh-CN"/>
                    </w:rPr>
                  </w:pPr>
                  <w:r>
                    <w:rPr>
                      <w:rFonts w:hint="eastAsia"/>
                      <w:color w:val="auto"/>
                      <w:highlight w:val="none"/>
                      <w:lang w:val="en-US" w:eastAsia="zh-CN"/>
                    </w:rPr>
                    <w:t>W</w:t>
                  </w:r>
                </w:p>
              </w:tc>
              <w:tc>
                <w:tcPr>
                  <w:tcW w:w="1102" w:type="dxa"/>
                  <w:tcBorders>
                    <w:tl2br w:val="nil"/>
                    <w:tr2bl w:val="nil"/>
                  </w:tcBorders>
                  <w:vAlign w:val="center"/>
                </w:tcPr>
                <w:p>
                  <w:pPr>
                    <w:jc w:val="center"/>
                    <w:rPr>
                      <w:rFonts w:hint="eastAsia"/>
                      <w:color w:val="auto"/>
                      <w:highlight w:val="none"/>
                      <w:lang w:val="en-US" w:eastAsia="zh-CN"/>
                    </w:rPr>
                  </w:pPr>
                  <w:r>
                    <w:rPr>
                      <w:rFonts w:hint="eastAsia"/>
                      <w:color w:val="auto"/>
                      <w:highlight w:val="none"/>
                      <w:lang w:val="en-US" w:eastAsia="zh-CN"/>
                    </w:rPr>
                    <w:t>30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color w:val="auto"/>
                      <w:highlight w:val="none"/>
                    </w:rPr>
                  </w:pPr>
                </w:p>
              </w:tc>
              <w:tc>
                <w:tcPr>
                  <w:tcW w:w="708" w:type="dxa"/>
                  <w:tcBorders>
                    <w:tl2br w:val="nil"/>
                    <w:tr2bl w:val="nil"/>
                  </w:tcBorders>
                  <w:vAlign w:val="center"/>
                </w:tcPr>
                <w:p>
                  <w:pPr>
                    <w:adjustRightInd w:val="0"/>
                    <w:snapToGrid w:val="0"/>
                    <w:jc w:val="center"/>
                    <w:rPr>
                      <w:color w:val="auto"/>
                      <w:highlight w:val="none"/>
                    </w:rPr>
                  </w:pPr>
                  <w:r>
                    <w:rPr>
                      <w:rFonts w:hint="eastAsia"/>
                      <w:color w:val="auto"/>
                      <w:highlight w:val="none"/>
                      <w:lang w:val="en-US" w:eastAsia="zh-CN"/>
                    </w:rPr>
                    <w:t>0</w:t>
                  </w:r>
                </w:p>
              </w:tc>
              <w:tc>
                <w:tcPr>
                  <w:tcW w:w="709" w:type="dxa"/>
                  <w:tcBorders>
                    <w:tl2br w:val="nil"/>
                    <w:tr2bl w:val="nil"/>
                  </w:tcBorders>
                  <w:vAlign w:val="center"/>
                </w:tcPr>
                <w:p>
                  <w:pPr>
                    <w:adjustRightInd w:val="0"/>
                    <w:snapToGrid w:val="0"/>
                    <w:jc w:val="center"/>
                    <w:rPr>
                      <w:color w:val="auto"/>
                      <w:highlight w:val="none"/>
                    </w:rPr>
                  </w:pPr>
                  <w:r>
                    <w:rPr>
                      <w:rFonts w:hint="eastAsia"/>
                      <w:color w:val="auto"/>
                      <w:highlight w:val="none"/>
                      <w:lang w:val="en-US" w:eastAsia="zh-CN"/>
                    </w:rPr>
                    <w:t>-45</w:t>
                  </w:r>
                </w:p>
              </w:tc>
              <w:tc>
                <w:tcPr>
                  <w:tcW w:w="1985" w:type="dxa"/>
                  <w:tcBorders>
                    <w:tl2br w:val="nil"/>
                    <w:tr2bl w:val="nil"/>
                  </w:tcBorders>
                  <w:vAlign w:val="center"/>
                </w:tcPr>
                <w:p>
                  <w:pPr>
                    <w:adjustRightInd w:val="0"/>
                    <w:snapToGrid w:val="0"/>
                    <w:jc w:val="center"/>
                    <w:rPr>
                      <w:color w:val="auto"/>
                      <w:highlight w:val="none"/>
                    </w:rPr>
                  </w:pPr>
                  <w:r>
                    <w:rPr>
                      <w:rFonts w:hint="eastAsia"/>
                      <w:color w:val="auto"/>
                      <w:highlight w:val="none"/>
                      <w:lang w:eastAsia="zh-CN"/>
                    </w:rPr>
                    <w:t>江川农场学校</w:t>
                  </w:r>
                </w:p>
              </w:tc>
              <w:tc>
                <w:tcPr>
                  <w:tcW w:w="850" w:type="dxa"/>
                  <w:tcBorders>
                    <w:tl2br w:val="nil"/>
                    <w:tr2bl w:val="nil"/>
                  </w:tcBorders>
                  <w:vAlign w:val="center"/>
                </w:tcPr>
                <w:p>
                  <w:pPr>
                    <w:jc w:val="center"/>
                    <w:rPr>
                      <w:color w:val="auto"/>
                      <w:highlight w:val="none"/>
                    </w:rPr>
                  </w:pPr>
                  <w:r>
                    <w:rPr>
                      <w:rFonts w:hint="eastAsia"/>
                      <w:color w:val="auto"/>
                      <w:highlight w:val="none"/>
                    </w:rPr>
                    <w:t>学校</w:t>
                  </w:r>
                </w:p>
              </w:tc>
              <w:tc>
                <w:tcPr>
                  <w:tcW w:w="934" w:type="dxa"/>
                  <w:vMerge w:val="continue"/>
                  <w:tcBorders>
                    <w:tl2br w:val="nil"/>
                    <w:tr2bl w:val="nil"/>
                  </w:tcBorders>
                  <w:vAlign w:val="center"/>
                </w:tcPr>
                <w:p>
                  <w:pPr>
                    <w:jc w:val="center"/>
                    <w:rPr>
                      <w:color w:val="auto"/>
                      <w:highlight w:val="none"/>
                    </w:rPr>
                  </w:pPr>
                </w:p>
              </w:tc>
              <w:tc>
                <w:tcPr>
                  <w:tcW w:w="1096" w:type="dxa"/>
                  <w:tcBorders>
                    <w:tl2br w:val="nil"/>
                    <w:tr2bl w:val="nil"/>
                  </w:tcBorders>
                  <w:vAlign w:val="center"/>
                </w:tcPr>
                <w:p>
                  <w:pPr>
                    <w:jc w:val="center"/>
                    <w:rPr>
                      <w:color w:val="auto"/>
                      <w:highlight w:val="none"/>
                    </w:rPr>
                  </w:pPr>
                  <w:r>
                    <w:rPr>
                      <w:rFonts w:hint="eastAsia"/>
                      <w:color w:val="auto"/>
                      <w:highlight w:val="none"/>
                      <w:lang w:val="en-US" w:eastAsia="zh-CN"/>
                    </w:rPr>
                    <w:t>S</w:t>
                  </w:r>
                </w:p>
              </w:tc>
              <w:tc>
                <w:tcPr>
                  <w:tcW w:w="1102" w:type="dxa"/>
                  <w:tcBorders>
                    <w:tl2br w:val="nil"/>
                    <w:tr2bl w:val="nil"/>
                  </w:tcBorders>
                  <w:vAlign w:val="center"/>
                </w:tcPr>
                <w:p>
                  <w:pPr>
                    <w:jc w:val="center"/>
                    <w:rPr>
                      <w:color w:val="auto"/>
                      <w:highlight w:val="none"/>
                    </w:rPr>
                  </w:pPr>
                  <w:r>
                    <w:rPr>
                      <w:rFonts w:hint="eastAsia"/>
                      <w:color w:val="auto"/>
                      <w:highlight w:val="none"/>
                      <w:lang w:val="en-US" w:eastAsia="zh-CN"/>
                    </w:rPr>
                    <w:t>45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38" w:type="dxa"/>
                  <w:vMerge w:val="continue"/>
                  <w:tcBorders>
                    <w:tl2br w:val="nil"/>
                    <w:tr2bl w:val="nil"/>
                  </w:tcBorders>
                  <w:vAlign w:val="center"/>
                </w:tcPr>
                <w:p>
                  <w:pPr>
                    <w:widowControl/>
                    <w:jc w:val="center"/>
                    <w:rPr>
                      <w:color w:val="auto"/>
                      <w:highlight w:val="none"/>
                    </w:rPr>
                  </w:pPr>
                </w:p>
              </w:tc>
              <w:tc>
                <w:tcPr>
                  <w:tcW w:w="708" w:type="dxa"/>
                  <w:tcBorders>
                    <w:tl2br w:val="nil"/>
                    <w:tr2bl w:val="nil"/>
                  </w:tcBorders>
                  <w:vAlign w:val="center"/>
                </w:tcPr>
                <w:p>
                  <w:pPr>
                    <w:adjustRightInd w:val="0"/>
                    <w:snapToGrid w:val="0"/>
                    <w:jc w:val="center"/>
                    <w:rPr>
                      <w:color w:val="auto"/>
                      <w:highlight w:val="none"/>
                    </w:rPr>
                  </w:pPr>
                  <w:r>
                    <w:rPr>
                      <w:rFonts w:hint="eastAsia"/>
                      <w:color w:val="auto"/>
                      <w:highlight w:val="none"/>
                      <w:lang w:val="en-US" w:eastAsia="zh-CN"/>
                    </w:rPr>
                    <w:t>-127</w:t>
                  </w:r>
                </w:p>
              </w:tc>
              <w:tc>
                <w:tcPr>
                  <w:tcW w:w="709" w:type="dxa"/>
                  <w:tcBorders>
                    <w:tl2br w:val="nil"/>
                    <w:tr2bl w:val="nil"/>
                  </w:tcBorders>
                  <w:vAlign w:val="center"/>
                </w:tcPr>
                <w:p>
                  <w:pPr>
                    <w:adjustRightInd w:val="0"/>
                    <w:snapToGrid w:val="0"/>
                    <w:jc w:val="center"/>
                    <w:rPr>
                      <w:color w:val="auto"/>
                      <w:highlight w:val="none"/>
                    </w:rPr>
                  </w:pPr>
                  <w:r>
                    <w:rPr>
                      <w:rFonts w:hint="eastAsia"/>
                      <w:color w:val="auto"/>
                      <w:highlight w:val="none"/>
                      <w:lang w:val="en-US" w:eastAsia="zh-CN"/>
                    </w:rPr>
                    <w:t>-42</w:t>
                  </w:r>
                </w:p>
              </w:tc>
              <w:tc>
                <w:tcPr>
                  <w:tcW w:w="1985" w:type="dxa"/>
                  <w:tcBorders>
                    <w:tl2br w:val="nil"/>
                    <w:tr2bl w:val="nil"/>
                  </w:tcBorders>
                  <w:vAlign w:val="center"/>
                </w:tcPr>
                <w:p>
                  <w:pPr>
                    <w:adjustRightInd w:val="0"/>
                    <w:snapToGrid w:val="0"/>
                    <w:jc w:val="center"/>
                    <w:rPr>
                      <w:color w:val="auto"/>
                      <w:highlight w:val="none"/>
                    </w:rPr>
                  </w:pPr>
                  <w:r>
                    <w:rPr>
                      <w:rFonts w:hint="eastAsia"/>
                      <w:color w:val="auto"/>
                      <w:highlight w:val="none"/>
                      <w:lang w:eastAsia="zh-CN"/>
                    </w:rPr>
                    <w:t>兴川花园城</w:t>
                  </w:r>
                </w:p>
              </w:tc>
              <w:tc>
                <w:tcPr>
                  <w:tcW w:w="850" w:type="dxa"/>
                  <w:tcBorders>
                    <w:tl2br w:val="nil"/>
                    <w:tr2bl w:val="nil"/>
                  </w:tcBorders>
                  <w:vAlign w:val="center"/>
                </w:tcPr>
                <w:p>
                  <w:pPr>
                    <w:jc w:val="center"/>
                    <w:rPr>
                      <w:color w:val="auto"/>
                      <w:highlight w:val="none"/>
                    </w:rPr>
                  </w:pPr>
                  <w:r>
                    <w:rPr>
                      <w:rFonts w:hint="eastAsia"/>
                      <w:color w:val="auto"/>
                      <w:highlight w:val="none"/>
                    </w:rPr>
                    <w:t>居民</w:t>
                  </w:r>
                </w:p>
              </w:tc>
              <w:tc>
                <w:tcPr>
                  <w:tcW w:w="934" w:type="dxa"/>
                  <w:vMerge w:val="continue"/>
                  <w:tcBorders>
                    <w:tl2br w:val="nil"/>
                    <w:tr2bl w:val="nil"/>
                  </w:tcBorders>
                  <w:vAlign w:val="center"/>
                </w:tcPr>
                <w:p>
                  <w:pPr>
                    <w:widowControl/>
                    <w:jc w:val="center"/>
                    <w:rPr>
                      <w:color w:val="auto"/>
                      <w:highlight w:val="none"/>
                    </w:rPr>
                  </w:pPr>
                </w:p>
              </w:tc>
              <w:tc>
                <w:tcPr>
                  <w:tcW w:w="1096" w:type="dxa"/>
                  <w:tcBorders>
                    <w:tl2br w:val="nil"/>
                    <w:tr2bl w:val="nil"/>
                  </w:tcBorders>
                  <w:vAlign w:val="center"/>
                </w:tcPr>
                <w:p>
                  <w:pPr>
                    <w:jc w:val="center"/>
                    <w:rPr>
                      <w:color w:val="auto"/>
                      <w:highlight w:val="none"/>
                    </w:rPr>
                  </w:pPr>
                  <w:r>
                    <w:rPr>
                      <w:rFonts w:hint="eastAsia"/>
                      <w:color w:val="auto"/>
                      <w:highlight w:val="none"/>
                      <w:lang w:val="en-US" w:eastAsia="zh-CN"/>
                    </w:rPr>
                    <w:t>SSW</w:t>
                  </w:r>
                </w:p>
              </w:tc>
              <w:tc>
                <w:tcPr>
                  <w:tcW w:w="1102" w:type="dxa"/>
                  <w:tcBorders>
                    <w:tl2br w:val="nil"/>
                    <w:tr2bl w:val="nil"/>
                  </w:tcBorders>
                  <w:vAlign w:val="center"/>
                </w:tcPr>
                <w:p>
                  <w:pPr>
                    <w:jc w:val="center"/>
                    <w:rPr>
                      <w:color w:val="auto"/>
                      <w:highlight w:val="none"/>
                    </w:rPr>
                  </w:pPr>
                  <w:r>
                    <w:rPr>
                      <w:rFonts w:hint="eastAsia"/>
                      <w:color w:val="auto"/>
                      <w:highlight w:val="none"/>
                      <w:lang w:val="en-US" w:eastAsia="zh-CN"/>
                    </w:rPr>
                    <w:t>149</w:t>
                  </w:r>
                </w:p>
              </w:tc>
            </w:tr>
          </w:tbl>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0"/>
              <w:ind w:firstLine="400" w:firstLineChars="200"/>
              <w:jc w:val="center"/>
              <w:rPr>
                <w:color w:val="auto"/>
                <w:highlight w:val="none"/>
              </w:rPr>
            </w:pPr>
          </w:p>
          <w:p>
            <w:pPr>
              <w:pStyle w:val="2"/>
              <w:spacing w:before="0" w:after="0" w:line="240" w:lineRule="auto"/>
              <w:rPr>
                <w:rFonts w:hint="eastAsia"/>
                <w:color w:val="auto"/>
                <w:highlight w:val="none"/>
                <w:lang w:eastAsia="zh-CN"/>
              </w:rPr>
            </w:pPr>
          </w:p>
          <w:p>
            <w:pPr>
              <w:rPr>
                <w:rFonts w:hint="eastAsia"/>
                <w:color w:val="auto"/>
                <w:highlight w:val="none"/>
                <w:lang w:eastAsia="zh-CN"/>
              </w:rPr>
            </w:pPr>
            <w:r>
              <w:rPr>
                <w:rFonts w:ascii="Times New Roman" w:hAnsi="Times New Roman"/>
                <w:snapToGrid w:val="0"/>
                <w:color w:val="auto"/>
                <w:kern w:val="0"/>
                <w:sz w:val="24"/>
                <w:szCs w:val="24"/>
                <w:highlight w:val="none"/>
              </w:rPr>
              <w:drawing>
                <wp:anchor distT="0" distB="0" distL="114300" distR="114300" simplePos="0" relativeHeight="251770880" behindDoc="0" locked="0" layoutInCell="1" allowOverlap="1">
                  <wp:simplePos x="0" y="0"/>
                  <wp:positionH relativeFrom="page">
                    <wp:posOffset>4665345</wp:posOffset>
                  </wp:positionH>
                  <wp:positionV relativeFrom="page">
                    <wp:posOffset>459105</wp:posOffset>
                  </wp:positionV>
                  <wp:extent cx="1041400" cy="951230"/>
                  <wp:effectExtent l="0" t="0" r="6350" b="1270"/>
                  <wp:wrapNone/>
                  <wp:docPr id="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2"/>
                          <pic:cNvPicPr>
                            <a:picLocks noChangeAspect="1"/>
                          </pic:cNvPicPr>
                        </pic:nvPicPr>
                        <pic:blipFill>
                          <a:blip r:embed="rId15"/>
                          <a:stretch>
                            <a:fillRect/>
                          </a:stretch>
                        </pic:blipFill>
                        <pic:spPr>
                          <a:xfrm>
                            <a:off x="0" y="0"/>
                            <a:ext cx="1041400" cy="951230"/>
                          </a:xfrm>
                          <a:prstGeom prst="rect">
                            <a:avLst/>
                          </a:prstGeom>
                          <a:noFill/>
                          <a:ln>
                            <a:noFill/>
                          </a:ln>
                        </pic:spPr>
                      </pic:pic>
                    </a:graphicData>
                  </a:graphic>
                </wp:anchor>
              </w:drawing>
            </w:r>
          </w:p>
          <w:p>
            <w:pPr>
              <w:pStyle w:val="35"/>
              <w:rPr>
                <w:rFonts w:hint="eastAsia"/>
                <w:bCs/>
                <w:color w:val="auto"/>
                <w:sz w:val="30"/>
                <w:szCs w:val="44"/>
                <w:highlight w:val="none"/>
                <w:vertAlign w:val="baseline"/>
                <w:lang w:eastAsia="zh-CN"/>
              </w:rPr>
            </w:pPr>
            <w:r>
              <w:rPr>
                <w:color w:val="auto"/>
                <w:highlight w:val="none"/>
              </w:rPr>
              <w:drawing>
                <wp:anchor distT="0" distB="0" distL="114300" distR="114300" simplePos="0" relativeHeight="251776000" behindDoc="0" locked="0" layoutInCell="1" allowOverlap="1">
                  <wp:simplePos x="0" y="0"/>
                  <wp:positionH relativeFrom="column">
                    <wp:posOffset>4088130</wp:posOffset>
                  </wp:positionH>
                  <wp:positionV relativeFrom="paragraph">
                    <wp:posOffset>4105275</wp:posOffset>
                  </wp:positionV>
                  <wp:extent cx="1498600" cy="1279525"/>
                  <wp:effectExtent l="0" t="0" r="6350" b="15875"/>
                  <wp:wrapNone/>
                  <wp:docPr id="6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8"/>
                          <pic:cNvPicPr>
                            <a:picLocks noChangeAspect="1"/>
                          </pic:cNvPicPr>
                        </pic:nvPicPr>
                        <pic:blipFill>
                          <a:blip r:embed="rId16"/>
                          <a:stretch>
                            <a:fillRect/>
                          </a:stretch>
                        </pic:blipFill>
                        <pic:spPr>
                          <a:xfrm>
                            <a:off x="0" y="0"/>
                            <a:ext cx="1498600" cy="1279525"/>
                          </a:xfrm>
                          <a:prstGeom prst="rect">
                            <a:avLst/>
                          </a:prstGeom>
                          <a:noFill/>
                          <a:ln>
                            <a:noFill/>
                          </a:ln>
                        </pic:spPr>
                      </pic:pic>
                    </a:graphicData>
                  </a:graphic>
                </wp:anchor>
              </w:drawing>
            </w:r>
            <w:r>
              <w:rPr>
                <w:color w:val="auto"/>
                <w:highlight w:val="none"/>
              </w:rPr>
              <w:drawing>
                <wp:inline distT="0" distB="0" distL="114300" distR="114300">
                  <wp:extent cx="5469890" cy="5393055"/>
                  <wp:effectExtent l="0" t="0" r="16510" b="17145"/>
                  <wp:docPr id="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pic:cNvPicPr>
                            <a:picLocks noChangeAspect="1"/>
                          </pic:cNvPicPr>
                        </pic:nvPicPr>
                        <pic:blipFill>
                          <a:blip r:embed="rId17"/>
                          <a:stretch>
                            <a:fillRect/>
                          </a:stretch>
                        </pic:blipFill>
                        <pic:spPr>
                          <a:xfrm>
                            <a:off x="0" y="0"/>
                            <a:ext cx="5469890" cy="5393055"/>
                          </a:xfrm>
                          <a:prstGeom prst="rect">
                            <a:avLst/>
                          </a:prstGeom>
                          <a:noFill/>
                          <a:ln>
                            <a:noFill/>
                          </a:ln>
                        </pic:spPr>
                      </pic:pic>
                    </a:graphicData>
                  </a:graphic>
                </wp:inline>
              </w:drawing>
            </w:r>
          </w:p>
          <w:p>
            <w:pPr>
              <w:pStyle w:val="35"/>
              <w:ind w:firstLine="0" w:firstLineChars="0"/>
              <w:jc w:val="center"/>
              <w:rPr>
                <w:rFonts w:hint="default" w:ascii="Times New Roman" w:hAnsi="Times New Roman" w:cs="Times New Roman"/>
                <w:b/>
                <w:color w:val="auto"/>
                <w:spacing w:val="0"/>
                <w:kern w:val="2"/>
                <w:sz w:val="24"/>
                <w:szCs w:val="24"/>
                <w:highlight w:val="none"/>
                <w:lang w:val="en-US" w:eastAsia="zh-CN"/>
              </w:rPr>
            </w:pPr>
            <w:r>
              <w:rPr>
                <w:rFonts w:hint="default" w:ascii="Times New Roman" w:hAnsi="Times New Roman" w:cs="Times New Roman"/>
                <w:b/>
                <w:color w:val="auto"/>
                <w:spacing w:val="0"/>
                <w:kern w:val="2"/>
                <w:sz w:val="24"/>
                <w:szCs w:val="24"/>
                <w:highlight w:val="none"/>
                <w:lang w:val="en-US" w:eastAsia="zh-CN"/>
              </w:rPr>
              <w:t>图3-</w:t>
            </w:r>
            <w:r>
              <w:rPr>
                <w:rFonts w:hint="eastAsia" w:cs="Times New Roman"/>
                <w:b/>
                <w:color w:val="auto"/>
                <w:spacing w:val="0"/>
                <w:kern w:val="2"/>
                <w:sz w:val="24"/>
                <w:szCs w:val="24"/>
                <w:highlight w:val="none"/>
                <w:lang w:val="en-US" w:eastAsia="zh-CN"/>
              </w:rPr>
              <w:t>2</w:t>
            </w:r>
            <w:r>
              <w:rPr>
                <w:rFonts w:hint="default" w:ascii="Times New Roman" w:hAnsi="Times New Roman" w:cs="Times New Roman"/>
                <w:b/>
                <w:color w:val="auto"/>
                <w:spacing w:val="0"/>
                <w:kern w:val="2"/>
                <w:sz w:val="24"/>
                <w:szCs w:val="24"/>
                <w:highlight w:val="none"/>
                <w:lang w:val="en-US" w:eastAsia="zh-CN"/>
              </w:rPr>
              <w:t xml:space="preserve"> 保护目标分布图</w:t>
            </w:r>
          </w:p>
          <w:p>
            <w:pPr>
              <w:pStyle w:val="35"/>
              <w:rPr>
                <w:rFonts w:hint="eastAsia"/>
                <w:bCs/>
                <w:color w:val="auto"/>
                <w:sz w:val="24"/>
                <w:szCs w:val="24"/>
                <w:highlight w:val="none"/>
                <w:vertAlign w:val="baseline"/>
                <w:lang w:eastAsia="zh-CN"/>
              </w:rPr>
            </w:pPr>
            <w:r>
              <w:rPr>
                <w:rFonts w:hint="default" w:ascii="Times New Roman" w:hAnsi="Times New Roman" w:cs="Times New Roman"/>
                <w:b/>
                <w:color w:val="auto"/>
                <w:spacing w:val="0"/>
                <w:kern w:val="2"/>
                <w:sz w:val="24"/>
                <w:szCs w:val="24"/>
                <w:highlight w:val="none"/>
                <w:lang w:val="en-US" w:eastAsia="zh-CN"/>
              </w:rPr>
              <w:drawing>
                <wp:anchor distT="0" distB="0" distL="114300" distR="114300" simplePos="0" relativeHeight="251774976" behindDoc="0" locked="0" layoutInCell="1" allowOverlap="1">
                  <wp:simplePos x="0" y="0"/>
                  <wp:positionH relativeFrom="column">
                    <wp:posOffset>5583555</wp:posOffset>
                  </wp:positionH>
                  <wp:positionV relativeFrom="paragraph">
                    <wp:posOffset>3816350</wp:posOffset>
                  </wp:positionV>
                  <wp:extent cx="1080770" cy="759460"/>
                  <wp:effectExtent l="0" t="0" r="5080" b="2540"/>
                  <wp:wrapNone/>
                  <wp:docPr id="59" name="图片 5" descr="15746699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 descr="1574669913(1)"/>
                          <pic:cNvPicPr>
                            <a:picLocks noChangeAspect="1"/>
                          </pic:cNvPicPr>
                        </pic:nvPicPr>
                        <pic:blipFill>
                          <a:blip r:embed="rId18"/>
                          <a:stretch>
                            <a:fillRect/>
                          </a:stretch>
                        </pic:blipFill>
                        <pic:spPr>
                          <a:xfrm>
                            <a:off x="0" y="0"/>
                            <a:ext cx="1080770" cy="759460"/>
                          </a:xfrm>
                          <a:prstGeom prst="rect">
                            <a:avLst/>
                          </a:prstGeom>
                          <a:noFill/>
                          <a:ln>
                            <a:noFill/>
                          </a:ln>
                        </pic:spPr>
                      </pic:pic>
                    </a:graphicData>
                  </a:graphic>
                </wp:anchor>
              </w:drawing>
            </w:r>
          </w:p>
          <w:p>
            <w:pPr>
              <w:pStyle w:val="35"/>
              <w:rPr>
                <w:rFonts w:hint="eastAsia"/>
                <w:bCs/>
                <w:color w:val="auto"/>
                <w:sz w:val="30"/>
                <w:szCs w:val="44"/>
                <w:highlight w:val="none"/>
                <w:vertAlign w:val="baseline"/>
                <w:lang w:eastAsia="zh-CN"/>
              </w:rPr>
            </w:pPr>
          </w:p>
          <w:p>
            <w:pPr>
              <w:pStyle w:val="35"/>
              <w:rPr>
                <w:rFonts w:hint="eastAsia"/>
                <w:bCs/>
                <w:color w:val="auto"/>
                <w:sz w:val="30"/>
                <w:szCs w:val="44"/>
                <w:highlight w:val="none"/>
                <w:vertAlign w:val="baseline"/>
                <w:lang w:eastAsia="zh-CN"/>
              </w:rPr>
            </w:pPr>
          </w:p>
          <w:p>
            <w:pPr>
              <w:pStyle w:val="35"/>
              <w:rPr>
                <w:rFonts w:hint="eastAsia"/>
                <w:bCs/>
                <w:color w:val="auto"/>
                <w:sz w:val="30"/>
                <w:szCs w:val="44"/>
                <w:highlight w:val="none"/>
                <w:vertAlign w:val="baseline"/>
                <w:lang w:eastAsia="zh-CN"/>
              </w:rPr>
            </w:pPr>
          </w:p>
          <w:p>
            <w:pPr>
              <w:pStyle w:val="35"/>
              <w:rPr>
                <w:rFonts w:hint="eastAsia"/>
                <w:bCs/>
                <w:color w:val="auto"/>
                <w:sz w:val="30"/>
                <w:szCs w:val="44"/>
                <w:highlight w:val="none"/>
                <w:vertAlign w:val="baseline"/>
                <w:lang w:eastAsia="zh-CN"/>
              </w:rPr>
            </w:pPr>
          </w:p>
          <w:p>
            <w:pPr>
              <w:pStyle w:val="35"/>
              <w:rPr>
                <w:rFonts w:hint="eastAsia"/>
                <w:bCs/>
                <w:color w:val="auto"/>
                <w:sz w:val="30"/>
                <w:szCs w:val="44"/>
                <w:highlight w:val="none"/>
                <w:vertAlign w:val="baseline"/>
                <w:lang w:eastAsia="zh-CN"/>
              </w:rPr>
            </w:pPr>
          </w:p>
          <w:p>
            <w:pPr>
              <w:pStyle w:val="35"/>
              <w:rPr>
                <w:rFonts w:hint="eastAsia"/>
                <w:bCs/>
                <w:color w:val="auto"/>
                <w:sz w:val="30"/>
                <w:szCs w:val="44"/>
                <w:highlight w:val="none"/>
                <w:vertAlign w:val="baseline"/>
                <w:lang w:eastAsia="zh-CN"/>
              </w:rPr>
            </w:pPr>
          </w:p>
          <w:p>
            <w:pPr>
              <w:pStyle w:val="35"/>
              <w:rPr>
                <w:rFonts w:hint="eastAsia"/>
                <w:bCs/>
                <w:color w:val="auto"/>
                <w:sz w:val="30"/>
                <w:szCs w:val="44"/>
                <w:highlight w:val="none"/>
                <w:vertAlign w:val="baseline"/>
                <w:lang w:eastAsia="zh-CN"/>
              </w:rPr>
            </w:pPr>
          </w:p>
          <w:p>
            <w:pPr>
              <w:pStyle w:val="35"/>
              <w:rPr>
                <w:rFonts w:hint="eastAsia"/>
                <w:bCs/>
                <w:color w:val="auto"/>
                <w:sz w:val="30"/>
                <w:szCs w:val="44"/>
                <w:highlight w:val="none"/>
                <w:vertAlign w:val="baseline"/>
                <w:lang w:eastAsia="zh-CN"/>
              </w:rPr>
            </w:pPr>
          </w:p>
          <w:p>
            <w:pPr>
              <w:pStyle w:val="35"/>
              <w:rPr>
                <w:rFonts w:hint="eastAsia"/>
                <w:bCs/>
                <w:color w:val="auto"/>
                <w:sz w:val="30"/>
                <w:szCs w:val="44"/>
                <w:highlight w:val="none"/>
                <w:vertAlign w:val="baseline"/>
                <w:lang w:eastAsia="zh-CN"/>
              </w:rPr>
            </w:pPr>
          </w:p>
          <w:p>
            <w:pPr>
              <w:pStyle w:val="35"/>
              <w:ind w:left="0" w:leftChars="0" w:firstLine="0" w:firstLineChars="0"/>
              <w:rPr>
                <w:rFonts w:hint="eastAsia"/>
                <w:bCs/>
                <w:color w:val="auto"/>
                <w:sz w:val="30"/>
                <w:szCs w:val="44"/>
                <w:highlight w:val="none"/>
                <w:vertAlign w:val="baseline"/>
                <w:lang w:eastAsia="zh-CN"/>
              </w:rPr>
            </w:pPr>
          </w:p>
        </w:tc>
      </w:tr>
    </w:tbl>
    <w:p>
      <w:pPr>
        <w:pStyle w:val="2"/>
        <w:spacing w:before="0" w:after="0" w:line="240" w:lineRule="auto"/>
        <w:rPr>
          <w:rFonts w:hint="eastAsia"/>
          <w:bCs/>
          <w:color w:val="auto"/>
          <w:sz w:val="30"/>
          <w:szCs w:val="44"/>
          <w:highlight w:val="none"/>
          <w:lang w:eastAsia="zh-CN"/>
        </w:rPr>
        <w:sectPr>
          <w:footerReference r:id="rId5" w:type="default"/>
          <w:pgSz w:w="11907" w:h="16840"/>
          <w:pgMar w:top="1418" w:right="1418" w:bottom="1418" w:left="1418" w:header="851" w:footer="992" w:gutter="0"/>
          <w:pgBorders>
            <w:top w:val="none" w:sz="0" w:space="0"/>
            <w:left w:val="none" w:sz="0" w:space="0"/>
            <w:bottom w:val="none" w:sz="0" w:space="0"/>
            <w:right w:val="none" w:sz="0" w:space="0"/>
          </w:pgBorders>
          <w:pgNumType w:fmt="decimal" w:start="1"/>
          <w:cols w:space="720" w:num="1"/>
          <w:docGrid w:linePitch="312" w:charSpace="0"/>
        </w:sectPr>
      </w:pPr>
    </w:p>
    <w:p>
      <w:pPr>
        <w:pStyle w:val="2"/>
        <w:spacing w:before="0" w:after="0" w:line="240" w:lineRule="auto"/>
        <w:rPr>
          <w:bCs/>
          <w:color w:val="auto"/>
          <w:sz w:val="30"/>
          <w:szCs w:val="44"/>
          <w:highlight w:val="none"/>
        </w:rPr>
      </w:pPr>
      <w:bookmarkStart w:id="9" w:name="_Toc29620"/>
      <w:r>
        <w:rPr>
          <w:rFonts w:hint="eastAsia"/>
          <w:bCs/>
          <w:color w:val="auto"/>
          <w:sz w:val="30"/>
          <w:szCs w:val="44"/>
          <w:highlight w:val="none"/>
          <w:lang w:eastAsia="zh-CN"/>
        </w:rPr>
        <w:t>四、</w:t>
      </w:r>
      <w:r>
        <w:rPr>
          <w:rFonts w:hint="eastAsia"/>
          <w:bCs/>
          <w:color w:val="auto"/>
          <w:sz w:val="30"/>
          <w:szCs w:val="44"/>
          <w:highlight w:val="none"/>
        </w:rPr>
        <w:t>评价适用标准</w:t>
      </w:r>
      <w:bookmarkEnd w:id="8"/>
      <w:bookmarkEnd w:id="9"/>
    </w:p>
    <w:tbl>
      <w:tblPr>
        <w:tblStyle w:val="36"/>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2"/>
        <w:gridCol w:w="8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2762" w:hRule="atLeast"/>
        </w:trPr>
        <w:tc>
          <w:tcPr>
            <w:tcW w:w="392" w:type="dxa"/>
            <w:textDirection w:val="tbRlV"/>
            <w:vAlign w:val="center"/>
          </w:tcPr>
          <w:p>
            <w:pPr>
              <w:pStyle w:val="143"/>
              <w:spacing w:line="240" w:lineRule="auto"/>
              <w:jc w:val="center"/>
              <w:rPr>
                <w:rFonts w:ascii="Times New Roman" w:hAnsi="Times New Roman"/>
                <w:bCs w:val="0"/>
                <w:iCs w:val="0"/>
                <w:color w:val="auto"/>
                <w:sz w:val="28"/>
                <w:szCs w:val="28"/>
                <w:highlight w:val="none"/>
              </w:rPr>
            </w:pPr>
            <w:r>
              <w:rPr>
                <w:rFonts w:hint="eastAsia" w:ascii="Times New Roman" w:hAnsi="Times New Roman"/>
                <w:bCs w:val="0"/>
                <w:iCs w:val="0"/>
                <w:color w:val="auto"/>
                <w:sz w:val="28"/>
                <w:szCs w:val="28"/>
                <w:highlight w:val="none"/>
              </w:rPr>
              <w:t>环境质量标准</w:t>
            </w:r>
          </w:p>
        </w:tc>
        <w:tc>
          <w:tcPr>
            <w:tcW w:w="8130" w:type="dxa"/>
            <w:vAlign w:val="center"/>
          </w:tcPr>
          <w:p>
            <w:pPr>
              <w:adjustRightInd w:val="0"/>
              <w:spacing w:line="360" w:lineRule="auto"/>
              <w:textAlignment w:val="baseline"/>
              <w:rPr>
                <w:b/>
                <w:bCs/>
                <w:color w:val="auto"/>
                <w:kern w:val="0"/>
                <w:sz w:val="24"/>
                <w:highlight w:val="none"/>
              </w:rPr>
            </w:pPr>
            <w:r>
              <w:rPr>
                <w:b/>
                <w:bCs/>
                <w:color w:val="auto"/>
                <w:kern w:val="0"/>
                <w:sz w:val="24"/>
                <w:highlight w:val="none"/>
              </w:rPr>
              <w:t>1、环境空气</w:t>
            </w:r>
          </w:p>
          <w:p>
            <w:pPr>
              <w:spacing w:line="360" w:lineRule="auto"/>
              <w:ind w:firstLine="480" w:firstLineChars="200"/>
              <w:rPr>
                <w:color w:val="auto"/>
                <w:sz w:val="24"/>
                <w:highlight w:val="none"/>
              </w:rPr>
            </w:pPr>
            <w:r>
              <w:rPr>
                <w:rFonts w:hint="eastAsia" w:hAnsi="宋体"/>
                <w:color w:val="auto"/>
                <w:sz w:val="24"/>
                <w:highlight w:val="none"/>
              </w:rPr>
              <w:t>本</w:t>
            </w:r>
            <w:r>
              <w:rPr>
                <w:rFonts w:hAnsi="宋体"/>
                <w:color w:val="auto"/>
                <w:sz w:val="24"/>
                <w:highlight w:val="none"/>
              </w:rPr>
              <w:t>项目所在地环境空气质量执行《环境空气质量标准》（</w:t>
            </w:r>
            <w:r>
              <w:rPr>
                <w:color w:val="auto"/>
                <w:sz w:val="24"/>
                <w:highlight w:val="none"/>
              </w:rPr>
              <w:t>GB3095</w:t>
            </w:r>
            <w:r>
              <w:rPr>
                <w:color w:val="auto"/>
                <w:sz w:val="24"/>
                <w:highlight w:val="none"/>
              </w:rPr>
              <w:sym w:font="Symbol" w:char="F02D"/>
            </w:r>
            <w:r>
              <w:rPr>
                <w:color w:val="auto"/>
                <w:sz w:val="24"/>
                <w:highlight w:val="none"/>
              </w:rPr>
              <w:t>2012</w:t>
            </w:r>
            <w:r>
              <w:rPr>
                <w:rFonts w:hAnsi="宋体"/>
                <w:color w:val="auto"/>
                <w:sz w:val="24"/>
                <w:highlight w:val="none"/>
              </w:rPr>
              <w:t>）二级标准的浓度限值，标准值见表</w:t>
            </w:r>
            <w:r>
              <w:rPr>
                <w:rFonts w:hint="eastAsia"/>
                <w:color w:val="auto"/>
                <w:sz w:val="24"/>
                <w:highlight w:val="none"/>
              </w:rPr>
              <w:t>4-1</w:t>
            </w:r>
            <w:r>
              <w:rPr>
                <w:rFonts w:hAnsi="宋体"/>
                <w:color w:val="auto"/>
                <w:sz w:val="24"/>
                <w:highlight w:val="none"/>
              </w:rPr>
              <w:t>。</w:t>
            </w:r>
          </w:p>
          <w:p>
            <w:pPr>
              <w:ind w:firstLine="482" w:firstLineChars="200"/>
              <w:jc w:val="center"/>
              <w:rPr>
                <w:b/>
                <w:color w:val="auto"/>
                <w:sz w:val="24"/>
                <w:szCs w:val="20"/>
                <w:highlight w:val="none"/>
                <w:vertAlign w:val="superscript"/>
              </w:rPr>
            </w:pPr>
            <w:bookmarkStart w:id="10" w:name="_Ref236373425"/>
            <w:r>
              <w:rPr>
                <w:b/>
                <w:color w:val="auto"/>
                <w:sz w:val="24"/>
                <w:szCs w:val="20"/>
                <w:highlight w:val="none"/>
              </w:rPr>
              <w:t>表</w:t>
            </w:r>
            <w:bookmarkEnd w:id="10"/>
            <w:r>
              <w:rPr>
                <w:rFonts w:hint="eastAsia"/>
                <w:b/>
                <w:color w:val="auto"/>
                <w:sz w:val="24"/>
                <w:szCs w:val="20"/>
                <w:highlight w:val="none"/>
              </w:rPr>
              <w:t>4-1</w:t>
            </w:r>
            <w:r>
              <w:rPr>
                <w:b/>
                <w:color w:val="auto"/>
                <w:sz w:val="24"/>
                <w:szCs w:val="20"/>
                <w:highlight w:val="none"/>
              </w:rPr>
              <w:t>环境空气质量标准限值</w:t>
            </w:r>
            <w:r>
              <w:rPr>
                <w:rFonts w:hint="eastAsia"/>
                <w:b/>
                <w:color w:val="auto"/>
                <w:sz w:val="24"/>
                <w:szCs w:val="20"/>
                <w:highlight w:val="none"/>
              </w:rPr>
              <w:t xml:space="preserve">  </w:t>
            </w:r>
            <w:r>
              <w:rPr>
                <w:b/>
                <w:color w:val="auto"/>
                <w:sz w:val="24"/>
                <w:szCs w:val="20"/>
                <w:highlight w:val="none"/>
              </w:rPr>
              <w:t>单位：µg/m</w:t>
            </w:r>
            <w:r>
              <w:rPr>
                <w:b/>
                <w:color w:val="auto"/>
                <w:sz w:val="24"/>
                <w:szCs w:val="20"/>
                <w:highlight w:val="none"/>
                <w:vertAlign w:val="superscript"/>
              </w:rPr>
              <w:t>3</w:t>
            </w:r>
          </w:p>
          <w:tbl>
            <w:tblPr>
              <w:tblStyle w:val="36"/>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26"/>
              <w:gridCol w:w="1473"/>
              <w:gridCol w:w="1973"/>
              <w:gridCol w:w="2465"/>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noWrap w:val="0"/>
                  <w:vAlign w:val="center"/>
                </w:tcPr>
                <w:p>
                  <w:pPr>
                    <w:snapToGrid w:val="0"/>
                    <w:jc w:val="center"/>
                    <w:rPr>
                      <w:color w:val="auto"/>
                      <w:szCs w:val="21"/>
                      <w:highlight w:val="none"/>
                    </w:rPr>
                  </w:pPr>
                  <w:r>
                    <w:rPr>
                      <w:color w:val="auto"/>
                      <w:szCs w:val="21"/>
                      <w:highlight w:val="none"/>
                    </w:rPr>
                    <w:t>污染物名称</w:t>
                  </w:r>
                </w:p>
              </w:tc>
              <w:tc>
                <w:tcPr>
                  <w:tcW w:w="1473" w:type="dxa"/>
                  <w:noWrap w:val="0"/>
                  <w:vAlign w:val="center"/>
                </w:tcPr>
                <w:p>
                  <w:pPr>
                    <w:snapToGrid w:val="0"/>
                    <w:jc w:val="center"/>
                    <w:rPr>
                      <w:color w:val="auto"/>
                      <w:szCs w:val="21"/>
                      <w:highlight w:val="none"/>
                    </w:rPr>
                  </w:pPr>
                  <w:r>
                    <w:rPr>
                      <w:color w:val="auto"/>
                      <w:szCs w:val="21"/>
                      <w:highlight w:val="none"/>
                    </w:rPr>
                    <w:t>取值时间</w:t>
                  </w:r>
                </w:p>
              </w:tc>
              <w:tc>
                <w:tcPr>
                  <w:tcW w:w="1973" w:type="dxa"/>
                  <w:noWrap w:val="0"/>
                  <w:vAlign w:val="center"/>
                </w:tcPr>
                <w:p>
                  <w:pPr>
                    <w:snapToGrid w:val="0"/>
                    <w:jc w:val="center"/>
                    <w:rPr>
                      <w:color w:val="auto"/>
                      <w:szCs w:val="21"/>
                      <w:highlight w:val="none"/>
                    </w:rPr>
                  </w:pPr>
                  <w:r>
                    <w:rPr>
                      <w:color w:val="auto"/>
                      <w:szCs w:val="21"/>
                      <w:highlight w:val="none"/>
                    </w:rPr>
                    <w:t>浓度限值(mg/Nm</w:t>
                  </w:r>
                  <w:r>
                    <w:rPr>
                      <w:color w:val="auto"/>
                      <w:szCs w:val="21"/>
                      <w:highlight w:val="none"/>
                      <w:vertAlign w:val="superscript"/>
                    </w:rPr>
                    <w:t>3</w:t>
                  </w:r>
                  <w:r>
                    <w:rPr>
                      <w:color w:val="auto"/>
                      <w:szCs w:val="21"/>
                      <w:highlight w:val="none"/>
                    </w:rPr>
                    <w:t>)</w:t>
                  </w:r>
                </w:p>
              </w:tc>
              <w:tc>
                <w:tcPr>
                  <w:tcW w:w="2465" w:type="dxa"/>
                  <w:noWrap w:val="0"/>
                  <w:vAlign w:val="center"/>
                </w:tcPr>
                <w:p>
                  <w:pPr>
                    <w:snapToGrid w:val="0"/>
                    <w:jc w:val="center"/>
                    <w:rPr>
                      <w:color w:val="auto"/>
                      <w:szCs w:val="21"/>
                      <w:highlight w:val="none"/>
                    </w:rPr>
                  </w:pPr>
                  <w:r>
                    <w:rPr>
                      <w:color w:val="auto"/>
                      <w:szCs w:val="21"/>
                      <w:highlight w:val="none"/>
                    </w:rPr>
                    <w:t>标准来源</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restart"/>
                  <w:noWrap w:val="0"/>
                  <w:vAlign w:val="center"/>
                </w:tcPr>
                <w:p>
                  <w:pPr>
                    <w:snapToGrid w:val="0"/>
                    <w:jc w:val="center"/>
                    <w:rPr>
                      <w:color w:val="auto"/>
                      <w:szCs w:val="21"/>
                      <w:highlight w:val="none"/>
                    </w:rPr>
                  </w:pPr>
                  <w:r>
                    <w:rPr>
                      <w:color w:val="auto"/>
                      <w:szCs w:val="21"/>
                      <w:highlight w:val="none"/>
                    </w:rPr>
                    <w:t>SO</w:t>
                  </w:r>
                  <w:r>
                    <w:rPr>
                      <w:color w:val="auto"/>
                      <w:szCs w:val="21"/>
                      <w:highlight w:val="none"/>
                      <w:vertAlign w:val="subscript"/>
                    </w:rPr>
                    <w:t>2</w:t>
                  </w:r>
                </w:p>
              </w:tc>
              <w:tc>
                <w:tcPr>
                  <w:tcW w:w="1473" w:type="dxa"/>
                  <w:noWrap w:val="0"/>
                  <w:vAlign w:val="center"/>
                </w:tcPr>
                <w:p>
                  <w:pPr>
                    <w:snapToGrid w:val="0"/>
                    <w:jc w:val="center"/>
                    <w:rPr>
                      <w:color w:val="auto"/>
                      <w:szCs w:val="21"/>
                      <w:highlight w:val="none"/>
                    </w:rPr>
                  </w:pPr>
                  <w:r>
                    <w:rPr>
                      <w:color w:val="auto"/>
                      <w:szCs w:val="21"/>
                      <w:highlight w:val="none"/>
                    </w:rPr>
                    <w:t>年平均</w:t>
                  </w:r>
                </w:p>
              </w:tc>
              <w:tc>
                <w:tcPr>
                  <w:tcW w:w="1973" w:type="dxa"/>
                  <w:noWrap w:val="0"/>
                  <w:vAlign w:val="center"/>
                </w:tcPr>
                <w:p>
                  <w:pPr>
                    <w:snapToGrid w:val="0"/>
                    <w:jc w:val="center"/>
                    <w:rPr>
                      <w:color w:val="auto"/>
                      <w:szCs w:val="21"/>
                      <w:highlight w:val="none"/>
                    </w:rPr>
                  </w:pPr>
                  <w:r>
                    <w:rPr>
                      <w:color w:val="auto"/>
                      <w:szCs w:val="21"/>
                      <w:highlight w:val="none"/>
                    </w:rPr>
                    <w:t>0.06</w:t>
                  </w:r>
                </w:p>
              </w:tc>
              <w:tc>
                <w:tcPr>
                  <w:tcW w:w="2465" w:type="dxa"/>
                  <w:vMerge w:val="restart"/>
                  <w:noWrap w:val="0"/>
                  <w:vAlign w:val="center"/>
                </w:tcPr>
                <w:p>
                  <w:pPr>
                    <w:snapToGrid w:val="0"/>
                    <w:jc w:val="center"/>
                    <w:rPr>
                      <w:color w:val="auto"/>
                      <w:szCs w:val="21"/>
                      <w:highlight w:val="none"/>
                    </w:rPr>
                  </w:pPr>
                  <w:r>
                    <w:rPr>
                      <w:color w:val="auto"/>
                      <w:szCs w:val="21"/>
                      <w:highlight w:val="none"/>
                    </w:rPr>
                    <w:t>《环境空气质量标准》</w:t>
                  </w:r>
                </w:p>
                <w:p>
                  <w:pPr>
                    <w:snapToGrid w:val="0"/>
                    <w:jc w:val="center"/>
                    <w:rPr>
                      <w:color w:val="auto"/>
                      <w:szCs w:val="21"/>
                      <w:highlight w:val="none"/>
                    </w:rPr>
                  </w:pPr>
                  <w:r>
                    <w:rPr>
                      <w:color w:val="auto"/>
                      <w:szCs w:val="21"/>
                      <w:highlight w:val="none"/>
                    </w:rPr>
                    <w:t>(GB3095-2012)</w:t>
                  </w:r>
                </w:p>
                <w:p>
                  <w:pPr>
                    <w:snapToGrid w:val="0"/>
                    <w:jc w:val="center"/>
                    <w:rPr>
                      <w:color w:val="auto"/>
                      <w:szCs w:val="21"/>
                      <w:highlight w:val="none"/>
                    </w:rPr>
                  </w:pPr>
                  <w:r>
                    <w:rPr>
                      <w:color w:val="auto"/>
                      <w:szCs w:val="21"/>
                      <w:highlight w:val="none"/>
                    </w:rPr>
                    <w:t>二级标准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continue"/>
                  <w:noWrap w:val="0"/>
                  <w:vAlign w:val="center"/>
                </w:tcPr>
                <w:p>
                  <w:pPr>
                    <w:snapToGrid w:val="0"/>
                    <w:jc w:val="center"/>
                    <w:rPr>
                      <w:color w:val="auto"/>
                      <w:szCs w:val="21"/>
                      <w:highlight w:val="none"/>
                    </w:rPr>
                  </w:pPr>
                </w:p>
              </w:tc>
              <w:tc>
                <w:tcPr>
                  <w:tcW w:w="1473" w:type="dxa"/>
                  <w:noWrap w:val="0"/>
                  <w:vAlign w:val="center"/>
                </w:tcPr>
                <w:p>
                  <w:pPr>
                    <w:snapToGrid w:val="0"/>
                    <w:jc w:val="center"/>
                    <w:rPr>
                      <w:color w:val="auto"/>
                      <w:szCs w:val="21"/>
                      <w:highlight w:val="none"/>
                    </w:rPr>
                  </w:pPr>
                  <w:r>
                    <w:rPr>
                      <w:color w:val="auto"/>
                      <w:szCs w:val="21"/>
                      <w:highlight w:val="none"/>
                    </w:rPr>
                    <w:t>24小时平均</w:t>
                  </w:r>
                </w:p>
              </w:tc>
              <w:tc>
                <w:tcPr>
                  <w:tcW w:w="1973" w:type="dxa"/>
                  <w:noWrap w:val="0"/>
                  <w:vAlign w:val="center"/>
                </w:tcPr>
                <w:p>
                  <w:pPr>
                    <w:snapToGrid w:val="0"/>
                    <w:jc w:val="center"/>
                    <w:rPr>
                      <w:color w:val="auto"/>
                      <w:szCs w:val="21"/>
                      <w:highlight w:val="none"/>
                    </w:rPr>
                  </w:pPr>
                  <w:r>
                    <w:rPr>
                      <w:color w:val="auto"/>
                      <w:szCs w:val="21"/>
                      <w:highlight w:val="none"/>
                    </w:rPr>
                    <w:t>0.15</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continue"/>
                  <w:noWrap w:val="0"/>
                  <w:vAlign w:val="center"/>
                </w:tcPr>
                <w:p>
                  <w:pPr>
                    <w:snapToGrid w:val="0"/>
                    <w:jc w:val="center"/>
                    <w:rPr>
                      <w:color w:val="auto"/>
                      <w:szCs w:val="21"/>
                      <w:highlight w:val="none"/>
                    </w:rPr>
                  </w:pPr>
                </w:p>
              </w:tc>
              <w:tc>
                <w:tcPr>
                  <w:tcW w:w="1473" w:type="dxa"/>
                  <w:noWrap w:val="0"/>
                  <w:vAlign w:val="center"/>
                </w:tcPr>
                <w:p>
                  <w:pPr>
                    <w:snapToGrid w:val="0"/>
                    <w:jc w:val="center"/>
                    <w:rPr>
                      <w:color w:val="auto"/>
                      <w:szCs w:val="21"/>
                      <w:highlight w:val="none"/>
                    </w:rPr>
                  </w:pPr>
                  <w:r>
                    <w:rPr>
                      <w:color w:val="auto"/>
                      <w:szCs w:val="21"/>
                      <w:highlight w:val="none"/>
                    </w:rPr>
                    <w:t>1小时平均</w:t>
                  </w:r>
                </w:p>
              </w:tc>
              <w:tc>
                <w:tcPr>
                  <w:tcW w:w="1973" w:type="dxa"/>
                  <w:noWrap w:val="0"/>
                  <w:vAlign w:val="center"/>
                </w:tcPr>
                <w:p>
                  <w:pPr>
                    <w:snapToGrid w:val="0"/>
                    <w:jc w:val="center"/>
                    <w:rPr>
                      <w:color w:val="auto"/>
                      <w:szCs w:val="21"/>
                      <w:highlight w:val="none"/>
                    </w:rPr>
                  </w:pPr>
                  <w:r>
                    <w:rPr>
                      <w:color w:val="auto"/>
                      <w:szCs w:val="21"/>
                      <w:highlight w:val="none"/>
                    </w:rPr>
                    <w:t>0.50</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restart"/>
                  <w:noWrap w:val="0"/>
                  <w:vAlign w:val="center"/>
                </w:tcPr>
                <w:p>
                  <w:pPr>
                    <w:snapToGrid w:val="0"/>
                    <w:jc w:val="center"/>
                    <w:rPr>
                      <w:color w:val="auto"/>
                      <w:szCs w:val="21"/>
                      <w:highlight w:val="none"/>
                    </w:rPr>
                  </w:pPr>
                  <w:r>
                    <w:rPr>
                      <w:color w:val="auto"/>
                      <w:szCs w:val="21"/>
                      <w:highlight w:val="none"/>
                    </w:rPr>
                    <w:t>NO</w:t>
                  </w:r>
                  <w:r>
                    <w:rPr>
                      <w:color w:val="auto"/>
                      <w:szCs w:val="21"/>
                      <w:highlight w:val="none"/>
                      <w:vertAlign w:val="subscript"/>
                    </w:rPr>
                    <w:t>2</w:t>
                  </w:r>
                </w:p>
              </w:tc>
              <w:tc>
                <w:tcPr>
                  <w:tcW w:w="1473" w:type="dxa"/>
                  <w:noWrap w:val="0"/>
                  <w:vAlign w:val="center"/>
                </w:tcPr>
                <w:p>
                  <w:pPr>
                    <w:snapToGrid w:val="0"/>
                    <w:jc w:val="center"/>
                    <w:rPr>
                      <w:color w:val="auto"/>
                      <w:szCs w:val="21"/>
                      <w:highlight w:val="none"/>
                    </w:rPr>
                  </w:pPr>
                  <w:r>
                    <w:rPr>
                      <w:color w:val="auto"/>
                      <w:szCs w:val="21"/>
                      <w:highlight w:val="none"/>
                    </w:rPr>
                    <w:t>年平均</w:t>
                  </w:r>
                </w:p>
              </w:tc>
              <w:tc>
                <w:tcPr>
                  <w:tcW w:w="1973" w:type="dxa"/>
                  <w:noWrap w:val="0"/>
                  <w:vAlign w:val="center"/>
                </w:tcPr>
                <w:p>
                  <w:pPr>
                    <w:snapToGrid w:val="0"/>
                    <w:jc w:val="center"/>
                    <w:rPr>
                      <w:color w:val="auto"/>
                      <w:szCs w:val="21"/>
                      <w:highlight w:val="none"/>
                    </w:rPr>
                  </w:pPr>
                  <w:r>
                    <w:rPr>
                      <w:color w:val="auto"/>
                      <w:szCs w:val="21"/>
                      <w:highlight w:val="none"/>
                    </w:rPr>
                    <w:t>0.04</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continue"/>
                  <w:noWrap w:val="0"/>
                  <w:vAlign w:val="center"/>
                </w:tcPr>
                <w:p>
                  <w:pPr>
                    <w:snapToGrid w:val="0"/>
                    <w:jc w:val="center"/>
                    <w:rPr>
                      <w:color w:val="auto"/>
                      <w:szCs w:val="21"/>
                      <w:highlight w:val="none"/>
                    </w:rPr>
                  </w:pPr>
                </w:p>
              </w:tc>
              <w:tc>
                <w:tcPr>
                  <w:tcW w:w="1473" w:type="dxa"/>
                  <w:noWrap w:val="0"/>
                  <w:vAlign w:val="center"/>
                </w:tcPr>
                <w:p>
                  <w:pPr>
                    <w:snapToGrid w:val="0"/>
                    <w:jc w:val="center"/>
                    <w:rPr>
                      <w:color w:val="auto"/>
                      <w:szCs w:val="21"/>
                      <w:highlight w:val="none"/>
                    </w:rPr>
                  </w:pPr>
                  <w:r>
                    <w:rPr>
                      <w:color w:val="auto"/>
                      <w:szCs w:val="21"/>
                      <w:highlight w:val="none"/>
                    </w:rPr>
                    <w:t>24小时平均</w:t>
                  </w:r>
                </w:p>
              </w:tc>
              <w:tc>
                <w:tcPr>
                  <w:tcW w:w="1973" w:type="dxa"/>
                  <w:noWrap w:val="0"/>
                  <w:vAlign w:val="center"/>
                </w:tcPr>
                <w:p>
                  <w:pPr>
                    <w:snapToGrid w:val="0"/>
                    <w:jc w:val="center"/>
                    <w:rPr>
                      <w:color w:val="auto"/>
                      <w:szCs w:val="21"/>
                      <w:highlight w:val="none"/>
                    </w:rPr>
                  </w:pPr>
                  <w:r>
                    <w:rPr>
                      <w:color w:val="auto"/>
                      <w:szCs w:val="21"/>
                      <w:highlight w:val="none"/>
                    </w:rPr>
                    <w:t>0.08</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continue"/>
                  <w:tcBorders>
                    <w:bottom w:val="single" w:color="auto" w:sz="4" w:space="0"/>
                  </w:tcBorders>
                  <w:noWrap w:val="0"/>
                  <w:vAlign w:val="center"/>
                </w:tcPr>
                <w:p>
                  <w:pPr>
                    <w:snapToGrid w:val="0"/>
                    <w:jc w:val="center"/>
                    <w:rPr>
                      <w:color w:val="auto"/>
                      <w:szCs w:val="21"/>
                      <w:highlight w:val="none"/>
                    </w:rPr>
                  </w:pPr>
                </w:p>
              </w:tc>
              <w:tc>
                <w:tcPr>
                  <w:tcW w:w="1473" w:type="dxa"/>
                  <w:noWrap w:val="0"/>
                  <w:vAlign w:val="center"/>
                </w:tcPr>
                <w:p>
                  <w:pPr>
                    <w:snapToGrid w:val="0"/>
                    <w:jc w:val="center"/>
                    <w:rPr>
                      <w:color w:val="auto"/>
                      <w:szCs w:val="21"/>
                      <w:highlight w:val="none"/>
                    </w:rPr>
                  </w:pPr>
                  <w:r>
                    <w:rPr>
                      <w:color w:val="auto"/>
                      <w:szCs w:val="21"/>
                      <w:highlight w:val="none"/>
                    </w:rPr>
                    <w:t>1小时平均</w:t>
                  </w:r>
                </w:p>
              </w:tc>
              <w:tc>
                <w:tcPr>
                  <w:tcW w:w="1973" w:type="dxa"/>
                  <w:noWrap w:val="0"/>
                  <w:vAlign w:val="center"/>
                </w:tcPr>
                <w:p>
                  <w:pPr>
                    <w:snapToGrid w:val="0"/>
                    <w:jc w:val="center"/>
                    <w:rPr>
                      <w:color w:val="auto"/>
                      <w:szCs w:val="21"/>
                      <w:highlight w:val="none"/>
                    </w:rPr>
                  </w:pPr>
                  <w:r>
                    <w:rPr>
                      <w:color w:val="auto"/>
                      <w:szCs w:val="21"/>
                      <w:highlight w:val="none"/>
                    </w:rPr>
                    <w:t>0.20</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restart"/>
                  <w:tcBorders>
                    <w:top w:val="single" w:color="auto" w:sz="4" w:space="0"/>
                  </w:tcBorders>
                  <w:noWrap w:val="0"/>
                  <w:vAlign w:val="center"/>
                </w:tcPr>
                <w:p>
                  <w:pPr>
                    <w:snapToGrid w:val="0"/>
                    <w:jc w:val="center"/>
                    <w:rPr>
                      <w:color w:val="auto"/>
                      <w:szCs w:val="21"/>
                      <w:highlight w:val="none"/>
                    </w:rPr>
                  </w:pPr>
                  <w:r>
                    <w:rPr>
                      <w:color w:val="auto"/>
                      <w:szCs w:val="21"/>
                      <w:highlight w:val="none"/>
                    </w:rPr>
                    <w:t>CO</w:t>
                  </w:r>
                </w:p>
              </w:tc>
              <w:tc>
                <w:tcPr>
                  <w:tcW w:w="1473" w:type="dxa"/>
                  <w:noWrap w:val="0"/>
                  <w:vAlign w:val="center"/>
                </w:tcPr>
                <w:p>
                  <w:pPr>
                    <w:snapToGrid w:val="0"/>
                    <w:jc w:val="center"/>
                    <w:rPr>
                      <w:color w:val="auto"/>
                      <w:szCs w:val="21"/>
                      <w:highlight w:val="none"/>
                    </w:rPr>
                  </w:pPr>
                  <w:r>
                    <w:rPr>
                      <w:color w:val="auto"/>
                      <w:szCs w:val="21"/>
                      <w:highlight w:val="none"/>
                    </w:rPr>
                    <w:t>24小时平均</w:t>
                  </w:r>
                </w:p>
              </w:tc>
              <w:tc>
                <w:tcPr>
                  <w:tcW w:w="1973" w:type="dxa"/>
                  <w:noWrap w:val="0"/>
                  <w:vAlign w:val="center"/>
                </w:tcPr>
                <w:p>
                  <w:pPr>
                    <w:snapToGrid w:val="0"/>
                    <w:jc w:val="center"/>
                    <w:rPr>
                      <w:color w:val="auto"/>
                      <w:kern w:val="0"/>
                      <w:szCs w:val="21"/>
                      <w:highlight w:val="none"/>
                    </w:rPr>
                  </w:pPr>
                  <w:r>
                    <w:rPr>
                      <w:color w:val="auto"/>
                      <w:kern w:val="0"/>
                      <w:szCs w:val="21"/>
                      <w:highlight w:val="none"/>
                    </w:rPr>
                    <w:t>4</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continue"/>
                  <w:noWrap w:val="0"/>
                  <w:vAlign w:val="center"/>
                </w:tcPr>
                <w:p>
                  <w:pPr>
                    <w:snapToGrid w:val="0"/>
                    <w:jc w:val="center"/>
                    <w:rPr>
                      <w:color w:val="auto"/>
                      <w:szCs w:val="21"/>
                      <w:highlight w:val="none"/>
                    </w:rPr>
                  </w:pPr>
                </w:p>
              </w:tc>
              <w:tc>
                <w:tcPr>
                  <w:tcW w:w="1473" w:type="dxa"/>
                  <w:noWrap w:val="0"/>
                  <w:vAlign w:val="center"/>
                </w:tcPr>
                <w:p>
                  <w:pPr>
                    <w:snapToGrid w:val="0"/>
                    <w:jc w:val="center"/>
                    <w:rPr>
                      <w:color w:val="auto"/>
                      <w:szCs w:val="21"/>
                      <w:highlight w:val="none"/>
                    </w:rPr>
                  </w:pPr>
                  <w:r>
                    <w:rPr>
                      <w:color w:val="auto"/>
                      <w:szCs w:val="21"/>
                      <w:highlight w:val="none"/>
                    </w:rPr>
                    <w:t>1小时平均</w:t>
                  </w:r>
                </w:p>
              </w:tc>
              <w:tc>
                <w:tcPr>
                  <w:tcW w:w="1973" w:type="dxa"/>
                  <w:noWrap w:val="0"/>
                  <w:vAlign w:val="center"/>
                </w:tcPr>
                <w:p>
                  <w:pPr>
                    <w:snapToGrid w:val="0"/>
                    <w:jc w:val="center"/>
                    <w:rPr>
                      <w:color w:val="auto"/>
                      <w:kern w:val="0"/>
                      <w:szCs w:val="21"/>
                      <w:highlight w:val="none"/>
                    </w:rPr>
                  </w:pPr>
                  <w:r>
                    <w:rPr>
                      <w:color w:val="auto"/>
                      <w:kern w:val="0"/>
                      <w:szCs w:val="21"/>
                      <w:highlight w:val="none"/>
                    </w:rPr>
                    <w:t>10</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restart"/>
                  <w:noWrap w:val="0"/>
                  <w:vAlign w:val="center"/>
                </w:tcPr>
                <w:p>
                  <w:pPr>
                    <w:snapToGrid w:val="0"/>
                    <w:jc w:val="center"/>
                    <w:rPr>
                      <w:color w:val="auto"/>
                      <w:szCs w:val="21"/>
                      <w:highlight w:val="none"/>
                    </w:rPr>
                  </w:pPr>
                  <w:r>
                    <w:rPr>
                      <w:color w:val="auto"/>
                      <w:szCs w:val="21"/>
                      <w:highlight w:val="none"/>
                    </w:rPr>
                    <w:t>臭氧</w:t>
                  </w:r>
                </w:p>
              </w:tc>
              <w:tc>
                <w:tcPr>
                  <w:tcW w:w="1473" w:type="dxa"/>
                  <w:noWrap w:val="0"/>
                  <w:vAlign w:val="center"/>
                </w:tcPr>
                <w:p>
                  <w:pPr>
                    <w:snapToGrid w:val="0"/>
                    <w:jc w:val="center"/>
                    <w:rPr>
                      <w:color w:val="auto"/>
                      <w:szCs w:val="21"/>
                      <w:highlight w:val="none"/>
                    </w:rPr>
                  </w:pPr>
                  <w:r>
                    <w:rPr>
                      <w:color w:val="auto"/>
                      <w:szCs w:val="21"/>
                      <w:highlight w:val="none"/>
                    </w:rPr>
                    <w:t>日最大8小时平均</w:t>
                  </w:r>
                </w:p>
              </w:tc>
              <w:tc>
                <w:tcPr>
                  <w:tcW w:w="1973" w:type="dxa"/>
                  <w:noWrap w:val="0"/>
                  <w:vAlign w:val="center"/>
                </w:tcPr>
                <w:p>
                  <w:pPr>
                    <w:snapToGrid w:val="0"/>
                    <w:jc w:val="center"/>
                    <w:rPr>
                      <w:color w:val="auto"/>
                      <w:kern w:val="0"/>
                      <w:szCs w:val="21"/>
                      <w:highlight w:val="none"/>
                    </w:rPr>
                  </w:pPr>
                  <w:r>
                    <w:rPr>
                      <w:color w:val="auto"/>
                      <w:kern w:val="0"/>
                      <w:szCs w:val="21"/>
                      <w:highlight w:val="none"/>
                    </w:rPr>
                    <w:t>0.16</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continue"/>
                  <w:noWrap w:val="0"/>
                  <w:vAlign w:val="center"/>
                </w:tcPr>
                <w:p>
                  <w:pPr>
                    <w:snapToGrid w:val="0"/>
                    <w:jc w:val="center"/>
                    <w:rPr>
                      <w:color w:val="auto"/>
                      <w:szCs w:val="21"/>
                      <w:highlight w:val="none"/>
                    </w:rPr>
                  </w:pPr>
                </w:p>
              </w:tc>
              <w:tc>
                <w:tcPr>
                  <w:tcW w:w="1473" w:type="dxa"/>
                  <w:noWrap w:val="0"/>
                  <w:vAlign w:val="center"/>
                </w:tcPr>
                <w:p>
                  <w:pPr>
                    <w:snapToGrid w:val="0"/>
                    <w:jc w:val="center"/>
                    <w:rPr>
                      <w:color w:val="auto"/>
                      <w:szCs w:val="21"/>
                      <w:highlight w:val="none"/>
                    </w:rPr>
                  </w:pPr>
                  <w:r>
                    <w:rPr>
                      <w:color w:val="auto"/>
                      <w:szCs w:val="21"/>
                      <w:highlight w:val="none"/>
                    </w:rPr>
                    <w:t>1小时平均</w:t>
                  </w:r>
                </w:p>
              </w:tc>
              <w:tc>
                <w:tcPr>
                  <w:tcW w:w="1973" w:type="dxa"/>
                  <w:noWrap w:val="0"/>
                  <w:vAlign w:val="center"/>
                </w:tcPr>
                <w:p>
                  <w:pPr>
                    <w:snapToGrid w:val="0"/>
                    <w:jc w:val="center"/>
                    <w:rPr>
                      <w:color w:val="auto"/>
                      <w:kern w:val="0"/>
                      <w:szCs w:val="21"/>
                      <w:highlight w:val="none"/>
                    </w:rPr>
                  </w:pPr>
                  <w:r>
                    <w:rPr>
                      <w:color w:val="auto"/>
                      <w:kern w:val="0"/>
                      <w:szCs w:val="21"/>
                      <w:highlight w:val="none"/>
                    </w:rPr>
                    <w:t>0.20</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restart"/>
                  <w:noWrap w:val="0"/>
                  <w:vAlign w:val="center"/>
                </w:tcPr>
                <w:p>
                  <w:pPr>
                    <w:snapToGrid w:val="0"/>
                    <w:jc w:val="center"/>
                    <w:rPr>
                      <w:color w:val="auto"/>
                      <w:szCs w:val="21"/>
                      <w:highlight w:val="none"/>
                    </w:rPr>
                  </w:pPr>
                  <w:r>
                    <w:rPr>
                      <w:color w:val="auto"/>
                      <w:szCs w:val="21"/>
                      <w:highlight w:val="none"/>
                    </w:rPr>
                    <w:t>颗粒物（粒径小于等于10µm）</w:t>
                  </w:r>
                </w:p>
              </w:tc>
              <w:tc>
                <w:tcPr>
                  <w:tcW w:w="1473" w:type="dxa"/>
                  <w:noWrap w:val="0"/>
                  <w:vAlign w:val="center"/>
                </w:tcPr>
                <w:p>
                  <w:pPr>
                    <w:snapToGrid w:val="0"/>
                    <w:jc w:val="center"/>
                    <w:rPr>
                      <w:color w:val="auto"/>
                      <w:szCs w:val="21"/>
                      <w:highlight w:val="none"/>
                    </w:rPr>
                  </w:pPr>
                  <w:r>
                    <w:rPr>
                      <w:color w:val="auto"/>
                      <w:szCs w:val="21"/>
                      <w:highlight w:val="none"/>
                    </w:rPr>
                    <w:t>年平均</w:t>
                  </w:r>
                </w:p>
              </w:tc>
              <w:tc>
                <w:tcPr>
                  <w:tcW w:w="1973" w:type="dxa"/>
                  <w:noWrap w:val="0"/>
                  <w:vAlign w:val="center"/>
                </w:tcPr>
                <w:p>
                  <w:pPr>
                    <w:snapToGrid w:val="0"/>
                    <w:jc w:val="center"/>
                    <w:rPr>
                      <w:color w:val="auto"/>
                      <w:kern w:val="0"/>
                      <w:szCs w:val="21"/>
                      <w:highlight w:val="none"/>
                    </w:rPr>
                  </w:pPr>
                  <w:r>
                    <w:rPr>
                      <w:color w:val="auto"/>
                      <w:kern w:val="0"/>
                      <w:szCs w:val="21"/>
                      <w:highlight w:val="none"/>
                    </w:rPr>
                    <w:t>0.07</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continue"/>
                  <w:noWrap w:val="0"/>
                  <w:vAlign w:val="center"/>
                </w:tcPr>
                <w:p>
                  <w:pPr>
                    <w:snapToGrid w:val="0"/>
                    <w:jc w:val="center"/>
                    <w:rPr>
                      <w:color w:val="auto"/>
                      <w:szCs w:val="21"/>
                      <w:highlight w:val="none"/>
                    </w:rPr>
                  </w:pPr>
                </w:p>
              </w:tc>
              <w:tc>
                <w:tcPr>
                  <w:tcW w:w="1473" w:type="dxa"/>
                  <w:noWrap w:val="0"/>
                  <w:vAlign w:val="center"/>
                </w:tcPr>
                <w:p>
                  <w:pPr>
                    <w:snapToGrid w:val="0"/>
                    <w:jc w:val="center"/>
                    <w:rPr>
                      <w:color w:val="auto"/>
                      <w:szCs w:val="21"/>
                      <w:highlight w:val="none"/>
                    </w:rPr>
                  </w:pPr>
                  <w:r>
                    <w:rPr>
                      <w:color w:val="auto"/>
                      <w:szCs w:val="21"/>
                      <w:highlight w:val="none"/>
                    </w:rPr>
                    <w:t>24小时平均</w:t>
                  </w:r>
                </w:p>
              </w:tc>
              <w:tc>
                <w:tcPr>
                  <w:tcW w:w="1973" w:type="dxa"/>
                  <w:noWrap w:val="0"/>
                  <w:vAlign w:val="center"/>
                </w:tcPr>
                <w:p>
                  <w:pPr>
                    <w:snapToGrid w:val="0"/>
                    <w:jc w:val="center"/>
                    <w:rPr>
                      <w:color w:val="auto"/>
                      <w:kern w:val="0"/>
                      <w:szCs w:val="21"/>
                      <w:highlight w:val="none"/>
                    </w:rPr>
                  </w:pPr>
                  <w:r>
                    <w:rPr>
                      <w:color w:val="auto"/>
                      <w:kern w:val="0"/>
                      <w:szCs w:val="21"/>
                      <w:highlight w:val="none"/>
                    </w:rPr>
                    <w:t>0.15</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restart"/>
                  <w:noWrap w:val="0"/>
                  <w:vAlign w:val="center"/>
                </w:tcPr>
                <w:p>
                  <w:pPr>
                    <w:snapToGrid w:val="0"/>
                    <w:jc w:val="center"/>
                    <w:rPr>
                      <w:color w:val="auto"/>
                      <w:szCs w:val="21"/>
                      <w:highlight w:val="none"/>
                    </w:rPr>
                  </w:pPr>
                  <w:r>
                    <w:rPr>
                      <w:color w:val="auto"/>
                      <w:szCs w:val="21"/>
                      <w:highlight w:val="none"/>
                    </w:rPr>
                    <w:t>颗粒物（粒径小于等于2.5µm）</w:t>
                  </w:r>
                </w:p>
              </w:tc>
              <w:tc>
                <w:tcPr>
                  <w:tcW w:w="1473" w:type="dxa"/>
                  <w:noWrap w:val="0"/>
                  <w:vAlign w:val="center"/>
                </w:tcPr>
                <w:p>
                  <w:pPr>
                    <w:snapToGrid w:val="0"/>
                    <w:jc w:val="center"/>
                    <w:rPr>
                      <w:color w:val="auto"/>
                      <w:szCs w:val="21"/>
                      <w:highlight w:val="none"/>
                    </w:rPr>
                  </w:pPr>
                  <w:r>
                    <w:rPr>
                      <w:color w:val="auto"/>
                      <w:szCs w:val="21"/>
                      <w:highlight w:val="none"/>
                    </w:rPr>
                    <w:t>年平均</w:t>
                  </w:r>
                </w:p>
              </w:tc>
              <w:tc>
                <w:tcPr>
                  <w:tcW w:w="1973" w:type="dxa"/>
                  <w:noWrap w:val="0"/>
                  <w:vAlign w:val="center"/>
                </w:tcPr>
                <w:p>
                  <w:pPr>
                    <w:snapToGrid w:val="0"/>
                    <w:jc w:val="center"/>
                    <w:rPr>
                      <w:color w:val="auto"/>
                      <w:kern w:val="0"/>
                      <w:szCs w:val="21"/>
                      <w:highlight w:val="none"/>
                    </w:rPr>
                  </w:pPr>
                  <w:r>
                    <w:rPr>
                      <w:color w:val="auto"/>
                      <w:kern w:val="0"/>
                      <w:szCs w:val="21"/>
                      <w:highlight w:val="none"/>
                    </w:rPr>
                    <w:t>0.035</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vMerge w:val="continue"/>
                  <w:noWrap w:val="0"/>
                  <w:vAlign w:val="center"/>
                </w:tcPr>
                <w:p>
                  <w:pPr>
                    <w:snapToGrid w:val="0"/>
                    <w:jc w:val="center"/>
                    <w:rPr>
                      <w:color w:val="auto"/>
                      <w:szCs w:val="21"/>
                      <w:highlight w:val="none"/>
                    </w:rPr>
                  </w:pPr>
                </w:p>
              </w:tc>
              <w:tc>
                <w:tcPr>
                  <w:tcW w:w="1473" w:type="dxa"/>
                  <w:noWrap w:val="0"/>
                  <w:vAlign w:val="center"/>
                </w:tcPr>
                <w:p>
                  <w:pPr>
                    <w:snapToGrid w:val="0"/>
                    <w:jc w:val="center"/>
                    <w:rPr>
                      <w:color w:val="auto"/>
                      <w:szCs w:val="21"/>
                      <w:highlight w:val="none"/>
                    </w:rPr>
                  </w:pPr>
                  <w:r>
                    <w:rPr>
                      <w:color w:val="auto"/>
                      <w:szCs w:val="21"/>
                      <w:highlight w:val="none"/>
                    </w:rPr>
                    <w:t>24小时平均</w:t>
                  </w:r>
                </w:p>
              </w:tc>
              <w:tc>
                <w:tcPr>
                  <w:tcW w:w="1973" w:type="dxa"/>
                  <w:noWrap w:val="0"/>
                  <w:vAlign w:val="center"/>
                </w:tcPr>
                <w:p>
                  <w:pPr>
                    <w:snapToGrid w:val="0"/>
                    <w:jc w:val="center"/>
                    <w:rPr>
                      <w:color w:val="auto"/>
                      <w:kern w:val="0"/>
                      <w:szCs w:val="21"/>
                      <w:highlight w:val="none"/>
                    </w:rPr>
                  </w:pPr>
                  <w:r>
                    <w:rPr>
                      <w:color w:val="auto"/>
                      <w:kern w:val="0"/>
                      <w:szCs w:val="21"/>
                      <w:highlight w:val="none"/>
                    </w:rPr>
                    <w:t>0.075</w:t>
                  </w:r>
                </w:p>
              </w:tc>
              <w:tc>
                <w:tcPr>
                  <w:tcW w:w="2465" w:type="dxa"/>
                  <w:vMerge w:val="continue"/>
                  <w:noWrap w:val="0"/>
                  <w:vAlign w:val="center"/>
                </w:tcPr>
                <w:p>
                  <w:pPr>
                    <w:snapToGrid w:val="0"/>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27" w:hRule="atLeast"/>
                <w:jc w:val="center"/>
              </w:trPr>
              <w:tc>
                <w:tcPr>
                  <w:tcW w:w="2026" w:type="dxa"/>
                  <w:noWrap w:val="0"/>
                  <w:vAlign w:val="center"/>
                </w:tcPr>
                <w:p>
                  <w:pPr>
                    <w:snapToGrid w:val="0"/>
                    <w:jc w:val="center"/>
                    <w:rPr>
                      <w:color w:val="auto"/>
                      <w:szCs w:val="21"/>
                      <w:highlight w:val="none"/>
                    </w:rPr>
                  </w:pPr>
                  <w:r>
                    <w:rPr>
                      <w:color w:val="auto"/>
                      <w:szCs w:val="21"/>
                      <w:highlight w:val="none"/>
                    </w:rPr>
                    <w:t>TSP</w:t>
                  </w:r>
                </w:p>
              </w:tc>
              <w:tc>
                <w:tcPr>
                  <w:tcW w:w="1473" w:type="dxa"/>
                  <w:noWrap w:val="0"/>
                  <w:vAlign w:val="center"/>
                </w:tcPr>
                <w:p>
                  <w:pPr>
                    <w:snapToGrid w:val="0"/>
                    <w:jc w:val="center"/>
                    <w:rPr>
                      <w:color w:val="auto"/>
                      <w:szCs w:val="21"/>
                      <w:highlight w:val="none"/>
                    </w:rPr>
                  </w:pPr>
                  <w:r>
                    <w:rPr>
                      <w:color w:val="auto"/>
                      <w:szCs w:val="21"/>
                      <w:highlight w:val="none"/>
                    </w:rPr>
                    <w:t>24小时平均</w:t>
                  </w:r>
                </w:p>
              </w:tc>
              <w:tc>
                <w:tcPr>
                  <w:tcW w:w="1973" w:type="dxa"/>
                  <w:noWrap w:val="0"/>
                  <w:vAlign w:val="center"/>
                </w:tcPr>
                <w:p>
                  <w:pPr>
                    <w:snapToGrid w:val="0"/>
                    <w:jc w:val="center"/>
                    <w:rPr>
                      <w:color w:val="auto"/>
                      <w:kern w:val="0"/>
                      <w:szCs w:val="21"/>
                      <w:highlight w:val="none"/>
                    </w:rPr>
                  </w:pPr>
                  <w:r>
                    <w:rPr>
                      <w:color w:val="auto"/>
                      <w:szCs w:val="21"/>
                      <w:highlight w:val="none"/>
                    </w:rPr>
                    <w:t>0.3</w:t>
                  </w:r>
                </w:p>
              </w:tc>
              <w:tc>
                <w:tcPr>
                  <w:tcW w:w="2465" w:type="dxa"/>
                  <w:vMerge w:val="continue"/>
                  <w:noWrap w:val="0"/>
                  <w:vAlign w:val="center"/>
                </w:tcPr>
                <w:p>
                  <w:pPr>
                    <w:snapToGrid w:val="0"/>
                    <w:jc w:val="center"/>
                    <w:rPr>
                      <w:color w:val="auto"/>
                      <w:szCs w:val="21"/>
                      <w:highlight w:val="none"/>
                    </w:rPr>
                  </w:pPr>
                </w:p>
              </w:tc>
            </w:tr>
          </w:tbl>
          <w:p>
            <w:pPr>
              <w:pStyle w:val="35"/>
              <w:rPr>
                <w:color w:val="auto"/>
                <w:highlight w:val="none"/>
              </w:rPr>
            </w:pPr>
          </w:p>
          <w:p>
            <w:pPr>
              <w:adjustRightInd w:val="0"/>
              <w:spacing w:line="360" w:lineRule="auto"/>
              <w:textAlignment w:val="baseline"/>
              <w:rPr>
                <w:b/>
                <w:bCs/>
                <w:color w:val="auto"/>
                <w:kern w:val="0"/>
                <w:sz w:val="24"/>
                <w:highlight w:val="none"/>
              </w:rPr>
            </w:pPr>
            <w:r>
              <w:rPr>
                <w:b/>
                <w:bCs/>
                <w:color w:val="auto"/>
                <w:kern w:val="0"/>
                <w:sz w:val="24"/>
                <w:highlight w:val="none"/>
              </w:rPr>
              <w:t>2、声环境</w:t>
            </w:r>
          </w:p>
          <w:p>
            <w:pPr>
              <w:adjustRightInd w:val="0"/>
              <w:spacing w:line="360" w:lineRule="auto"/>
              <w:ind w:firstLine="480" w:firstLineChars="200"/>
              <w:textAlignment w:val="baseline"/>
              <w:rPr>
                <w:color w:val="auto"/>
                <w:kern w:val="0"/>
                <w:sz w:val="24"/>
                <w:highlight w:val="none"/>
              </w:rPr>
            </w:pPr>
            <w:r>
              <w:rPr>
                <w:rFonts w:hint="eastAsia"/>
                <w:color w:val="auto"/>
                <w:kern w:val="0"/>
                <w:sz w:val="24"/>
                <w:highlight w:val="none"/>
                <w:lang w:eastAsia="zh-CN"/>
              </w:rPr>
              <w:t>本</w:t>
            </w:r>
            <w:r>
              <w:rPr>
                <w:color w:val="auto"/>
                <w:kern w:val="0"/>
                <w:sz w:val="24"/>
                <w:highlight w:val="none"/>
              </w:rPr>
              <w:t>项目</w:t>
            </w:r>
            <w:r>
              <w:rPr>
                <w:rFonts w:hint="eastAsia"/>
                <w:color w:val="auto"/>
                <w:kern w:val="0"/>
                <w:sz w:val="24"/>
                <w:highlight w:val="none"/>
                <w:lang w:eastAsia="zh-CN"/>
              </w:rPr>
              <w:t>位于</w:t>
            </w:r>
            <w:r>
              <w:rPr>
                <w:rFonts w:hint="eastAsia"/>
                <w:color w:val="auto"/>
                <w:kern w:val="0"/>
                <w:sz w:val="24"/>
                <w:highlight w:val="none"/>
                <w:lang w:val="en-US" w:eastAsia="zh-CN"/>
              </w:rPr>
              <w:t>2类声环境</w:t>
            </w:r>
            <w:r>
              <w:rPr>
                <w:color w:val="auto"/>
                <w:kern w:val="0"/>
                <w:sz w:val="24"/>
                <w:highlight w:val="none"/>
              </w:rPr>
              <w:t>功能区，区域执行</w:t>
            </w:r>
            <w:r>
              <w:rPr>
                <w:color w:val="auto"/>
                <w:spacing w:val="6"/>
                <w:kern w:val="0"/>
                <w:sz w:val="24"/>
                <w:highlight w:val="none"/>
              </w:rPr>
              <w:t>《声环境质量标准》(GB3096-2008)</w:t>
            </w:r>
            <w:r>
              <w:rPr>
                <w:rFonts w:hint="eastAsia"/>
                <w:color w:val="auto"/>
                <w:spacing w:val="6"/>
                <w:kern w:val="0"/>
                <w:sz w:val="24"/>
                <w:highlight w:val="none"/>
                <w:lang w:eastAsia="zh-CN"/>
              </w:rPr>
              <w:t>中的</w:t>
            </w:r>
            <w:r>
              <w:rPr>
                <w:color w:val="auto"/>
                <w:kern w:val="0"/>
                <w:sz w:val="24"/>
                <w:highlight w:val="none"/>
              </w:rPr>
              <w:t>2类标准</w:t>
            </w:r>
            <w:r>
              <w:rPr>
                <w:rFonts w:hint="eastAsia"/>
                <w:color w:val="auto"/>
                <w:kern w:val="0"/>
                <w:sz w:val="24"/>
                <w:highlight w:val="none"/>
              </w:rPr>
              <w:t>，</w:t>
            </w:r>
            <w:r>
              <w:rPr>
                <w:color w:val="auto"/>
                <w:kern w:val="0"/>
                <w:sz w:val="24"/>
                <w:highlight w:val="none"/>
              </w:rPr>
              <w:t>标准值见</w:t>
            </w:r>
            <w:r>
              <w:rPr>
                <w:color w:val="auto"/>
                <w:highlight w:val="none"/>
              </w:rPr>
              <w:fldChar w:fldCharType="begin"/>
            </w:r>
            <w:r>
              <w:rPr>
                <w:color w:val="auto"/>
                <w:highlight w:val="none"/>
              </w:rPr>
              <w:instrText xml:space="preserve"> REF _Ref236373458 \h  \* MERGEFORMAT </w:instrText>
            </w:r>
            <w:r>
              <w:rPr>
                <w:color w:val="auto"/>
                <w:highlight w:val="none"/>
              </w:rPr>
              <w:fldChar w:fldCharType="separate"/>
            </w:r>
            <w:r>
              <w:rPr>
                <w:color w:val="auto"/>
                <w:kern w:val="0"/>
                <w:sz w:val="24"/>
                <w:szCs w:val="20"/>
                <w:highlight w:val="none"/>
              </w:rPr>
              <w:t>表</w:t>
            </w:r>
            <w:r>
              <w:rPr>
                <w:color w:val="auto"/>
                <w:kern w:val="0"/>
                <w:sz w:val="24"/>
                <w:szCs w:val="20"/>
                <w:highlight w:val="none"/>
              </w:rPr>
              <w:fldChar w:fldCharType="end"/>
            </w:r>
            <w:r>
              <w:rPr>
                <w:rFonts w:hint="eastAsia"/>
                <w:color w:val="auto"/>
                <w:kern w:val="0"/>
                <w:sz w:val="24"/>
                <w:highlight w:val="none"/>
              </w:rPr>
              <w:t>4-2</w:t>
            </w:r>
            <w:r>
              <w:rPr>
                <w:color w:val="auto"/>
                <w:kern w:val="0"/>
                <w:sz w:val="24"/>
                <w:highlight w:val="none"/>
              </w:rPr>
              <w:t>。</w:t>
            </w:r>
          </w:p>
          <w:p>
            <w:pPr>
              <w:ind w:firstLine="482" w:firstLineChars="200"/>
              <w:jc w:val="center"/>
              <w:rPr>
                <w:b/>
                <w:color w:val="auto"/>
                <w:sz w:val="24"/>
                <w:szCs w:val="20"/>
                <w:highlight w:val="none"/>
              </w:rPr>
            </w:pPr>
            <w:bookmarkStart w:id="11" w:name="_Ref236373458"/>
            <w:r>
              <w:rPr>
                <w:b/>
                <w:color w:val="auto"/>
                <w:sz w:val="24"/>
                <w:szCs w:val="20"/>
                <w:highlight w:val="none"/>
              </w:rPr>
              <w:t>表</w:t>
            </w:r>
            <w:bookmarkEnd w:id="11"/>
            <w:r>
              <w:rPr>
                <w:rFonts w:hint="eastAsia"/>
                <w:b/>
                <w:color w:val="auto"/>
                <w:sz w:val="24"/>
                <w:szCs w:val="20"/>
                <w:highlight w:val="none"/>
              </w:rPr>
              <w:t>4-2</w:t>
            </w:r>
            <w:r>
              <w:rPr>
                <w:b/>
                <w:color w:val="auto"/>
                <w:sz w:val="24"/>
                <w:szCs w:val="20"/>
                <w:highlight w:val="none"/>
              </w:rPr>
              <w:t>声环境质量标准</w:t>
            </w:r>
            <w:r>
              <w:rPr>
                <w:rFonts w:hint="eastAsia"/>
                <w:b/>
                <w:color w:val="auto"/>
                <w:sz w:val="24"/>
                <w:szCs w:val="20"/>
                <w:highlight w:val="none"/>
              </w:rPr>
              <w:t xml:space="preserve">  </w:t>
            </w:r>
            <w:r>
              <w:rPr>
                <w:b/>
                <w:color w:val="auto"/>
                <w:sz w:val="24"/>
                <w:szCs w:val="20"/>
                <w:highlight w:val="none"/>
              </w:rPr>
              <w:t>单位：dB(A)</w:t>
            </w:r>
          </w:p>
          <w:tbl>
            <w:tblPr>
              <w:tblStyle w:val="36"/>
              <w:tblW w:w="79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0" w:type="dxa"/>
                <w:bottom w:w="0" w:type="dxa"/>
                <w:right w:w="0" w:type="dxa"/>
              </w:tblCellMar>
            </w:tblPr>
            <w:tblGrid>
              <w:gridCol w:w="2038"/>
              <w:gridCol w:w="2631"/>
              <w:gridCol w:w="326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20" w:hRule="atLeast"/>
                <w:jc w:val="center"/>
              </w:trPr>
              <w:tc>
                <w:tcPr>
                  <w:tcW w:w="2038" w:type="dxa"/>
                  <w:vMerge w:val="restart"/>
                  <w:tcBorders>
                    <w:tl2br w:val="nil"/>
                    <w:tr2bl w:val="nil"/>
                  </w:tcBorders>
                  <w:tcMar>
                    <w:top w:w="17" w:type="dxa"/>
                    <w:left w:w="17" w:type="dxa"/>
                    <w:bottom w:w="0" w:type="dxa"/>
                    <w:right w:w="17" w:type="dxa"/>
                  </w:tcMar>
                  <w:vAlign w:val="center"/>
                </w:tcPr>
                <w:p>
                  <w:pPr>
                    <w:spacing w:line="320" w:lineRule="atLeast"/>
                    <w:jc w:val="center"/>
                    <w:rPr>
                      <w:color w:val="auto"/>
                      <w:szCs w:val="21"/>
                      <w:highlight w:val="none"/>
                    </w:rPr>
                  </w:pPr>
                  <w:r>
                    <w:rPr>
                      <w:color w:val="auto"/>
                      <w:szCs w:val="21"/>
                      <w:highlight w:val="none"/>
                    </w:rPr>
                    <w:t>类别</w:t>
                  </w:r>
                </w:p>
              </w:tc>
              <w:tc>
                <w:tcPr>
                  <w:tcW w:w="5900" w:type="dxa"/>
                  <w:gridSpan w:val="2"/>
                  <w:tcBorders>
                    <w:tl2br w:val="nil"/>
                    <w:tr2bl w:val="nil"/>
                  </w:tcBorders>
                  <w:tcMar>
                    <w:top w:w="17" w:type="dxa"/>
                    <w:left w:w="17" w:type="dxa"/>
                    <w:bottom w:w="0" w:type="dxa"/>
                    <w:right w:w="17" w:type="dxa"/>
                  </w:tcMar>
                  <w:vAlign w:val="center"/>
                </w:tcPr>
                <w:p>
                  <w:pPr>
                    <w:spacing w:line="320" w:lineRule="atLeast"/>
                    <w:jc w:val="center"/>
                    <w:rPr>
                      <w:color w:val="auto"/>
                      <w:szCs w:val="21"/>
                      <w:highlight w:val="none"/>
                    </w:rPr>
                  </w:pPr>
                  <w:r>
                    <w:rPr>
                      <w:color w:val="auto"/>
                      <w:szCs w:val="21"/>
                      <w:highlight w:val="none"/>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200" w:hRule="atLeast"/>
                <w:jc w:val="center"/>
              </w:trPr>
              <w:tc>
                <w:tcPr>
                  <w:tcW w:w="2038" w:type="dxa"/>
                  <w:vMerge w:val="continue"/>
                  <w:tcBorders>
                    <w:tl2br w:val="nil"/>
                    <w:tr2bl w:val="nil"/>
                  </w:tcBorders>
                  <w:vAlign w:val="center"/>
                </w:tcPr>
                <w:p>
                  <w:pPr>
                    <w:spacing w:line="320" w:lineRule="atLeast"/>
                    <w:jc w:val="center"/>
                    <w:rPr>
                      <w:color w:val="auto"/>
                      <w:szCs w:val="21"/>
                      <w:highlight w:val="none"/>
                    </w:rPr>
                  </w:pPr>
                </w:p>
              </w:tc>
              <w:tc>
                <w:tcPr>
                  <w:tcW w:w="2631" w:type="dxa"/>
                  <w:tcBorders>
                    <w:tl2br w:val="nil"/>
                    <w:tr2bl w:val="nil"/>
                  </w:tcBorders>
                  <w:tcMar>
                    <w:top w:w="17" w:type="dxa"/>
                    <w:left w:w="17" w:type="dxa"/>
                    <w:bottom w:w="0" w:type="dxa"/>
                    <w:right w:w="17" w:type="dxa"/>
                  </w:tcMar>
                  <w:vAlign w:val="center"/>
                </w:tcPr>
                <w:p>
                  <w:pPr>
                    <w:spacing w:line="320" w:lineRule="atLeast"/>
                    <w:jc w:val="center"/>
                    <w:rPr>
                      <w:color w:val="auto"/>
                      <w:szCs w:val="21"/>
                      <w:highlight w:val="none"/>
                    </w:rPr>
                  </w:pPr>
                  <w:r>
                    <w:rPr>
                      <w:color w:val="auto"/>
                      <w:szCs w:val="21"/>
                      <w:highlight w:val="none"/>
                    </w:rPr>
                    <w:t>昼间</w:t>
                  </w:r>
                </w:p>
              </w:tc>
              <w:tc>
                <w:tcPr>
                  <w:tcW w:w="3269" w:type="dxa"/>
                  <w:tcBorders>
                    <w:tl2br w:val="nil"/>
                    <w:tr2bl w:val="nil"/>
                  </w:tcBorders>
                  <w:tcMar>
                    <w:top w:w="17" w:type="dxa"/>
                    <w:left w:w="17" w:type="dxa"/>
                    <w:bottom w:w="0" w:type="dxa"/>
                    <w:right w:w="17" w:type="dxa"/>
                  </w:tcMar>
                  <w:vAlign w:val="center"/>
                </w:tcPr>
                <w:p>
                  <w:pPr>
                    <w:spacing w:line="320" w:lineRule="atLeast"/>
                    <w:jc w:val="center"/>
                    <w:rPr>
                      <w:color w:val="auto"/>
                      <w:szCs w:val="21"/>
                      <w:highlight w:val="none"/>
                    </w:rPr>
                  </w:pPr>
                  <w:r>
                    <w:rPr>
                      <w:color w:val="auto"/>
                      <w:szCs w:val="21"/>
                      <w:highlight w:val="none"/>
                    </w:rPr>
                    <w:t>夜间</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129" w:hRule="atLeast"/>
                <w:jc w:val="center"/>
              </w:trPr>
              <w:tc>
                <w:tcPr>
                  <w:tcW w:w="2038" w:type="dxa"/>
                  <w:tcBorders>
                    <w:tl2br w:val="nil"/>
                    <w:tr2bl w:val="nil"/>
                  </w:tcBorders>
                  <w:tcMar>
                    <w:top w:w="17" w:type="dxa"/>
                    <w:left w:w="17" w:type="dxa"/>
                    <w:bottom w:w="0" w:type="dxa"/>
                    <w:right w:w="17" w:type="dxa"/>
                  </w:tcMar>
                  <w:vAlign w:val="center"/>
                </w:tcPr>
                <w:p>
                  <w:pPr>
                    <w:spacing w:line="320" w:lineRule="atLeast"/>
                    <w:jc w:val="center"/>
                    <w:rPr>
                      <w:rFonts w:hint="eastAsia" w:eastAsia="宋体"/>
                      <w:color w:val="auto"/>
                      <w:szCs w:val="21"/>
                      <w:highlight w:val="none"/>
                      <w:lang w:eastAsia="zh-CN"/>
                    </w:rPr>
                  </w:pPr>
                  <w:r>
                    <w:rPr>
                      <w:rFonts w:hint="eastAsia"/>
                      <w:color w:val="auto"/>
                      <w:szCs w:val="21"/>
                      <w:highlight w:val="none"/>
                      <w:lang w:val="en-US" w:eastAsia="zh-CN"/>
                    </w:rPr>
                    <w:t>2类</w:t>
                  </w:r>
                </w:p>
              </w:tc>
              <w:tc>
                <w:tcPr>
                  <w:tcW w:w="2631" w:type="dxa"/>
                  <w:tcBorders>
                    <w:tl2br w:val="nil"/>
                    <w:tr2bl w:val="nil"/>
                  </w:tcBorders>
                  <w:tcMar>
                    <w:top w:w="17" w:type="dxa"/>
                    <w:left w:w="17" w:type="dxa"/>
                    <w:bottom w:w="0" w:type="dxa"/>
                    <w:right w:w="17" w:type="dxa"/>
                  </w:tcMar>
                  <w:vAlign w:val="center"/>
                </w:tcPr>
                <w:p>
                  <w:pPr>
                    <w:spacing w:line="320" w:lineRule="atLeast"/>
                    <w:jc w:val="center"/>
                    <w:rPr>
                      <w:color w:val="auto"/>
                      <w:szCs w:val="21"/>
                      <w:highlight w:val="none"/>
                    </w:rPr>
                  </w:pPr>
                  <w:r>
                    <w:rPr>
                      <w:color w:val="auto"/>
                      <w:szCs w:val="21"/>
                      <w:highlight w:val="none"/>
                    </w:rPr>
                    <w:t>60</w:t>
                  </w:r>
                </w:p>
              </w:tc>
              <w:tc>
                <w:tcPr>
                  <w:tcW w:w="3269" w:type="dxa"/>
                  <w:tcBorders>
                    <w:tl2br w:val="nil"/>
                    <w:tr2bl w:val="nil"/>
                  </w:tcBorders>
                  <w:tcMar>
                    <w:top w:w="17" w:type="dxa"/>
                    <w:left w:w="17" w:type="dxa"/>
                    <w:bottom w:w="0" w:type="dxa"/>
                    <w:right w:w="17" w:type="dxa"/>
                  </w:tcMar>
                  <w:vAlign w:val="center"/>
                </w:tcPr>
                <w:p>
                  <w:pPr>
                    <w:spacing w:line="320" w:lineRule="atLeast"/>
                    <w:jc w:val="center"/>
                    <w:rPr>
                      <w:color w:val="auto"/>
                      <w:szCs w:val="21"/>
                      <w:highlight w:val="none"/>
                    </w:rPr>
                  </w:pPr>
                  <w:r>
                    <w:rPr>
                      <w:color w:val="auto"/>
                      <w:szCs w:val="21"/>
                      <w:highlight w:val="none"/>
                    </w:rPr>
                    <w:t>50</w:t>
                  </w:r>
                </w:p>
              </w:tc>
            </w:tr>
          </w:tbl>
          <w:p>
            <w:pPr>
              <w:adjustRightInd w:val="0"/>
              <w:textAlignment w:val="baseline"/>
              <w:rPr>
                <w:b/>
                <w:bCs/>
                <w:color w:val="auto"/>
                <w:kern w:val="0"/>
                <w:sz w:val="24"/>
                <w:highlight w:val="none"/>
              </w:rPr>
            </w:pPr>
            <w:r>
              <w:rPr>
                <w:b/>
                <w:bCs/>
                <w:color w:val="auto"/>
                <w:kern w:val="0"/>
                <w:sz w:val="24"/>
                <w:highlight w:val="none"/>
              </w:rPr>
              <w:t>3、地表水</w:t>
            </w:r>
          </w:p>
          <w:p>
            <w:pPr>
              <w:autoSpaceDE w:val="0"/>
              <w:autoSpaceDN w:val="0"/>
              <w:spacing w:line="360" w:lineRule="auto"/>
              <w:ind w:firstLine="480" w:firstLineChars="200"/>
              <w:contextualSpacing/>
              <w:rPr>
                <w:color w:val="auto"/>
                <w:sz w:val="24"/>
                <w:szCs w:val="28"/>
                <w:highlight w:val="none"/>
              </w:rPr>
            </w:pPr>
            <w:r>
              <w:rPr>
                <w:rFonts w:hint="eastAsia" w:hAnsi="宋体"/>
                <w:color w:val="auto"/>
                <w:sz w:val="24"/>
                <w:szCs w:val="28"/>
                <w:highlight w:val="none"/>
              </w:rPr>
              <w:t>本项目地表水体为</w:t>
            </w:r>
            <w:r>
              <w:rPr>
                <w:rFonts w:hint="eastAsia" w:hAnsi="宋体"/>
                <w:color w:val="auto"/>
                <w:sz w:val="24"/>
                <w:szCs w:val="28"/>
                <w:highlight w:val="none"/>
                <w:lang w:eastAsia="zh-CN"/>
              </w:rPr>
              <w:t>松花江</w:t>
            </w:r>
            <w:r>
              <w:rPr>
                <w:rFonts w:hint="eastAsia" w:hAnsi="宋体"/>
                <w:color w:val="auto"/>
                <w:sz w:val="24"/>
                <w:szCs w:val="28"/>
                <w:highlight w:val="none"/>
              </w:rPr>
              <w:t>，</w:t>
            </w:r>
            <w:r>
              <w:rPr>
                <w:rFonts w:hint="eastAsia" w:hAnsi="宋体"/>
                <w:bCs/>
                <w:color w:val="auto"/>
                <w:sz w:val="24"/>
                <w:highlight w:val="none"/>
              </w:rPr>
              <w:t>松花江</w:t>
            </w:r>
            <w:r>
              <w:rPr>
                <w:rFonts w:hint="eastAsia"/>
                <w:bCs/>
                <w:iCs/>
                <w:color w:val="auto"/>
                <w:sz w:val="24"/>
                <w:highlight w:val="none"/>
                <w:lang w:eastAsia="zh-CN"/>
              </w:rPr>
              <w:t>中和村</w:t>
            </w:r>
            <w:r>
              <w:rPr>
                <w:rFonts w:hint="eastAsia"/>
                <w:bCs/>
                <w:iCs/>
                <w:color w:val="auto"/>
                <w:sz w:val="24"/>
                <w:highlight w:val="none"/>
              </w:rPr>
              <w:t>监测断面和</w:t>
            </w:r>
            <w:r>
              <w:rPr>
                <w:rFonts w:hint="eastAsia"/>
                <w:bCs/>
                <w:iCs/>
                <w:color w:val="auto"/>
                <w:sz w:val="24"/>
                <w:highlight w:val="none"/>
                <w:lang w:eastAsia="zh-CN"/>
              </w:rPr>
              <w:t>福合村</w:t>
            </w:r>
            <w:r>
              <w:rPr>
                <w:rFonts w:hint="eastAsia"/>
                <w:bCs/>
                <w:iCs/>
                <w:color w:val="auto"/>
                <w:sz w:val="24"/>
                <w:highlight w:val="none"/>
              </w:rPr>
              <w:t>监测断面之间</w:t>
            </w:r>
            <w:r>
              <w:rPr>
                <w:rFonts w:hint="eastAsia" w:hAnsi="宋体"/>
                <w:bCs/>
                <w:color w:val="auto"/>
                <w:sz w:val="24"/>
                <w:highlight w:val="none"/>
                <w:lang w:eastAsia="zh-CN"/>
              </w:rPr>
              <w:t>为</w:t>
            </w:r>
            <w:r>
              <w:rPr>
                <w:rFonts w:hint="eastAsia" w:ascii="宋体" w:hAnsi="宋体" w:eastAsia="宋体" w:cs="宋体"/>
                <w:bCs/>
                <w:color w:val="auto"/>
                <w:sz w:val="24"/>
                <w:highlight w:val="none"/>
                <w:lang w:eastAsia="zh-CN"/>
              </w:rPr>
              <w:t>Ⅲ</w:t>
            </w:r>
            <w:r>
              <w:rPr>
                <w:rFonts w:hint="eastAsia" w:hAnsi="宋体"/>
                <w:bCs/>
                <w:color w:val="auto"/>
                <w:sz w:val="24"/>
                <w:highlight w:val="none"/>
                <w:lang w:eastAsia="zh-CN"/>
              </w:rPr>
              <w:t>类水体，</w:t>
            </w:r>
            <w:r>
              <w:rPr>
                <w:rFonts w:hint="eastAsia" w:hAnsi="宋体"/>
                <w:color w:val="auto"/>
                <w:sz w:val="24"/>
                <w:szCs w:val="28"/>
                <w:highlight w:val="none"/>
              </w:rPr>
              <w:t>执行《地表水环境质量标准》（</w:t>
            </w:r>
            <w:r>
              <w:rPr>
                <w:color w:val="auto"/>
                <w:sz w:val="24"/>
                <w:szCs w:val="28"/>
                <w:highlight w:val="none"/>
              </w:rPr>
              <w:t>GB3838-2002</w:t>
            </w:r>
            <w:r>
              <w:rPr>
                <w:rFonts w:hint="eastAsia" w:hAnsi="宋体"/>
                <w:color w:val="auto"/>
                <w:sz w:val="24"/>
                <w:szCs w:val="28"/>
                <w:highlight w:val="none"/>
              </w:rPr>
              <w:t>）</w:t>
            </w:r>
            <w:r>
              <w:rPr>
                <w:rFonts w:hint="eastAsia" w:ascii="宋体" w:hAnsi="宋体" w:eastAsia="宋体" w:cs="宋体"/>
                <w:color w:val="auto"/>
                <w:sz w:val="24"/>
                <w:highlight w:val="none"/>
              </w:rPr>
              <w:t>Ⅲ</w:t>
            </w:r>
            <w:r>
              <w:rPr>
                <w:rFonts w:hint="eastAsia" w:hAnsi="宋体"/>
                <w:color w:val="auto"/>
                <w:sz w:val="24"/>
                <w:szCs w:val="28"/>
                <w:highlight w:val="none"/>
              </w:rPr>
              <w:t>级标准，标准值见表4-3。</w:t>
            </w:r>
          </w:p>
          <w:p>
            <w:pPr>
              <w:ind w:firstLine="482" w:firstLineChars="200"/>
              <w:jc w:val="center"/>
              <w:rPr>
                <w:rFonts w:hint="eastAsia" w:eastAsia="宋体"/>
                <w:b/>
                <w:color w:val="auto"/>
                <w:sz w:val="24"/>
                <w:szCs w:val="20"/>
                <w:highlight w:val="none"/>
                <w:lang w:val="en-US" w:eastAsia="zh-CN"/>
              </w:rPr>
            </w:pPr>
            <w:bookmarkStart w:id="12" w:name="_Ref236373486"/>
            <w:r>
              <w:rPr>
                <w:rFonts w:hint="eastAsia"/>
                <w:b/>
                <w:color w:val="auto"/>
                <w:sz w:val="24"/>
                <w:szCs w:val="20"/>
                <w:highlight w:val="none"/>
              </w:rPr>
              <w:t>表</w:t>
            </w:r>
            <w:bookmarkEnd w:id="12"/>
            <w:r>
              <w:rPr>
                <w:rFonts w:hint="eastAsia"/>
                <w:b/>
                <w:color w:val="auto"/>
                <w:sz w:val="24"/>
                <w:szCs w:val="20"/>
                <w:highlight w:val="none"/>
              </w:rPr>
              <w:t>4-3 地表水环境质量标准  单位：</w:t>
            </w:r>
            <w:r>
              <w:rPr>
                <w:b/>
                <w:color w:val="auto"/>
                <w:sz w:val="24"/>
                <w:szCs w:val="20"/>
                <w:highlight w:val="none"/>
              </w:rPr>
              <w:t>mg/L</w:t>
            </w:r>
            <w:r>
              <w:rPr>
                <w:rFonts w:hint="eastAsia"/>
                <w:b/>
                <w:color w:val="auto"/>
                <w:sz w:val="24"/>
                <w:szCs w:val="20"/>
                <w:highlight w:val="none"/>
                <w:lang w:eastAsia="zh-CN"/>
              </w:rPr>
              <w:t>（</w:t>
            </w:r>
            <w:r>
              <w:rPr>
                <w:rFonts w:hint="eastAsia"/>
                <w:b/>
                <w:color w:val="auto"/>
                <w:sz w:val="24"/>
                <w:szCs w:val="20"/>
                <w:highlight w:val="none"/>
                <w:lang w:val="en-US" w:eastAsia="zh-CN"/>
              </w:rPr>
              <w:t>pH除外</w:t>
            </w:r>
            <w:r>
              <w:rPr>
                <w:rFonts w:hint="eastAsia"/>
                <w:b/>
                <w:color w:val="auto"/>
                <w:sz w:val="24"/>
                <w:szCs w:val="20"/>
                <w:highlight w:val="none"/>
                <w:lang w:eastAsia="zh-CN"/>
              </w:rPr>
              <w:t>）</w:t>
            </w:r>
          </w:p>
          <w:tbl>
            <w:tblPr>
              <w:tblStyle w:val="36"/>
              <w:tblW w:w="7938" w:type="dxa"/>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2015"/>
              <w:gridCol w:w="1577"/>
              <w:gridCol w:w="1086"/>
              <w:gridCol w:w="1086"/>
              <w:gridCol w:w="1086"/>
              <w:gridCol w:w="108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40" w:hRule="atLeast"/>
                <w:jc w:val="center"/>
              </w:trPr>
              <w:tc>
                <w:tcPr>
                  <w:tcW w:w="2015" w:type="dxa"/>
                  <w:tcBorders>
                    <w:top w:val="single" w:color="auto" w:sz="12" w:space="0"/>
                    <w:left w:val="nil"/>
                    <w:bottom w:val="single" w:color="auto" w:sz="8" w:space="0"/>
                    <w:right w:val="single" w:color="auto" w:sz="6" w:space="0"/>
                  </w:tcBorders>
                  <w:vAlign w:val="center"/>
                </w:tcPr>
                <w:p>
                  <w:pPr>
                    <w:spacing w:line="320" w:lineRule="exact"/>
                    <w:jc w:val="center"/>
                    <w:rPr>
                      <w:color w:val="auto"/>
                      <w:sz w:val="21"/>
                      <w:szCs w:val="21"/>
                      <w:highlight w:val="none"/>
                    </w:rPr>
                  </w:pPr>
                  <w:r>
                    <w:rPr>
                      <w:color w:val="auto"/>
                      <w:sz w:val="21"/>
                      <w:szCs w:val="21"/>
                      <w:highlight w:val="none"/>
                    </w:rPr>
                    <w:t>污染物名称</w:t>
                  </w:r>
                </w:p>
              </w:tc>
              <w:tc>
                <w:tcPr>
                  <w:tcW w:w="1577" w:type="dxa"/>
                  <w:tcBorders>
                    <w:top w:val="single" w:color="auto" w:sz="12" w:space="0"/>
                    <w:left w:val="single" w:color="auto" w:sz="6" w:space="0"/>
                    <w:bottom w:val="single" w:color="auto" w:sz="8" w:space="0"/>
                    <w:right w:val="single" w:color="auto" w:sz="6" w:space="0"/>
                  </w:tcBorders>
                  <w:vAlign w:val="center"/>
                </w:tcPr>
                <w:p>
                  <w:pPr>
                    <w:pStyle w:val="213"/>
                    <w:spacing w:line="320" w:lineRule="exact"/>
                    <w:textAlignment w:val="baseline"/>
                    <w:rPr>
                      <w:rFonts w:ascii="Times New Roman" w:eastAsia="宋体"/>
                      <w:bCs/>
                      <w:color w:val="auto"/>
                      <w:sz w:val="21"/>
                      <w:szCs w:val="21"/>
                      <w:highlight w:val="none"/>
                    </w:rPr>
                  </w:pPr>
                  <w:r>
                    <w:rPr>
                      <w:rFonts w:ascii="Times New Roman" w:eastAsia="宋体"/>
                      <w:bCs/>
                      <w:color w:val="auto"/>
                      <w:sz w:val="21"/>
                      <w:szCs w:val="21"/>
                      <w:highlight w:val="none"/>
                    </w:rPr>
                    <w:t>pH</w:t>
                  </w:r>
                </w:p>
              </w:tc>
              <w:tc>
                <w:tcPr>
                  <w:tcW w:w="1086" w:type="dxa"/>
                  <w:tcBorders>
                    <w:top w:val="single" w:color="auto" w:sz="12" w:space="0"/>
                    <w:left w:val="single" w:color="auto" w:sz="6" w:space="0"/>
                    <w:bottom w:val="single" w:color="auto" w:sz="8" w:space="0"/>
                    <w:right w:val="single" w:color="auto" w:sz="6" w:space="0"/>
                  </w:tcBorders>
                  <w:vAlign w:val="center"/>
                </w:tcPr>
                <w:p>
                  <w:pPr>
                    <w:spacing w:line="320" w:lineRule="exact"/>
                    <w:jc w:val="center"/>
                    <w:rPr>
                      <w:bCs/>
                      <w:color w:val="auto"/>
                      <w:sz w:val="21"/>
                      <w:szCs w:val="21"/>
                      <w:highlight w:val="none"/>
                    </w:rPr>
                  </w:pPr>
                  <w:r>
                    <w:rPr>
                      <w:bCs/>
                      <w:color w:val="auto"/>
                      <w:sz w:val="21"/>
                      <w:szCs w:val="21"/>
                      <w:highlight w:val="none"/>
                    </w:rPr>
                    <w:t>DO</w:t>
                  </w:r>
                </w:p>
              </w:tc>
              <w:tc>
                <w:tcPr>
                  <w:tcW w:w="1086" w:type="dxa"/>
                  <w:tcBorders>
                    <w:top w:val="single" w:color="auto" w:sz="12" w:space="0"/>
                    <w:left w:val="single" w:color="auto" w:sz="6" w:space="0"/>
                    <w:bottom w:val="single" w:color="auto" w:sz="8" w:space="0"/>
                    <w:right w:val="single" w:color="auto" w:sz="6" w:space="0"/>
                  </w:tcBorders>
                  <w:vAlign w:val="center"/>
                </w:tcPr>
                <w:p>
                  <w:pPr>
                    <w:spacing w:line="320" w:lineRule="exact"/>
                    <w:jc w:val="center"/>
                    <w:rPr>
                      <w:bCs/>
                      <w:color w:val="auto"/>
                      <w:sz w:val="21"/>
                      <w:szCs w:val="21"/>
                      <w:highlight w:val="none"/>
                    </w:rPr>
                  </w:pPr>
                  <w:r>
                    <w:rPr>
                      <w:bCs/>
                      <w:color w:val="auto"/>
                      <w:sz w:val="21"/>
                      <w:szCs w:val="21"/>
                      <w:highlight w:val="none"/>
                    </w:rPr>
                    <w:t>COD</w:t>
                  </w:r>
                  <w:r>
                    <w:rPr>
                      <w:bCs/>
                      <w:color w:val="auto"/>
                      <w:sz w:val="21"/>
                      <w:szCs w:val="21"/>
                      <w:highlight w:val="none"/>
                      <w:vertAlign w:val="subscript"/>
                    </w:rPr>
                    <w:t>Cr</w:t>
                  </w:r>
                </w:p>
              </w:tc>
              <w:tc>
                <w:tcPr>
                  <w:tcW w:w="1086" w:type="dxa"/>
                  <w:tcBorders>
                    <w:top w:val="single" w:color="auto" w:sz="12" w:space="0"/>
                    <w:left w:val="single" w:color="auto" w:sz="6" w:space="0"/>
                    <w:bottom w:val="single" w:color="auto" w:sz="8" w:space="0"/>
                    <w:right w:val="single" w:color="auto" w:sz="6" w:space="0"/>
                  </w:tcBorders>
                  <w:vAlign w:val="center"/>
                </w:tcPr>
                <w:p>
                  <w:pPr>
                    <w:spacing w:line="320" w:lineRule="exact"/>
                    <w:jc w:val="center"/>
                    <w:rPr>
                      <w:bCs/>
                      <w:color w:val="auto"/>
                      <w:sz w:val="21"/>
                      <w:szCs w:val="21"/>
                      <w:highlight w:val="none"/>
                    </w:rPr>
                  </w:pPr>
                  <w:r>
                    <w:rPr>
                      <w:bCs/>
                      <w:color w:val="auto"/>
                      <w:sz w:val="21"/>
                      <w:szCs w:val="21"/>
                      <w:highlight w:val="none"/>
                    </w:rPr>
                    <w:t>BOD</w:t>
                  </w:r>
                  <w:r>
                    <w:rPr>
                      <w:bCs/>
                      <w:color w:val="auto"/>
                      <w:sz w:val="21"/>
                      <w:szCs w:val="21"/>
                      <w:highlight w:val="none"/>
                      <w:vertAlign w:val="subscript"/>
                    </w:rPr>
                    <w:t>5</w:t>
                  </w:r>
                </w:p>
              </w:tc>
              <w:tc>
                <w:tcPr>
                  <w:tcW w:w="1088" w:type="dxa"/>
                  <w:tcBorders>
                    <w:top w:val="single" w:color="auto" w:sz="12" w:space="0"/>
                    <w:left w:val="single" w:color="auto" w:sz="6" w:space="0"/>
                    <w:bottom w:val="single" w:color="auto" w:sz="8" w:space="0"/>
                    <w:right w:val="nil"/>
                  </w:tcBorders>
                  <w:vAlign w:val="center"/>
                </w:tcPr>
                <w:p>
                  <w:pPr>
                    <w:spacing w:line="320" w:lineRule="exact"/>
                    <w:jc w:val="center"/>
                    <w:rPr>
                      <w:bCs/>
                      <w:color w:val="auto"/>
                      <w:sz w:val="21"/>
                      <w:szCs w:val="21"/>
                      <w:highlight w:val="none"/>
                    </w:rPr>
                  </w:pPr>
                  <w:r>
                    <w:rPr>
                      <w:bCs/>
                      <w:color w:val="auto"/>
                      <w:sz w:val="21"/>
                      <w:szCs w:val="21"/>
                      <w:highlight w:val="none"/>
                    </w:rPr>
                    <w:t>氨氮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23" w:hRule="atLeast"/>
                <w:jc w:val="center"/>
              </w:trPr>
              <w:tc>
                <w:tcPr>
                  <w:tcW w:w="2015" w:type="dxa"/>
                  <w:tcBorders>
                    <w:top w:val="single" w:color="auto" w:sz="8" w:space="0"/>
                    <w:left w:val="nil"/>
                    <w:bottom w:val="single" w:color="auto" w:sz="12" w:space="0"/>
                    <w:right w:val="single" w:color="auto" w:sz="6" w:space="0"/>
                  </w:tcBorders>
                  <w:vAlign w:val="center"/>
                </w:tcPr>
                <w:p>
                  <w:pPr>
                    <w:spacing w:line="320" w:lineRule="exact"/>
                    <w:jc w:val="center"/>
                    <w:rPr>
                      <w:color w:val="auto"/>
                      <w:sz w:val="21"/>
                      <w:szCs w:val="21"/>
                      <w:highlight w:val="none"/>
                    </w:rPr>
                  </w:pPr>
                  <w:r>
                    <w:rPr>
                      <w:rFonts w:hint="eastAsia" w:ascii="宋体" w:hAnsi="宋体" w:eastAsia="宋体" w:cs="宋体"/>
                      <w:color w:val="auto"/>
                      <w:sz w:val="21"/>
                      <w:szCs w:val="21"/>
                      <w:highlight w:val="none"/>
                    </w:rPr>
                    <w:t>Ⅲ</w:t>
                  </w:r>
                </w:p>
              </w:tc>
              <w:tc>
                <w:tcPr>
                  <w:tcW w:w="1577" w:type="dxa"/>
                  <w:tcBorders>
                    <w:top w:val="single" w:color="auto" w:sz="8" w:space="0"/>
                    <w:left w:val="single" w:color="auto" w:sz="6" w:space="0"/>
                    <w:bottom w:val="single" w:color="auto" w:sz="12" w:space="0"/>
                    <w:right w:val="single" w:color="auto" w:sz="6" w:space="0"/>
                  </w:tcBorders>
                  <w:vAlign w:val="center"/>
                </w:tcPr>
                <w:p>
                  <w:pPr>
                    <w:spacing w:line="320" w:lineRule="exact"/>
                    <w:jc w:val="center"/>
                    <w:rPr>
                      <w:bCs/>
                      <w:color w:val="auto"/>
                      <w:sz w:val="21"/>
                      <w:szCs w:val="21"/>
                      <w:highlight w:val="none"/>
                    </w:rPr>
                  </w:pPr>
                  <w:r>
                    <w:rPr>
                      <w:bCs/>
                      <w:color w:val="auto"/>
                      <w:sz w:val="21"/>
                      <w:szCs w:val="21"/>
                      <w:highlight w:val="none"/>
                    </w:rPr>
                    <w:t>6~9</w:t>
                  </w:r>
                </w:p>
              </w:tc>
              <w:tc>
                <w:tcPr>
                  <w:tcW w:w="1086" w:type="dxa"/>
                  <w:tcBorders>
                    <w:top w:val="single" w:color="auto" w:sz="8" w:space="0"/>
                    <w:left w:val="single" w:color="auto" w:sz="6" w:space="0"/>
                    <w:bottom w:val="single" w:color="auto" w:sz="12" w:space="0"/>
                    <w:right w:val="single" w:color="auto" w:sz="6" w:space="0"/>
                  </w:tcBorders>
                  <w:vAlign w:val="center"/>
                </w:tcPr>
                <w:p>
                  <w:pPr>
                    <w:spacing w:line="320" w:lineRule="exact"/>
                    <w:jc w:val="center"/>
                    <w:rPr>
                      <w:bCs/>
                      <w:color w:val="auto"/>
                      <w:sz w:val="21"/>
                      <w:szCs w:val="21"/>
                      <w:highlight w:val="none"/>
                    </w:rPr>
                  </w:pPr>
                  <w:r>
                    <w:rPr>
                      <w:bCs/>
                      <w:color w:val="auto"/>
                      <w:sz w:val="21"/>
                      <w:szCs w:val="21"/>
                      <w:highlight w:val="none"/>
                    </w:rPr>
                    <w:t>5</w:t>
                  </w:r>
                </w:p>
              </w:tc>
              <w:tc>
                <w:tcPr>
                  <w:tcW w:w="1086" w:type="dxa"/>
                  <w:tcBorders>
                    <w:top w:val="single" w:color="auto" w:sz="8" w:space="0"/>
                    <w:left w:val="single" w:color="auto" w:sz="6" w:space="0"/>
                    <w:bottom w:val="single" w:color="auto" w:sz="12" w:space="0"/>
                    <w:right w:val="single" w:color="auto" w:sz="6" w:space="0"/>
                  </w:tcBorders>
                  <w:vAlign w:val="center"/>
                </w:tcPr>
                <w:p>
                  <w:pPr>
                    <w:spacing w:line="320" w:lineRule="exact"/>
                    <w:jc w:val="center"/>
                    <w:rPr>
                      <w:rFonts w:hint="default"/>
                      <w:bCs/>
                      <w:color w:val="auto"/>
                      <w:sz w:val="21"/>
                      <w:szCs w:val="21"/>
                      <w:highlight w:val="none"/>
                      <w:lang w:val="en-US"/>
                    </w:rPr>
                  </w:pPr>
                  <w:r>
                    <w:rPr>
                      <w:rFonts w:hint="eastAsia"/>
                      <w:color w:val="auto"/>
                      <w:sz w:val="21"/>
                      <w:szCs w:val="21"/>
                      <w:highlight w:val="none"/>
                      <w:lang w:val="en-US" w:eastAsia="zh-CN"/>
                    </w:rPr>
                    <w:t>20</w:t>
                  </w:r>
                </w:p>
              </w:tc>
              <w:tc>
                <w:tcPr>
                  <w:tcW w:w="1086" w:type="dxa"/>
                  <w:tcBorders>
                    <w:top w:val="single" w:color="auto" w:sz="8" w:space="0"/>
                    <w:left w:val="single" w:color="auto" w:sz="6" w:space="0"/>
                    <w:bottom w:val="single" w:color="auto" w:sz="12" w:space="0"/>
                    <w:right w:val="single" w:color="auto" w:sz="6" w:space="0"/>
                  </w:tcBorders>
                  <w:vAlign w:val="center"/>
                </w:tcPr>
                <w:p>
                  <w:pPr>
                    <w:spacing w:line="320" w:lineRule="exact"/>
                    <w:jc w:val="center"/>
                    <w:rPr>
                      <w:rFonts w:hint="eastAsia" w:eastAsia="宋体"/>
                      <w:bCs/>
                      <w:color w:val="auto"/>
                      <w:sz w:val="21"/>
                      <w:szCs w:val="21"/>
                      <w:highlight w:val="none"/>
                      <w:lang w:eastAsia="zh-CN"/>
                    </w:rPr>
                  </w:pPr>
                  <w:r>
                    <w:rPr>
                      <w:rFonts w:hint="eastAsia"/>
                      <w:color w:val="auto"/>
                      <w:sz w:val="21"/>
                      <w:szCs w:val="21"/>
                      <w:highlight w:val="none"/>
                      <w:lang w:val="en-US" w:eastAsia="zh-CN"/>
                    </w:rPr>
                    <w:t>4</w:t>
                  </w:r>
                </w:p>
              </w:tc>
              <w:tc>
                <w:tcPr>
                  <w:tcW w:w="1088" w:type="dxa"/>
                  <w:tcBorders>
                    <w:top w:val="single" w:color="auto" w:sz="8" w:space="0"/>
                    <w:left w:val="single" w:color="auto" w:sz="6" w:space="0"/>
                    <w:bottom w:val="single" w:color="auto" w:sz="12" w:space="0"/>
                    <w:right w:val="nil"/>
                  </w:tcBorders>
                  <w:vAlign w:val="center"/>
                </w:tcPr>
                <w:p>
                  <w:pPr>
                    <w:spacing w:line="320" w:lineRule="exact"/>
                    <w:jc w:val="center"/>
                    <w:rPr>
                      <w:rFonts w:hint="eastAsia" w:eastAsia="宋体"/>
                      <w:bCs/>
                      <w:color w:val="auto"/>
                      <w:sz w:val="21"/>
                      <w:szCs w:val="21"/>
                      <w:highlight w:val="none"/>
                      <w:lang w:eastAsia="zh-CN"/>
                    </w:rPr>
                  </w:pPr>
                  <w:r>
                    <w:rPr>
                      <w:color w:val="auto"/>
                      <w:sz w:val="21"/>
                      <w:szCs w:val="21"/>
                      <w:highlight w:val="none"/>
                    </w:rPr>
                    <w:t>1.</w:t>
                  </w:r>
                  <w:r>
                    <w:rPr>
                      <w:rFonts w:hint="eastAsia"/>
                      <w:color w:val="auto"/>
                      <w:sz w:val="21"/>
                      <w:szCs w:val="21"/>
                      <w:highlight w:val="none"/>
                      <w:lang w:val="en-US" w:eastAsia="zh-CN"/>
                    </w:rPr>
                    <w:t>0</w:t>
                  </w:r>
                </w:p>
              </w:tc>
            </w:tr>
          </w:tbl>
          <w:p>
            <w:pPr>
              <w:pStyle w:val="143"/>
              <w:rPr>
                <w:rFonts w:ascii="Times New Roman" w:hAnsi="Times New Roman"/>
                <w:bCs w:val="0"/>
                <w:iCs w:val="0"/>
                <w:color w:val="auto"/>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1010" w:hRule="atLeast"/>
        </w:trPr>
        <w:tc>
          <w:tcPr>
            <w:tcW w:w="392" w:type="dxa"/>
            <w:textDirection w:val="tbRlV"/>
            <w:vAlign w:val="center"/>
          </w:tcPr>
          <w:p>
            <w:pPr>
              <w:pStyle w:val="143"/>
              <w:spacing w:line="240" w:lineRule="auto"/>
              <w:ind w:left="113" w:right="113"/>
              <w:jc w:val="center"/>
              <w:rPr>
                <w:rFonts w:ascii="Times New Roman" w:hAnsi="Times New Roman"/>
                <w:bCs w:val="0"/>
                <w:iCs w:val="0"/>
                <w:color w:val="auto"/>
                <w:sz w:val="24"/>
                <w:szCs w:val="24"/>
                <w:highlight w:val="none"/>
              </w:rPr>
            </w:pPr>
            <w:r>
              <w:rPr>
                <w:rFonts w:hint="eastAsia" w:ascii="Times New Roman" w:hAnsi="Times New Roman"/>
                <w:bCs w:val="0"/>
                <w:iCs w:val="0"/>
                <w:color w:val="auto"/>
                <w:sz w:val="24"/>
                <w:szCs w:val="24"/>
                <w:highlight w:val="none"/>
              </w:rPr>
              <w:t>污染物排放标准</w:t>
            </w:r>
          </w:p>
        </w:tc>
        <w:tc>
          <w:tcPr>
            <w:tcW w:w="8130" w:type="dxa"/>
            <w:vAlign w:val="center"/>
          </w:tcPr>
          <w:p>
            <w:pPr>
              <w:adjustRightInd w:val="0"/>
              <w:spacing w:line="360" w:lineRule="auto"/>
              <w:textAlignment w:val="baseline"/>
              <w:rPr>
                <w:b/>
                <w:bCs/>
                <w:color w:val="auto"/>
                <w:kern w:val="0"/>
                <w:sz w:val="24"/>
                <w:szCs w:val="28"/>
                <w:highlight w:val="none"/>
              </w:rPr>
            </w:pPr>
            <w:r>
              <w:rPr>
                <w:b/>
                <w:bCs/>
                <w:color w:val="auto"/>
                <w:kern w:val="0"/>
                <w:sz w:val="24"/>
                <w:szCs w:val="28"/>
                <w:highlight w:val="none"/>
              </w:rPr>
              <w:t>1、大气</w:t>
            </w:r>
          </w:p>
          <w:p>
            <w:pPr>
              <w:spacing w:line="360" w:lineRule="auto"/>
              <w:ind w:firstLine="480" w:firstLineChars="200"/>
              <w:rPr>
                <w:color w:val="auto"/>
                <w:sz w:val="24"/>
                <w:szCs w:val="20"/>
                <w:highlight w:val="none"/>
              </w:rPr>
            </w:pPr>
            <w:r>
              <w:rPr>
                <w:rFonts w:hint="eastAsia"/>
                <w:color w:val="auto"/>
                <w:sz w:val="24"/>
                <w:szCs w:val="20"/>
                <w:highlight w:val="none"/>
              </w:rPr>
              <w:t>本项目锅炉废气排放执行《锅炉大气污染物排放标准》（GB13271-2014）表2标准，见表4-</w:t>
            </w:r>
            <w:r>
              <w:rPr>
                <w:rFonts w:hint="eastAsia"/>
                <w:color w:val="auto"/>
                <w:sz w:val="24"/>
                <w:szCs w:val="20"/>
                <w:highlight w:val="none"/>
                <w:lang w:val="en-US" w:eastAsia="zh-CN"/>
              </w:rPr>
              <w:t>5</w:t>
            </w:r>
            <w:r>
              <w:rPr>
                <w:rFonts w:hint="eastAsia"/>
                <w:color w:val="auto"/>
                <w:sz w:val="24"/>
                <w:szCs w:val="20"/>
                <w:highlight w:val="none"/>
              </w:rPr>
              <w:t>。</w:t>
            </w:r>
          </w:p>
          <w:p>
            <w:pPr>
              <w:ind w:firstLine="482" w:firstLineChars="200"/>
              <w:jc w:val="center"/>
              <w:rPr>
                <w:b/>
                <w:color w:val="auto"/>
                <w:sz w:val="24"/>
                <w:szCs w:val="20"/>
                <w:highlight w:val="none"/>
              </w:rPr>
            </w:pPr>
            <w:r>
              <w:rPr>
                <w:b/>
                <w:color w:val="auto"/>
                <w:sz w:val="24"/>
                <w:szCs w:val="20"/>
                <w:highlight w:val="none"/>
              </w:rPr>
              <w:t>表</w:t>
            </w:r>
            <w:r>
              <w:rPr>
                <w:rFonts w:hint="eastAsia"/>
                <w:b/>
                <w:color w:val="auto"/>
                <w:sz w:val="24"/>
                <w:szCs w:val="20"/>
                <w:highlight w:val="none"/>
              </w:rPr>
              <w:t>4-</w:t>
            </w:r>
            <w:r>
              <w:rPr>
                <w:rFonts w:hint="eastAsia"/>
                <w:b/>
                <w:color w:val="auto"/>
                <w:sz w:val="24"/>
                <w:szCs w:val="20"/>
                <w:highlight w:val="none"/>
                <w:lang w:val="en-US" w:eastAsia="zh-CN"/>
              </w:rPr>
              <w:t>5</w:t>
            </w:r>
            <w:r>
              <w:rPr>
                <w:rFonts w:hint="eastAsia"/>
                <w:b/>
                <w:color w:val="auto"/>
                <w:sz w:val="24"/>
                <w:szCs w:val="20"/>
                <w:highlight w:val="none"/>
              </w:rPr>
              <w:t>锅炉大气</w:t>
            </w:r>
            <w:r>
              <w:rPr>
                <w:b/>
                <w:color w:val="auto"/>
                <w:sz w:val="24"/>
                <w:szCs w:val="20"/>
                <w:highlight w:val="none"/>
              </w:rPr>
              <w:t>污染物排放标准</w:t>
            </w:r>
            <w:r>
              <w:rPr>
                <w:rFonts w:hint="eastAsia"/>
                <w:b/>
                <w:color w:val="auto"/>
                <w:sz w:val="24"/>
                <w:szCs w:val="20"/>
                <w:highlight w:val="none"/>
              </w:rPr>
              <w:t xml:space="preserve">  </w:t>
            </w:r>
            <w:r>
              <w:rPr>
                <w:b/>
                <w:color w:val="auto"/>
                <w:sz w:val="24"/>
                <w:szCs w:val="20"/>
                <w:highlight w:val="none"/>
              </w:rPr>
              <w:t>单位：mg/m</w:t>
            </w:r>
            <w:r>
              <w:rPr>
                <w:b/>
                <w:color w:val="auto"/>
                <w:sz w:val="24"/>
                <w:szCs w:val="20"/>
                <w:highlight w:val="none"/>
                <w:vertAlign w:val="superscript"/>
              </w:rPr>
              <w:t>3</w:t>
            </w:r>
          </w:p>
          <w:tbl>
            <w:tblPr>
              <w:tblStyle w:val="36"/>
              <w:tblW w:w="79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463"/>
              <w:gridCol w:w="992"/>
              <w:gridCol w:w="1276"/>
              <w:gridCol w:w="1095"/>
              <w:gridCol w:w="1556"/>
              <w:gridCol w:w="155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8" w:hRule="atLeast"/>
                <w:jc w:val="center"/>
              </w:trPr>
              <w:tc>
                <w:tcPr>
                  <w:tcW w:w="1463" w:type="dxa"/>
                  <w:tcBorders>
                    <w:tl2br w:val="nil"/>
                    <w:tr2bl w:val="nil"/>
                  </w:tcBorders>
                  <w:vAlign w:val="center"/>
                </w:tcPr>
                <w:p>
                  <w:pPr>
                    <w:spacing w:line="320" w:lineRule="exact"/>
                    <w:jc w:val="center"/>
                    <w:rPr>
                      <w:rFonts w:hint="eastAsia" w:eastAsia="宋体"/>
                      <w:color w:val="FF0000"/>
                      <w:szCs w:val="21"/>
                      <w:highlight w:val="none"/>
                      <w:lang w:eastAsia="zh-CN"/>
                    </w:rPr>
                  </w:pPr>
                  <w:r>
                    <w:rPr>
                      <w:rFonts w:hint="eastAsia"/>
                      <w:color w:val="FF0000"/>
                      <w:szCs w:val="21"/>
                      <w:highlight w:val="none"/>
                      <w:lang w:eastAsia="zh-CN"/>
                    </w:rPr>
                    <w:t>污染物项目</w:t>
                  </w:r>
                </w:p>
              </w:tc>
              <w:tc>
                <w:tcPr>
                  <w:tcW w:w="992" w:type="dxa"/>
                  <w:tcBorders>
                    <w:tl2br w:val="nil"/>
                    <w:tr2bl w:val="nil"/>
                  </w:tcBorders>
                  <w:vAlign w:val="center"/>
                </w:tcPr>
                <w:p>
                  <w:pPr>
                    <w:spacing w:line="320" w:lineRule="exact"/>
                    <w:jc w:val="center"/>
                    <w:rPr>
                      <w:color w:val="FF0000"/>
                      <w:szCs w:val="21"/>
                      <w:highlight w:val="none"/>
                    </w:rPr>
                  </w:pPr>
                  <w:r>
                    <w:rPr>
                      <w:rFonts w:hint="eastAsia"/>
                      <w:color w:val="FF0000"/>
                      <w:szCs w:val="21"/>
                      <w:highlight w:val="none"/>
                    </w:rPr>
                    <w:t>颗粒物</w:t>
                  </w:r>
                </w:p>
              </w:tc>
              <w:tc>
                <w:tcPr>
                  <w:tcW w:w="1276" w:type="dxa"/>
                  <w:tcBorders>
                    <w:tl2br w:val="nil"/>
                    <w:tr2bl w:val="nil"/>
                  </w:tcBorders>
                  <w:vAlign w:val="center"/>
                </w:tcPr>
                <w:p>
                  <w:pPr>
                    <w:spacing w:line="320" w:lineRule="exact"/>
                    <w:jc w:val="center"/>
                    <w:rPr>
                      <w:color w:val="FF0000"/>
                      <w:szCs w:val="21"/>
                      <w:highlight w:val="none"/>
                    </w:rPr>
                  </w:pPr>
                  <w:r>
                    <w:rPr>
                      <w:color w:val="FF0000"/>
                      <w:szCs w:val="21"/>
                      <w:highlight w:val="none"/>
                    </w:rPr>
                    <w:t>SO</w:t>
                  </w:r>
                  <w:r>
                    <w:rPr>
                      <w:color w:val="FF0000"/>
                      <w:szCs w:val="21"/>
                      <w:highlight w:val="none"/>
                      <w:vertAlign w:val="subscript"/>
                    </w:rPr>
                    <w:t>2</w:t>
                  </w:r>
                </w:p>
              </w:tc>
              <w:tc>
                <w:tcPr>
                  <w:tcW w:w="1095" w:type="dxa"/>
                  <w:tcBorders>
                    <w:tl2br w:val="nil"/>
                    <w:tr2bl w:val="nil"/>
                  </w:tcBorders>
                </w:tcPr>
                <w:p>
                  <w:pPr>
                    <w:spacing w:line="320" w:lineRule="exact"/>
                    <w:jc w:val="center"/>
                    <w:rPr>
                      <w:color w:val="FF0000"/>
                      <w:szCs w:val="21"/>
                      <w:highlight w:val="none"/>
                    </w:rPr>
                  </w:pPr>
                  <w:r>
                    <w:rPr>
                      <w:color w:val="FF0000"/>
                      <w:szCs w:val="21"/>
                      <w:highlight w:val="none"/>
                    </w:rPr>
                    <w:t>NO</w:t>
                  </w:r>
                  <w:r>
                    <w:rPr>
                      <w:color w:val="FF0000"/>
                      <w:szCs w:val="21"/>
                      <w:highlight w:val="none"/>
                      <w:vertAlign w:val="subscript"/>
                    </w:rPr>
                    <w:t>X</w:t>
                  </w:r>
                </w:p>
              </w:tc>
              <w:tc>
                <w:tcPr>
                  <w:tcW w:w="1556" w:type="dxa"/>
                  <w:tcBorders>
                    <w:tl2br w:val="nil"/>
                    <w:tr2bl w:val="nil"/>
                  </w:tcBorders>
                </w:tcPr>
                <w:p>
                  <w:pPr>
                    <w:spacing w:line="320" w:lineRule="exact"/>
                    <w:jc w:val="center"/>
                    <w:rPr>
                      <w:color w:val="FF0000"/>
                      <w:szCs w:val="21"/>
                      <w:highlight w:val="none"/>
                    </w:rPr>
                  </w:pPr>
                  <w:r>
                    <w:rPr>
                      <w:rFonts w:hint="eastAsia"/>
                      <w:color w:val="FF0000"/>
                      <w:szCs w:val="21"/>
                      <w:highlight w:val="none"/>
                    </w:rPr>
                    <w:t>汞及其化合物</w:t>
                  </w:r>
                </w:p>
              </w:tc>
              <w:tc>
                <w:tcPr>
                  <w:tcW w:w="1556" w:type="dxa"/>
                  <w:tcBorders>
                    <w:tl2br w:val="nil"/>
                    <w:tr2bl w:val="nil"/>
                  </w:tcBorders>
                </w:tcPr>
                <w:p>
                  <w:pPr>
                    <w:spacing w:line="320" w:lineRule="exact"/>
                    <w:jc w:val="center"/>
                    <w:rPr>
                      <w:color w:val="FF0000"/>
                      <w:szCs w:val="21"/>
                      <w:highlight w:val="none"/>
                    </w:rPr>
                  </w:pPr>
                  <w:r>
                    <w:rPr>
                      <w:rFonts w:hint="eastAsia"/>
                      <w:color w:val="FF0000"/>
                      <w:szCs w:val="21"/>
                      <w:highlight w:val="none"/>
                    </w:rPr>
                    <w:t>林格曼黑度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9" w:hRule="atLeast"/>
                <w:jc w:val="center"/>
              </w:trPr>
              <w:tc>
                <w:tcPr>
                  <w:tcW w:w="1463" w:type="dxa"/>
                  <w:tcBorders>
                    <w:tl2br w:val="nil"/>
                    <w:tr2bl w:val="nil"/>
                  </w:tcBorders>
                  <w:vAlign w:val="center"/>
                </w:tcPr>
                <w:p>
                  <w:pPr>
                    <w:spacing w:line="320" w:lineRule="exact"/>
                    <w:jc w:val="center"/>
                    <w:rPr>
                      <w:color w:val="FF0000"/>
                      <w:szCs w:val="21"/>
                      <w:highlight w:val="none"/>
                    </w:rPr>
                  </w:pPr>
                  <w:r>
                    <w:rPr>
                      <w:rFonts w:hint="eastAsia"/>
                      <w:color w:val="FF0000"/>
                      <w:szCs w:val="21"/>
                      <w:highlight w:val="none"/>
                      <w:lang w:eastAsia="zh-CN"/>
                    </w:rPr>
                    <w:t>限值</w:t>
                  </w:r>
                </w:p>
              </w:tc>
              <w:tc>
                <w:tcPr>
                  <w:tcW w:w="992" w:type="dxa"/>
                  <w:tcBorders>
                    <w:tl2br w:val="nil"/>
                    <w:tr2bl w:val="nil"/>
                  </w:tcBorders>
                  <w:vAlign w:val="center"/>
                </w:tcPr>
                <w:p>
                  <w:pPr>
                    <w:spacing w:line="320" w:lineRule="exact"/>
                    <w:jc w:val="center"/>
                    <w:rPr>
                      <w:color w:val="FF0000"/>
                      <w:szCs w:val="21"/>
                      <w:highlight w:val="none"/>
                    </w:rPr>
                  </w:pPr>
                  <w:r>
                    <w:rPr>
                      <w:rFonts w:hint="eastAsia"/>
                      <w:color w:val="FF0000"/>
                      <w:szCs w:val="21"/>
                      <w:highlight w:val="none"/>
                    </w:rPr>
                    <w:t>50</w:t>
                  </w:r>
                </w:p>
              </w:tc>
              <w:tc>
                <w:tcPr>
                  <w:tcW w:w="1276" w:type="dxa"/>
                  <w:tcBorders>
                    <w:tl2br w:val="nil"/>
                    <w:tr2bl w:val="nil"/>
                  </w:tcBorders>
                  <w:vAlign w:val="center"/>
                </w:tcPr>
                <w:p>
                  <w:pPr>
                    <w:spacing w:line="320" w:lineRule="exact"/>
                    <w:jc w:val="center"/>
                    <w:rPr>
                      <w:color w:val="FF0000"/>
                      <w:szCs w:val="21"/>
                      <w:highlight w:val="none"/>
                    </w:rPr>
                  </w:pPr>
                  <w:r>
                    <w:rPr>
                      <w:rFonts w:hint="eastAsia"/>
                      <w:color w:val="FF0000"/>
                      <w:szCs w:val="21"/>
                      <w:highlight w:val="none"/>
                    </w:rPr>
                    <w:t>300</w:t>
                  </w:r>
                </w:p>
              </w:tc>
              <w:tc>
                <w:tcPr>
                  <w:tcW w:w="1095" w:type="dxa"/>
                  <w:tcBorders>
                    <w:tl2br w:val="nil"/>
                    <w:tr2bl w:val="nil"/>
                  </w:tcBorders>
                </w:tcPr>
                <w:p>
                  <w:pPr>
                    <w:spacing w:line="320" w:lineRule="exact"/>
                    <w:jc w:val="center"/>
                    <w:rPr>
                      <w:color w:val="FF0000"/>
                      <w:szCs w:val="21"/>
                      <w:highlight w:val="none"/>
                    </w:rPr>
                  </w:pPr>
                  <w:r>
                    <w:rPr>
                      <w:rFonts w:hint="eastAsia"/>
                      <w:color w:val="FF0000"/>
                      <w:szCs w:val="21"/>
                      <w:highlight w:val="none"/>
                    </w:rPr>
                    <w:t>300</w:t>
                  </w:r>
                </w:p>
              </w:tc>
              <w:tc>
                <w:tcPr>
                  <w:tcW w:w="1556" w:type="dxa"/>
                  <w:tcBorders>
                    <w:tl2br w:val="nil"/>
                    <w:tr2bl w:val="nil"/>
                  </w:tcBorders>
                </w:tcPr>
                <w:p>
                  <w:pPr>
                    <w:spacing w:line="320" w:lineRule="exact"/>
                    <w:jc w:val="center"/>
                    <w:rPr>
                      <w:color w:val="FF0000"/>
                      <w:szCs w:val="21"/>
                      <w:highlight w:val="none"/>
                    </w:rPr>
                  </w:pPr>
                  <w:r>
                    <w:rPr>
                      <w:rFonts w:hint="eastAsia"/>
                      <w:color w:val="FF0000"/>
                      <w:szCs w:val="21"/>
                      <w:highlight w:val="none"/>
                    </w:rPr>
                    <w:t>0.05</w:t>
                  </w:r>
                </w:p>
              </w:tc>
              <w:tc>
                <w:tcPr>
                  <w:tcW w:w="1556" w:type="dxa"/>
                  <w:tcBorders>
                    <w:tl2br w:val="nil"/>
                    <w:tr2bl w:val="nil"/>
                  </w:tcBorders>
                </w:tcPr>
                <w:p>
                  <w:pPr>
                    <w:spacing w:line="320" w:lineRule="exact"/>
                    <w:jc w:val="center"/>
                    <w:rPr>
                      <w:color w:val="FF0000"/>
                      <w:szCs w:val="21"/>
                      <w:highlight w:val="none"/>
                    </w:rPr>
                  </w:pPr>
                  <w:r>
                    <w:rPr>
                      <w:rFonts w:hint="eastAsia" w:ascii="宋体" w:hAnsi="宋体"/>
                      <w:color w:val="FF0000"/>
                      <w:szCs w:val="21"/>
                      <w:highlight w:val="none"/>
                    </w:rPr>
                    <w:t>≤</w:t>
                  </w:r>
                  <w:r>
                    <w:rPr>
                      <w:rFonts w:hint="eastAsia"/>
                      <w:color w:val="FF0000"/>
                      <w:szCs w:val="21"/>
                      <w:highlight w:val="none"/>
                    </w:rPr>
                    <w:t>1</w:t>
                  </w:r>
                </w:p>
              </w:tc>
            </w:tr>
          </w:tbl>
          <w:p>
            <w:pPr>
              <w:adjustRightInd w:val="0"/>
              <w:spacing w:line="360" w:lineRule="auto"/>
              <w:textAlignment w:val="baseline"/>
              <w:rPr>
                <w:b/>
                <w:bCs/>
                <w:color w:val="auto"/>
                <w:kern w:val="0"/>
                <w:sz w:val="24"/>
                <w:szCs w:val="28"/>
                <w:highlight w:val="none"/>
              </w:rPr>
            </w:pPr>
            <w:r>
              <w:rPr>
                <w:rFonts w:hint="eastAsia"/>
                <w:b/>
                <w:bCs/>
                <w:color w:val="auto"/>
                <w:kern w:val="0"/>
                <w:sz w:val="24"/>
                <w:szCs w:val="28"/>
                <w:highlight w:val="none"/>
              </w:rPr>
              <w:t>2</w:t>
            </w:r>
            <w:r>
              <w:rPr>
                <w:b/>
                <w:bCs/>
                <w:color w:val="auto"/>
                <w:kern w:val="0"/>
                <w:sz w:val="24"/>
                <w:szCs w:val="28"/>
                <w:highlight w:val="none"/>
              </w:rPr>
              <w:t>、噪声</w:t>
            </w:r>
          </w:p>
          <w:p>
            <w:pPr>
              <w:spacing w:line="360" w:lineRule="auto"/>
              <w:ind w:firstLine="480" w:firstLineChars="200"/>
              <w:rPr>
                <w:color w:val="auto"/>
                <w:kern w:val="0"/>
                <w:sz w:val="24"/>
                <w:szCs w:val="28"/>
                <w:highlight w:val="none"/>
              </w:rPr>
            </w:pPr>
            <w:r>
              <w:rPr>
                <w:color w:val="auto"/>
                <w:kern w:val="0"/>
                <w:sz w:val="24"/>
                <w:szCs w:val="28"/>
                <w:highlight w:val="none"/>
              </w:rPr>
              <w:t>本项目厂界噪声执行《工业企业厂界环境噪声排放标准》（GB12348</w:t>
            </w:r>
            <w:r>
              <w:rPr>
                <w:color w:val="auto"/>
                <w:kern w:val="0"/>
                <w:sz w:val="24"/>
                <w:szCs w:val="28"/>
                <w:highlight w:val="none"/>
              </w:rPr>
              <w:sym w:font="Symbol" w:char="F02D"/>
            </w:r>
            <w:r>
              <w:rPr>
                <w:color w:val="auto"/>
                <w:kern w:val="0"/>
                <w:sz w:val="24"/>
                <w:szCs w:val="28"/>
                <w:highlight w:val="none"/>
              </w:rPr>
              <w:t>2008）2类标准，标准值见表</w:t>
            </w:r>
            <w:r>
              <w:rPr>
                <w:rFonts w:hint="eastAsia"/>
                <w:color w:val="auto"/>
                <w:kern w:val="0"/>
                <w:sz w:val="24"/>
                <w:szCs w:val="28"/>
                <w:highlight w:val="none"/>
              </w:rPr>
              <w:t>4-</w:t>
            </w:r>
            <w:r>
              <w:rPr>
                <w:rFonts w:hint="eastAsia"/>
                <w:color w:val="auto"/>
                <w:kern w:val="0"/>
                <w:sz w:val="24"/>
                <w:szCs w:val="28"/>
                <w:highlight w:val="none"/>
                <w:lang w:val="en-US" w:eastAsia="zh-CN"/>
              </w:rPr>
              <w:t>6</w:t>
            </w:r>
            <w:r>
              <w:rPr>
                <w:color w:val="auto"/>
                <w:kern w:val="0"/>
                <w:sz w:val="24"/>
                <w:szCs w:val="28"/>
                <w:highlight w:val="none"/>
              </w:rPr>
              <w:t>。</w:t>
            </w:r>
          </w:p>
          <w:p>
            <w:pPr>
              <w:ind w:firstLine="482" w:firstLineChars="200"/>
              <w:jc w:val="center"/>
              <w:rPr>
                <w:b/>
                <w:color w:val="auto"/>
                <w:sz w:val="24"/>
                <w:szCs w:val="20"/>
                <w:highlight w:val="none"/>
              </w:rPr>
            </w:pPr>
            <w:bookmarkStart w:id="13" w:name="_Ref196743448"/>
            <w:r>
              <w:rPr>
                <w:b/>
                <w:color w:val="auto"/>
                <w:sz w:val="24"/>
                <w:szCs w:val="20"/>
                <w:highlight w:val="none"/>
              </w:rPr>
              <w:t>表</w:t>
            </w:r>
            <w:bookmarkEnd w:id="13"/>
            <w:r>
              <w:rPr>
                <w:rFonts w:hint="eastAsia"/>
                <w:b/>
                <w:color w:val="auto"/>
                <w:sz w:val="24"/>
                <w:szCs w:val="20"/>
                <w:highlight w:val="none"/>
              </w:rPr>
              <w:t>4-</w:t>
            </w:r>
            <w:r>
              <w:rPr>
                <w:rFonts w:hint="eastAsia"/>
                <w:b/>
                <w:color w:val="auto"/>
                <w:sz w:val="24"/>
                <w:szCs w:val="20"/>
                <w:highlight w:val="none"/>
                <w:lang w:val="en-US" w:eastAsia="zh-CN"/>
              </w:rPr>
              <w:t>6</w:t>
            </w:r>
            <w:r>
              <w:rPr>
                <w:rFonts w:hint="eastAsia"/>
                <w:b/>
                <w:color w:val="auto"/>
                <w:sz w:val="24"/>
                <w:szCs w:val="20"/>
                <w:highlight w:val="none"/>
              </w:rPr>
              <w:t xml:space="preserve"> </w:t>
            </w:r>
            <w:r>
              <w:rPr>
                <w:b/>
                <w:color w:val="auto"/>
                <w:sz w:val="24"/>
                <w:szCs w:val="20"/>
                <w:highlight w:val="none"/>
              </w:rPr>
              <w:t>工业企业厂界环境噪声排放标准</w:t>
            </w:r>
            <w:r>
              <w:rPr>
                <w:rFonts w:hint="eastAsia"/>
                <w:b/>
                <w:color w:val="auto"/>
                <w:sz w:val="24"/>
                <w:szCs w:val="20"/>
                <w:highlight w:val="none"/>
              </w:rPr>
              <w:t xml:space="preserve">  </w:t>
            </w:r>
            <w:r>
              <w:rPr>
                <w:b/>
                <w:color w:val="auto"/>
                <w:sz w:val="24"/>
                <w:szCs w:val="20"/>
                <w:highlight w:val="none"/>
              </w:rPr>
              <w:t>单位：dB(A)</w:t>
            </w:r>
          </w:p>
          <w:tbl>
            <w:tblPr>
              <w:tblStyle w:val="36"/>
              <w:tblW w:w="7938"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2096"/>
              <w:gridCol w:w="2921"/>
              <w:gridCol w:w="2921"/>
            </w:tblGrid>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2096" w:type="dxa"/>
                  <w:vMerge w:val="restart"/>
                </w:tcPr>
                <w:p>
                  <w:pPr>
                    <w:spacing w:line="320" w:lineRule="exact"/>
                    <w:jc w:val="center"/>
                    <w:rPr>
                      <w:color w:val="auto"/>
                      <w:highlight w:val="none"/>
                    </w:rPr>
                  </w:pPr>
                  <w:r>
                    <w:rPr>
                      <w:color w:val="auto"/>
                      <w:highlight w:val="none"/>
                    </w:rPr>
                    <w:t>类别</w:t>
                  </w:r>
                </w:p>
              </w:tc>
              <w:tc>
                <w:tcPr>
                  <w:tcW w:w="5842" w:type="dxa"/>
                  <w:gridSpan w:val="2"/>
                </w:tcPr>
                <w:p>
                  <w:pPr>
                    <w:spacing w:line="320" w:lineRule="exact"/>
                    <w:jc w:val="center"/>
                    <w:rPr>
                      <w:color w:val="auto"/>
                      <w:highlight w:val="none"/>
                    </w:rPr>
                  </w:pPr>
                  <w:r>
                    <w:rPr>
                      <w:color w:val="auto"/>
                      <w:highlight w:val="none"/>
                    </w:rPr>
                    <w:t>标准值</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2096" w:type="dxa"/>
                  <w:vMerge w:val="continue"/>
                </w:tcPr>
                <w:p>
                  <w:pPr>
                    <w:spacing w:line="320" w:lineRule="exact"/>
                    <w:jc w:val="center"/>
                    <w:rPr>
                      <w:color w:val="auto"/>
                      <w:highlight w:val="none"/>
                    </w:rPr>
                  </w:pPr>
                </w:p>
              </w:tc>
              <w:tc>
                <w:tcPr>
                  <w:tcW w:w="2921" w:type="dxa"/>
                </w:tcPr>
                <w:p>
                  <w:pPr>
                    <w:spacing w:line="320" w:lineRule="exact"/>
                    <w:jc w:val="center"/>
                    <w:rPr>
                      <w:color w:val="auto"/>
                      <w:highlight w:val="none"/>
                    </w:rPr>
                  </w:pPr>
                  <w:r>
                    <w:rPr>
                      <w:color w:val="auto"/>
                      <w:highlight w:val="none"/>
                    </w:rPr>
                    <w:t>昼间</w:t>
                  </w:r>
                </w:p>
              </w:tc>
              <w:tc>
                <w:tcPr>
                  <w:tcW w:w="2921" w:type="dxa"/>
                </w:tcPr>
                <w:p>
                  <w:pPr>
                    <w:spacing w:line="320" w:lineRule="exact"/>
                    <w:jc w:val="center"/>
                    <w:rPr>
                      <w:color w:val="auto"/>
                      <w:highlight w:val="none"/>
                    </w:rPr>
                  </w:pPr>
                  <w:r>
                    <w:rPr>
                      <w:color w:val="auto"/>
                      <w:highlight w:val="none"/>
                    </w:rPr>
                    <w:t>夜间</w:t>
                  </w:r>
                </w:p>
              </w:tc>
            </w:tr>
            <w:tr>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6" w:hRule="atLeast"/>
                <w:jc w:val="center"/>
              </w:trPr>
              <w:tc>
                <w:tcPr>
                  <w:tcW w:w="2096" w:type="dxa"/>
                </w:tcPr>
                <w:p>
                  <w:pPr>
                    <w:spacing w:line="320" w:lineRule="exact"/>
                    <w:jc w:val="center"/>
                    <w:rPr>
                      <w:rFonts w:hint="eastAsia" w:eastAsia="宋体"/>
                      <w:color w:val="auto"/>
                      <w:highlight w:val="none"/>
                      <w:lang w:eastAsia="zh-CN"/>
                    </w:rPr>
                  </w:pPr>
                  <w:r>
                    <w:rPr>
                      <w:rFonts w:hint="eastAsia"/>
                      <w:color w:val="auto"/>
                      <w:highlight w:val="none"/>
                      <w:lang w:val="en-US" w:eastAsia="zh-CN"/>
                    </w:rPr>
                    <w:t>2类</w:t>
                  </w:r>
                </w:p>
              </w:tc>
              <w:tc>
                <w:tcPr>
                  <w:tcW w:w="2921" w:type="dxa"/>
                </w:tcPr>
                <w:p>
                  <w:pPr>
                    <w:spacing w:line="320" w:lineRule="exact"/>
                    <w:jc w:val="center"/>
                    <w:rPr>
                      <w:color w:val="auto"/>
                      <w:highlight w:val="none"/>
                    </w:rPr>
                  </w:pPr>
                  <w:r>
                    <w:rPr>
                      <w:color w:val="auto"/>
                      <w:highlight w:val="none"/>
                    </w:rPr>
                    <w:t>60</w:t>
                  </w:r>
                </w:p>
              </w:tc>
              <w:tc>
                <w:tcPr>
                  <w:tcW w:w="2921" w:type="dxa"/>
                </w:tcPr>
                <w:p>
                  <w:pPr>
                    <w:spacing w:line="320" w:lineRule="exact"/>
                    <w:jc w:val="center"/>
                    <w:rPr>
                      <w:color w:val="auto"/>
                      <w:highlight w:val="none"/>
                    </w:rPr>
                  </w:pPr>
                  <w:r>
                    <w:rPr>
                      <w:color w:val="auto"/>
                      <w:highlight w:val="none"/>
                    </w:rPr>
                    <w:t>50</w:t>
                  </w:r>
                </w:p>
              </w:tc>
            </w:tr>
          </w:tbl>
          <w:p>
            <w:pPr>
              <w:adjustRightInd w:val="0"/>
              <w:spacing w:line="360" w:lineRule="auto"/>
              <w:textAlignment w:val="baseline"/>
              <w:rPr>
                <w:b/>
                <w:bCs/>
                <w:color w:val="auto"/>
                <w:kern w:val="0"/>
                <w:sz w:val="24"/>
                <w:szCs w:val="28"/>
                <w:highlight w:val="none"/>
              </w:rPr>
            </w:pPr>
            <w:r>
              <w:rPr>
                <w:rFonts w:hint="eastAsia"/>
                <w:b/>
                <w:bCs/>
                <w:color w:val="auto"/>
                <w:kern w:val="0"/>
                <w:sz w:val="24"/>
                <w:szCs w:val="28"/>
                <w:highlight w:val="none"/>
              </w:rPr>
              <w:t>3</w:t>
            </w:r>
            <w:r>
              <w:rPr>
                <w:b/>
                <w:bCs/>
                <w:color w:val="auto"/>
                <w:kern w:val="0"/>
                <w:sz w:val="24"/>
                <w:szCs w:val="28"/>
                <w:highlight w:val="none"/>
              </w:rPr>
              <w:t>、固体废物</w:t>
            </w:r>
          </w:p>
          <w:p>
            <w:pPr>
              <w:pStyle w:val="14"/>
              <w:spacing w:line="360" w:lineRule="auto"/>
              <w:ind w:firstLine="480" w:firstLineChars="200"/>
              <w:jc w:val="both"/>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一般固体废物执行《一般工业固体废物贮存、处置场污染控制标准》（GB18599-2001）和《关于发布&lt;一般工业固体废物贮存、处置场污染控制标准&gt;（GB18599-2001）等3项国家污染物控制标准修改单的公告》的相关规定。</w:t>
            </w:r>
          </w:p>
          <w:p>
            <w:pPr>
              <w:pStyle w:val="14"/>
              <w:spacing w:line="360" w:lineRule="auto"/>
              <w:ind w:firstLine="480" w:firstLineChars="200"/>
              <w:jc w:val="both"/>
              <w:rPr>
                <w:snapToGrid w:val="0"/>
                <w:color w:val="auto"/>
                <w:kern w:val="0"/>
                <w:szCs w:val="21"/>
                <w:highlight w:val="none"/>
              </w:rPr>
            </w:pPr>
            <w:r>
              <w:rPr>
                <w:rFonts w:hint="default" w:ascii="Times New Roman" w:hAnsi="Times New Roman" w:cs="Times New Roman"/>
                <w:color w:val="auto"/>
                <w:sz w:val="24"/>
                <w:szCs w:val="24"/>
                <w:highlight w:val="none"/>
              </w:rPr>
              <w:t>危险废物执行《危险废物贮存污染控制标准》（GB 18597-2001）及《关于发布&lt;一般工业固体废物贮存、处置场污染控制标准&gt;（GB18599-2001）等3项国家污染物控制标准修改单的公告》修改单、《危险废物收集、贮存、运输技术规范》（HJ2025-2012）</w:t>
            </w:r>
            <w:r>
              <w:rPr>
                <w:rFonts w:hint="default" w:ascii="Times New Roman" w:hAnsi="Times New Roman" w:cs="Times New Roman"/>
                <w:color w:val="auto"/>
                <w:sz w:val="24"/>
                <w:szCs w:val="24"/>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529" w:hRule="atLeast"/>
        </w:trPr>
        <w:tc>
          <w:tcPr>
            <w:tcW w:w="392" w:type="dxa"/>
            <w:textDirection w:val="tbRlV"/>
            <w:vAlign w:val="center"/>
          </w:tcPr>
          <w:p>
            <w:pPr>
              <w:pStyle w:val="143"/>
              <w:spacing w:line="240" w:lineRule="auto"/>
              <w:ind w:left="113" w:right="113"/>
              <w:jc w:val="center"/>
              <w:rPr>
                <w:rFonts w:ascii="Times New Roman" w:hAnsi="Times New Roman"/>
                <w:bCs w:val="0"/>
                <w:iCs w:val="0"/>
                <w:color w:val="auto"/>
                <w:sz w:val="24"/>
                <w:szCs w:val="24"/>
                <w:highlight w:val="none"/>
              </w:rPr>
            </w:pPr>
            <w:r>
              <w:rPr>
                <w:rFonts w:hint="eastAsia" w:ascii="Times New Roman" w:hAnsi="Times New Roman"/>
                <w:bCs w:val="0"/>
                <w:iCs w:val="0"/>
                <w:color w:val="auto"/>
                <w:sz w:val="24"/>
                <w:szCs w:val="24"/>
                <w:highlight w:val="none"/>
              </w:rPr>
              <w:t>总量控制指标</w:t>
            </w:r>
          </w:p>
        </w:tc>
        <w:tc>
          <w:tcPr>
            <w:tcW w:w="8130" w:type="dxa"/>
            <w:vAlign w:val="center"/>
          </w:tcPr>
          <w:p>
            <w:pPr>
              <w:spacing w:line="280" w:lineRule="exact"/>
              <w:jc w:val="left"/>
              <w:rPr>
                <w:color w:val="auto"/>
                <w:sz w:val="24"/>
                <w:highlight w:val="none"/>
              </w:rPr>
            </w:pPr>
            <w:r>
              <w:rPr>
                <w:rFonts w:hint="eastAsia"/>
                <w:color w:val="auto"/>
                <w:sz w:val="24"/>
                <w:highlight w:val="none"/>
              </w:rPr>
              <w:t>核算本项目污染物排放总量情况见表4-</w:t>
            </w:r>
            <w:r>
              <w:rPr>
                <w:rFonts w:hint="eastAsia"/>
                <w:color w:val="auto"/>
                <w:sz w:val="24"/>
                <w:highlight w:val="none"/>
                <w:lang w:val="en-US" w:eastAsia="zh-CN"/>
              </w:rPr>
              <w:t>7</w:t>
            </w:r>
            <w:r>
              <w:rPr>
                <w:rFonts w:hint="eastAsia"/>
                <w:color w:val="auto"/>
                <w:sz w:val="24"/>
                <w:highlight w:val="none"/>
              </w:rPr>
              <w:t>。</w:t>
            </w:r>
          </w:p>
          <w:p>
            <w:pPr>
              <w:ind w:firstLine="482" w:firstLineChars="200"/>
              <w:jc w:val="center"/>
              <w:rPr>
                <w:b/>
                <w:color w:val="auto"/>
                <w:sz w:val="24"/>
                <w:szCs w:val="20"/>
                <w:highlight w:val="none"/>
              </w:rPr>
            </w:pPr>
            <w:r>
              <w:rPr>
                <w:rFonts w:hint="eastAsia"/>
                <w:b/>
                <w:color w:val="auto"/>
                <w:sz w:val="24"/>
                <w:szCs w:val="20"/>
                <w:highlight w:val="none"/>
              </w:rPr>
              <w:t>表4-</w:t>
            </w:r>
            <w:r>
              <w:rPr>
                <w:rFonts w:hint="eastAsia"/>
                <w:b/>
                <w:color w:val="auto"/>
                <w:sz w:val="24"/>
                <w:szCs w:val="20"/>
                <w:highlight w:val="none"/>
                <w:lang w:val="en-US" w:eastAsia="zh-CN"/>
              </w:rPr>
              <w:t>7</w:t>
            </w:r>
            <w:r>
              <w:rPr>
                <w:b/>
                <w:color w:val="auto"/>
                <w:sz w:val="24"/>
                <w:szCs w:val="20"/>
                <w:highlight w:val="none"/>
              </w:rPr>
              <w:t xml:space="preserve">  </w:t>
            </w:r>
            <w:r>
              <w:rPr>
                <w:rFonts w:hint="eastAsia"/>
                <w:b/>
                <w:color w:val="auto"/>
                <w:sz w:val="24"/>
                <w:szCs w:val="20"/>
                <w:highlight w:val="none"/>
              </w:rPr>
              <w:t>建设项目污染物排放总量</w:t>
            </w:r>
            <w:r>
              <w:rPr>
                <w:b/>
                <w:color w:val="auto"/>
                <w:sz w:val="24"/>
                <w:szCs w:val="20"/>
                <w:highlight w:val="none"/>
              </w:rPr>
              <w:t>“</w:t>
            </w:r>
            <w:r>
              <w:rPr>
                <w:rFonts w:hint="eastAsia"/>
                <w:b/>
                <w:color w:val="auto"/>
                <w:sz w:val="24"/>
                <w:szCs w:val="20"/>
                <w:highlight w:val="none"/>
              </w:rPr>
              <w:t>三本账</w:t>
            </w:r>
            <w:r>
              <w:rPr>
                <w:b/>
                <w:color w:val="auto"/>
                <w:sz w:val="24"/>
                <w:szCs w:val="20"/>
                <w:highlight w:val="none"/>
              </w:rPr>
              <w:t>”</w:t>
            </w:r>
          </w:p>
          <w:tbl>
            <w:tblPr>
              <w:tblStyle w:val="36"/>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89"/>
              <w:gridCol w:w="1597"/>
              <w:gridCol w:w="1154"/>
              <w:gridCol w:w="1477"/>
              <w:gridCol w:w="1347"/>
              <w:gridCol w:w="137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3" w:hRule="atLeast"/>
                <w:jc w:val="center"/>
              </w:trPr>
              <w:tc>
                <w:tcPr>
                  <w:tcW w:w="989" w:type="dxa"/>
                  <w:vAlign w:val="center"/>
                </w:tcPr>
                <w:p>
                  <w:pPr>
                    <w:pStyle w:val="219"/>
                    <w:widowControl w:val="0"/>
                    <w:spacing w:line="240" w:lineRule="auto"/>
                    <w:jc w:val="center"/>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污染物</w:t>
                  </w:r>
                </w:p>
              </w:tc>
              <w:tc>
                <w:tcPr>
                  <w:tcW w:w="1597" w:type="dxa"/>
                  <w:vAlign w:val="center"/>
                </w:tcPr>
                <w:p>
                  <w:pPr>
                    <w:pStyle w:val="4"/>
                    <w:adjustRightInd w:val="0"/>
                    <w:snapToGrid w:val="0"/>
                    <w:ind w:firstLine="0" w:firstLineChars="0"/>
                    <w:jc w:val="center"/>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sz w:val="21"/>
                      <w:szCs w:val="21"/>
                      <w:highlight w:val="none"/>
                      <w:lang w:val="en-US" w:eastAsia="zh-CN"/>
                    </w:rPr>
                    <w:t>现有工程许可排放量（t/a）</w:t>
                  </w:r>
                </w:p>
              </w:tc>
              <w:tc>
                <w:tcPr>
                  <w:tcW w:w="1154" w:type="dxa"/>
                  <w:vAlign w:val="center"/>
                </w:tcPr>
                <w:p>
                  <w:pPr>
                    <w:pStyle w:val="219"/>
                    <w:widowControl w:val="0"/>
                    <w:spacing w:line="240" w:lineRule="auto"/>
                    <w:jc w:val="center"/>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现有工程排放量</w:t>
                  </w:r>
                  <w:r>
                    <w:rPr>
                      <w:rFonts w:hint="default" w:ascii="Times New Roman" w:hAnsi="Times New Roman" w:cs="Times New Roman"/>
                      <w:b w:val="0"/>
                      <w:bCs w:val="0"/>
                      <w:color w:val="auto"/>
                      <w:sz w:val="21"/>
                      <w:szCs w:val="21"/>
                      <w:highlight w:val="none"/>
                      <w:lang w:val="en-US" w:eastAsia="zh-CN"/>
                    </w:rPr>
                    <w:t>（t/a）</w:t>
                  </w:r>
                </w:p>
              </w:tc>
              <w:tc>
                <w:tcPr>
                  <w:tcW w:w="1477" w:type="dxa"/>
                  <w:vAlign w:val="center"/>
                </w:tcPr>
                <w:p>
                  <w:pPr>
                    <w:pStyle w:val="219"/>
                    <w:widowControl w:val="0"/>
                    <w:spacing w:line="240" w:lineRule="auto"/>
                    <w:jc w:val="center"/>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以新带老削减量</w:t>
                  </w:r>
                  <w:r>
                    <w:rPr>
                      <w:rFonts w:hint="default" w:ascii="Times New Roman" w:hAnsi="Times New Roman" w:cs="Times New Roman"/>
                      <w:b w:val="0"/>
                      <w:bCs w:val="0"/>
                      <w:color w:val="auto"/>
                      <w:sz w:val="21"/>
                      <w:szCs w:val="21"/>
                      <w:highlight w:val="none"/>
                      <w:lang w:val="en-US" w:eastAsia="zh-CN"/>
                    </w:rPr>
                    <w:t>（t/a）</w:t>
                  </w:r>
                </w:p>
              </w:tc>
              <w:tc>
                <w:tcPr>
                  <w:tcW w:w="1347" w:type="dxa"/>
                  <w:vAlign w:val="center"/>
                </w:tcPr>
                <w:p>
                  <w:pPr>
                    <w:pStyle w:val="219"/>
                    <w:widowControl w:val="0"/>
                    <w:spacing w:line="240" w:lineRule="auto"/>
                    <w:jc w:val="center"/>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lang w:eastAsia="zh-CN"/>
                    </w:rPr>
                    <w:t>预测</w:t>
                  </w:r>
                  <w:r>
                    <w:rPr>
                      <w:rFonts w:hint="default" w:ascii="Times New Roman" w:hAnsi="Times New Roman" w:cs="Times New Roman"/>
                      <w:b w:val="0"/>
                      <w:bCs w:val="0"/>
                      <w:color w:val="auto"/>
                      <w:kern w:val="2"/>
                      <w:sz w:val="21"/>
                      <w:szCs w:val="21"/>
                      <w:highlight w:val="none"/>
                    </w:rPr>
                    <w:t>排放总量</w:t>
                  </w:r>
                  <w:r>
                    <w:rPr>
                      <w:rFonts w:hint="default" w:ascii="Times New Roman" w:hAnsi="Times New Roman" w:cs="Times New Roman"/>
                      <w:b w:val="0"/>
                      <w:bCs w:val="0"/>
                      <w:color w:val="auto"/>
                      <w:sz w:val="21"/>
                      <w:szCs w:val="21"/>
                      <w:highlight w:val="none"/>
                      <w:lang w:val="en-US" w:eastAsia="zh-CN"/>
                    </w:rPr>
                    <w:t>（t/a）</w:t>
                  </w:r>
                </w:p>
              </w:tc>
              <w:tc>
                <w:tcPr>
                  <w:tcW w:w="1373" w:type="dxa"/>
                  <w:vAlign w:val="center"/>
                </w:tcPr>
                <w:p>
                  <w:pPr>
                    <w:pStyle w:val="219"/>
                    <w:widowControl w:val="0"/>
                    <w:spacing w:line="240" w:lineRule="auto"/>
                    <w:jc w:val="center"/>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lang w:eastAsia="zh-CN"/>
                    </w:rPr>
                    <w:t>排放</w:t>
                  </w:r>
                  <w:r>
                    <w:rPr>
                      <w:rFonts w:hint="default" w:ascii="Times New Roman" w:hAnsi="Times New Roman" w:cs="Times New Roman"/>
                      <w:b w:val="0"/>
                      <w:bCs w:val="0"/>
                      <w:color w:val="auto"/>
                      <w:kern w:val="2"/>
                      <w:sz w:val="21"/>
                      <w:szCs w:val="21"/>
                      <w:highlight w:val="none"/>
                    </w:rPr>
                    <w:t>增减量</w:t>
                  </w:r>
                  <w:r>
                    <w:rPr>
                      <w:rFonts w:hint="default" w:ascii="Times New Roman" w:hAnsi="Times New Roman" w:cs="Times New Roman"/>
                      <w:b w:val="0"/>
                      <w:bCs w:val="0"/>
                      <w:color w:val="auto"/>
                      <w:sz w:val="21"/>
                      <w:szCs w:val="21"/>
                      <w:highlight w:val="none"/>
                      <w:lang w:val="en-US" w:eastAsia="zh-CN"/>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6" w:hRule="atLeast"/>
                <w:jc w:val="center"/>
              </w:trPr>
              <w:tc>
                <w:tcPr>
                  <w:tcW w:w="989" w:type="dxa"/>
                  <w:vAlign w:val="center"/>
                </w:tcPr>
                <w:p>
                  <w:pPr>
                    <w:pStyle w:val="219"/>
                    <w:widowControl w:val="0"/>
                    <w:spacing w:line="240" w:lineRule="auto"/>
                    <w:jc w:val="center"/>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rPr>
                    <w:t>颗粒物</w:t>
                  </w:r>
                </w:p>
              </w:tc>
              <w:tc>
                <w:tcPr>
                  <w:tcW w:w="1597" w:type="dxa"/>
                  <w:vAlign w:val="center"/>
                </w:tcPr>
                <w:p>
                  <w:pPr>
                    <w:pStyle w:val="219"/>
                    <w:widowControl w:val="0"/>
                    <w:spacing w:line="240" w:lineRule="auto"/>
                    <w:jc w:val="center"/>
                    <w:rPr>
                      <w:rFonts w:hint="default" w:ascii="Times New Roman" w:hAnsi="Times New Roman" w:cs="Times New Roman"/>
                      <w:b w:val="0"/>
                      <w:bCs w:val="0"/>
                      <w:color w:val="auto"/>
                      <w:kern w:val="2"/>
                      <w:sz w:val="21"/>
                      <w:szCs w:val="21"/>
                      <w:highlight w:val="none"/>
                    </w:rPr>
                  </w:pPr>
                  <w:r>
                    <w:rPr>
                      <w:rFonts w:hint="default" w:ascii="Times New Roman" w:hAnsi="Times New Roman" w:cs="Times New Roman"/>
                      <w:b w:val="0"/>
                      <w:bCs w:val="0"/>
                      <w:color w:val="auto"/>
                      <w:kern w:val="2"/>
                      <w:sz w:val="21"/>
                      <w:szCs w:val="21"/>
                      <w:highlight w:val="none"/>
                      <w:lang w:val="en-US" w:eastAsia="zh-CN"/>
                    </w:rPr>
                    <w:t>9.832</w:t>
                  </w:r>
                </w:p>
              </w:tc>
              <w:tc>
                <w:tcPr>
                  <w:tcW w:w="1154" w:type="dxa"/>
                  <w:vAlign w:val="center"/>
                </w:tcPr>
                <w:p>
                  <w:pPr>
                    <w:pStyle w:val="219"/>
                    <w:widowControl w:val="0"/>
                    <w:spacing w:line="240" w:lineRule="auto"/>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cs="Times New Roman"/>
                      <w:b w:val="0"/>
                      <w:bCs w:val="0"/>
                      <w:color w:val="auto"/>
                      <w:kern w:val="2"/>
                      <w:sz w:val="21"/>
                      <w:szCs w:val="21"/>
                      <w:highlight w:val="none"/>
                      <w:lang w:val="en-US" w:eastAsia="zh-CN"/>
                    </w:rPr>
                    <w:t>9.832</w:t>
                  </w:r>
                </w:p>
              </w:tc>
              <w:tc>
                <w:tcPr>
                  <w:tcW w:w="1477" w:type="dxa"/>
                  <w:vAlign w:val="center"/>
                </w:tcPr>
                <w:p>
                  <w:pPr>
                    <w:keepNext w:val="0"/>
                    <w:keepLines w:val="0"/>
                    <w:widowControl/>
                    <w:suppressLineNumbers w:val="0"/>
                    <w:jc w:val="center"/>
                    <w:textAlignment w:val="center"/>
                    <w:rPr>
                      <w:rFonts w:hint="default" w:ascii="Times New Roman" w:hAnsi="Times New Roman" w:cs="Times New Roman"/>
                      <w:b w:val="0"/>
                      <w:bCs w:val="0"/>
                      <w:color w:val="auto"/>
                      <w:kern w:val="2"/>
                      <w:sz w:val="21"/>
                      <w:szCs w:val="21"/>
                      <w:highlight w:val="none"/>
                      <w:lang w:val="en-US"/>
                    </w:rPr>
                  </w:pPr>
                  <w:r>
                    <w:rPr>
                      <w:rFonts w:hint="eastAsia" w:cs="Times New Roman"/>
                      <w:b w:val="0"/>
                      <w:bCs w:val="0"/>
                      <w:i w:val="0"/>
                      <w:color w:val="auto"/>
                      <w:kern w:val="0"/>
                      <w:sz w:val="21"/>
                      <w:szCs w:val="21"/>
                      <w:highlight w:val="none"/>
                      <w:u w:val="none"/>
                      <w:lang w:val="en-US" w:eastAsia="zh-CN" w:bidi="ar"/>
                    </w:rPr>
                    <w:t>8.375</w:t>
                  </w:r>
                </w:p>
              </w:tc>
              <w:tc>
                <w:tcPr>
                  <w:tcW w:w="1347" w:type="dxa"/>
                  <w:vAlign w:val="center"/>
                </w:tcPr>
                <w:p>
                  <w:pPr>
                    <w:jc w:val="center"/>
                    <w:rPr>
                      <w:rFonts w:hint="default" w:ascii="Times New Roman" w:hAnsi="Times New Roman" w:cs="Times New Roman"/>
                      <w:b w:val="0"/>
                      <w:bCs w:val="0"/>
                      <w:color w:val="auto"/>
                      <w:kern w:val="2"/>
                      <w:sz w:val="21"/>
                      <w:szCs w:val="21"/>
                      <w:highlight w:val="none"/>
                      <w:lang w:val="en-US"/>
                    </w:rPr>
                  </w:pPr>
                  <w:r>
                    <w:rPr>
                      <w:rFonts w:hint="eastAsia" w:cs="Times New Roman"/>
                      <w:b w:val="0"/>
                      <w:bCs w:val="0"/>
                      <w:color w:val="auto"/>
                      <w:sz w:val="21"/>
                      <w:szCs w:val="21"/>
                      <w:highlight w:val="none"/>
                      <w:lang w:val="en-US" w:eastAsia="zh-CN"/>
                    </w:rPr>
                    <w:t>1.457</w:t>
                  </w:r>
                </w:p>
              </w:tc>
              <w:tc>
                <w:tcPr>
                  <w:tcW w:w="1373" w:type="dxa"/>
                  <w:vAlign w:val="center"/>
                </w:tcPr>
                <w:p>
                  <w:pPr>
                    <w:keepNext w:val="0"/>
                    <w:keepLines w:val="0"/>
                    <w:widowControl/>
                    <w:suppressLineNumbers w:val="0"/>
                    <w:jc w:val="center"/>
                    <w:textAlignment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cs="Times New Roman"/>
                      <w:b w:val="0"/>
                      <w:bCs w:val="0"/>
                      <w:i w:val="0"/>
                      <w:color w:val="auto"/>
                      <w:kern w:val="0"/>
                      <w:sz w:val="21"/>
                      <w:szCs w:val="21"/>
                      <w:highlight w:val="none"/>
                      <w:u w:val="none"/>
                      <w:lang w:val="en-US" w:eastAsia="zh-CN" w:bidi="ar"/>
                    </w:rPr>
                    <w:t>-</w:t>
                  </w:r>
                  <w:r>
                    <w:rPr>
                      <w:rFonts w:hint="eastAsia" w:cs="Times New Roman"/>
                      <w:b w:val="0"/>
                      <w:bCs w:val="0"/>
                      <w:i w:val="0"/>
                      <w:color w:val="auto"/>
                      <w:kern w:val="0"/>
                      <w:sz w:val="21"/>
                      <w:szCs w:val="21"/>
                      <w:highlight w:val="none"/>
                      <w:u w:val="none"/>
                      <w:lang w:val="en-US" w:eastAsia="zh-CN" w:bidi="ar"/>
                    </w:rPr>
                    <w:t>8.375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9" w:type="dxa"/>
                  <w:vAlign w:val="center"/>
                </w:tcPr>
                <w:p>
                  <w:pPr>
                    <w:pStyle w:val="219"/>
                    <w:widowControl w:val="0"/>
                    <w:spacing w:line="240" w:lineRule="auto"/>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kern w:val="2"/>
                      <w:sz w:val="21"/>
                      <w:szCs w:val="21"/>
                      <w:highlight w:val="none"/>
                    </w:rPr>
                    <w:t>SO</w:t>
                  </w:r>
                  <w:r>
                    <w:rPr>
                      <w:rFonts w:hint="default" w:ascii="Times New Roman" w:hAnsi="Times New Roman" w:cs="Times New Roman"/>
                      <w:b w:val="0"/>
                      <w:bCs w:val="0"/>
                      <w:color w:val="auto"/>
                      <w:kern w:val="2"/>
                      <w:sz w:val="21"/>
                      <w:szCs w:val="21"/>
                      <w:highlight w:val="none"/>
                      <w:vertAlign w:val="subscript"/>
                    </w:rPr>
                    <w:t>2</w:t>
                  </w:r>
                </w:p>
              </w:tc>
              <w:tc>
                <w:tcPr>
                  <w:tcW w:w="1597" w:type="dxa"/>
                  <w:vAlign w:val="center"/>
                </w:tcPr>
                <w:p>
                  <w:pPr>
                    <w:pStyle w:val="219"/>
                    <w:widowControl w:val="0"/>
                    <w:spacing w:line="240" w:lineRule="auto"/>
                    <w:jc w:val="center"/>
                    <w:rPr>
                      <w:rFonts w:hint="default" w:ascii="Times New Roman" w:hAnsi="Times New Roman" w:cs="Times New Roman"/>
                      <w:b w:val="0"/>
                      <w:bCs w:val="0"/>
                      <w:color w:val="auto"/>
                      <w:kern w:val="2"/>
                      <w:sz w:val="21"/>
                      <w:szCs w:val="21"/>
                      <w:highlight w:val="none"/>
                      <w:vertAlign w:val="subscript"/>
                    </w:rPr>
                  </w:pPr>
                  <w:r>
                    <w:rPr>
                      <w:rFonts w:hint="default" w:ascii="Times New Roman" w:hAnsi="Times New Roman" w:cs="Times New Roman"/>
                      <w:b w:val="0"/>
                      <w:bCs w:val="0"/>
                      <w:color w:val="auto"/>
                      <w:kern w:val="2"/>
                      <w:sz w:val="21"/>
                      <w:szCs w:val="21"/>
                      <w:highlight w:val="none"/>
                      <w:lang w:val="en-US" w:eastAsia="zh-CN"/>
                    </w:rPr>
                    <w:t>39.329</w:t>
                  </w:r>
                </w:p>
              </w:tc>
              <w:tc>
                <w:tcPr>
                  <w:tcW w:w="1154" w:type="dxa"/>
                  <w:vAlign w:val="center"/>
                </w:tcPr>
                <w:p>
                  <w:pPr>
                    <w:pStyle w:val="219"/>
                    <w:widowControl w:val="0"/>
                    <w:spacing w:line="240" w:lineRule="auto"/>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cs="Times New Roman"/>
                      <w:b w:val="0"/>
                      <w:bCs w:val="0"/>
                      <w:color w:val="auto"/>
                      <w:kern w:val="2"/>
                      <w:sz w:val="21"/>
                      <w:szCs w:val="21"/>
                      <w:highlight w:val="none"/>
                      <w:lang w:val="en-US" w:eastAsia="zh-CN"/>
                    </w:rPr>
                    <w:t>39.329</w:t>
                  </w:r>
                </w:p>
              </w:tc>
              <w:tc>
                <w:tcPr>
                  <w:tcW w:w="1477" w:type="dxa"/>
                  <w:vAlign w:val="center"/>
                </w:tcPr>
                <w:p>
                  <w:pPr>
                    <w:keepNext w:val="0"/>
                    <w:keepLines w:val="0"/>
                    <w:widowControl/>
                    <w:suppressLineNumbers w:val="0"/>
                    <w:jc w:val="center"/>
                    <w:textAlignment w:val="center"/>
                    <w:rPr>
                      <w:rFonts w:hint="default" w:ascii="Times New Roman" w:hAnsi="Times New Roman" w:cs="Times New Roman"/>
                      <w:b w:val="0"/>
                      <w:bCs w:val="0"/>
                      <w:color w:val="auto"/>
                      <w:kern w:val="2"/>
                      <w:sz w:val="21"/>
                      <w:szCs w:val="21"/>
                      <w:highlight w:val="none"/>
                      <w:lang w:val="en-US"/>
                    </w:rPr>
                  </w:pPr>
                  <w:r>
                    <w:rPr>
                      <w:rFonts w:hint="eastAsia" w:cs="Times New Roman"/>
                      <w:b w:val="0"/>
                      <w:bCs w:val="0"/>
                      <w:i w:val="0"/>
                      <w:color w:val="auto"/>
                      <w:kern w:val="0"/>
                      <w:sz w:val="21"/>
                      <w:szCs w:val="21"/>
                      <w:highlight w:val="none"/>
                      <w:u w:val="none"/>
                      <w:lang w:val="en-US" w:eastAsia="zh-CN" w:bidi="ar"/>
                    </w:rPr>
                    <w:t>29.455</w:t>
                  </w:r>
                </w:p>
              </w:tc>
              <w:tc>
                <w:tcPr>
                  <w:tcW w:w="1347" w:type="dxa"/>
                  <w:vAlign w:val="center"/>
                </w:tcPr>
                <w:p>
                  <w:pPr>
                    <w:jc w:val="center"/>
                    <w:rPr>
                      <w:rFonts w:hint="default" w:ascii="Times New Roman" w:hAnsi="Times New Roman" w:cs="Times New Roman"/>
                      <w:b w:val="0"/>
                      <w:bCs w:val="0"/>
                      <w:color w:val="auto"/>
                      <w:kern w:val="2"/>
                      <w:sz w:val="21"/>
                      <w:szCs w:val="21"/>
                      <w:highlight w:val="none"/>
                      <w:lang w:val="en-US"/>
                    </w:rPr>
                  </w:pPr>
                  <w:r>
                    <w:rPr>
                      <w:rFonts w:hint="default" w:ascii="Times New Roman" w:hAnsi="Times New Roman" w:cs="Times New Roman"/>
                      <w:b w:val="0"/>
                      <w:bCs w:val="0"/>
                      <w:color w:val="auto"/>
                      <w:sz w:val="21"/>
                      <w:szCs w:val="21"/>
                      <w:highlight w:val="none"/>
                      <w:lang w:val="en-US" w:eastAsia="zh-CN"/>
                    </w:rPr>
                    <w:t>9.</w:t>
                  </w:r>
                  <w:r>
                    <w:rPr>
                      <w:rFonts w:hint="eastAsia" w:cs="Times New Roman"/>
                      <w:b w:val="0"/>
                      <w:bCs w:val="0"/>
                      <w:color w:val="auto"/>
                      <w:sz w:val="21"/>
                      <w:szCs w:val="21"/>
                      <w:highlight w:val="none"/>
                      <w:lang w:val="en-US" w:eastAsia="zh-CN"/>
                    </w:rPr>
                    <w:t>874</w:t>
                  </w:r>
                </w:p>
              </w:tc>
              <w:tc>
                <w:tcPr>
                  <w:tcW w:w="1373" w:type="dxa"/>
                  <w:vAlign w:val="center"/>
                </w:tcPr>
                <w:p>
                  <w:pPr>
                    <w:keepNext w:val="0"/>
                    <w:keepLines w:val="0"/>
                    <w:widowControl/>
                    <w:suppressLineNumbers w:val="0"/>
                    <w:jc w:val="center"/>
                    <w:textAlignment w:val="center"/>
                    <w:rPr>
                      <w:rFonts w:hint="default" w:ascii="Times New Roman" w:hAnsi="Times New Roman" w:cs="Times New Roman"/>
                      <w:b w:val="0"/>
                      <w:bCs w:val="0"/>
                      <w:color w:val="auto"/>
                      <w:kern w:val="2"/>
                      <w:sz w:val="21"/>
                      <w:szCs w:val="21"/>
                      <w:highlight w:val="none"/>
                      <w:lang w:val="en-US"/>
                    </w:rPr>
                  </w:pPr>
                  <w:r>
                    <w:rPr>
                      <w:rFonts w:hint="default" w:ascii="Times New Roman" w:hAnsi="Times New Roman" w:cs="Times New Roman"/>
                      <w:b w:val="0"/>
                      <w:bCs w:val="0"/>
                      <w:i w:val="0"/>
                      <w:color w:val="auto"/>
                      <w:kern w:val="0"/>
                      <w:sz w:val="21"/>
                      <w:szCs w:val="21"/>
                      <w:highlight w:val="none"/>
                      <w:u w:val="none"/>
                      <w:lang w:val="en-US" w:eastAsia="zh-CN" w:bidi="ar"/>
                    </w:rPr>
                    <w:t>-</w:t>
                  </w:r>
                  <w:r>
                    <w:rPr>
                      <w:rFonts w:hint="eastAsia" w:cs="Times New Roman"/>
                      <w:b w:val="0"/>
                      <w:bCs w:val="0"/>
                      <w:i w:val="0"/>
                      <w:color w:val="auto"/>
                      <w:kern w:val="0"/>
                      <w:sz w:val="21"/>
                      <w:szCs w:val="21"/>
                      <w:highlight w:val="none"/>
                      <w:u w:val="none"/>
                      <w:lang w:val="en-US" w:eastAsia="zh-CN" w:bidi="ar"/>
                    </w:rPr>
                    <w:t>29.455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989" w:type="dxa"/>
                  <w:vAlign w:val="center"/>
                </w:tcPr>
                <w:p>
                  <w:pPr>
                    <w:pStyle w:val="219"/>
                    <w:widowControl w:val="0"/>
                    <w:spacing w:line="240" w:lineRule="auto"/>
                    <w:jc w:val="center"/>
                    <w:rPr>
                      <w:rFonts w:hint="default" w:ascii="Times New Roman" w:hAnsi="Times New Roman" w:cs="Times New Roman"/>
                      <w:b w:val="0"/>
                      <w:bCs w:val="0"/>
                      <w:color w:val="auto"/>
                      <w:sz w:val="21"/>
                      <w:szCs w:val="21"/>
                      <w:highlight w:val="none"/>
                    </w:rPr>
                  </w:pPr>
                  <w:r>
                    <w:rPr>
                      <w:rFonts w:hint="default" w:ascii="Times New Roman" w:hAnsi="Times New Roman" w:cs="Times New Roman"/>
                      <w:b w:val="0"/>
                      <w:bCs w:val="0"/>
                      <w:color w:val="auto"/>
                      <w:kern w:val="2"/>
                      <w:sz w:val="21"/>
                      <w:szCs w:val="21"/>
                      <w:highlight w:val="none"/>
                    </w:rPr>
                    <w:t>NO</w:t>
                  </w:r>
                  <w:r>
                    <w:rPr>
                      <w:rFonts w:hint="default" w:ascii="Times New Roman" w:hAnsi="Times New Roman" w:cs="Times New Roman"/>
                      <w:b w:val="0"/>
                      <w:bCs w:val="0"/>
                      <w:color w:val="auto"/>
                      <w:kern w:val="2"/>
                      <w:sz w:val="21"/>
                      <w:szCs w:val="21"/>
                      <w:highlight w:val="none"/>
                      <w:vertAlign w:val="subscript"/>
                    </w:rPr>
                    <w:t>x</w:t>
                  </w:r>
                </w:p>
              </w:tc>
              <w:tc>
                <w:tcPr>
                  <w:tcW w:w="1597" w:type="dxa"/>
                  <w:vAlign w:val="center"/>
                </w:tcPr>
                <w:p>
                  <w:pPr>
                    <w:pStyle w:val="219"/>
                    <w:widowControl w:val="0"/>
                    <w:spacing w:line="240" w:lineRule="auto"/>
                    <w:jc w:val="center"/>
                    <w:rPr>
                      <w:rFonts w:hint="default" w:ascii="Times New Roman" w:hAnsi="Times New Roman" w:cs="Times New Roman"/>
                      <w:b w:val="0"/>
                      <w:bCs w:val="0"/>
                      <w:color w:val="auto"/>
                      <w:kern w:val="2"/>
                      <w:sz w:val="21"/>
                      <w:szCs w:val="21"/>
                      <w:highlight w:val="none"/>
                      <w:vertAlign w:val="subscript"/>
                    </w:rPr>
                  </w:pPr>
                  <w:r>
                    <w:rPr>
                      <w:rFonts w:hint="default" w:ascii="Times New Roman" w:hAnsi="Times New Roman" w:cs="Times New Roman"/>
                      <w:b w:val="0"/>
                      <w:bCs w:val="0"/>
                      <w:color w:val="auto"/>
                      <w:kern w:val="2"/>
                      <w:sz w:val="21"/>
                      <w:szCs w:val="21"/>
                      <w:highlight w:val="none"/>
                      <w:lang w:val="en-US" w:eastAsia="zh-CN"/>
                    </w:rPr>
                    <w:t>46.161</w:t>
                  </w:r>
                </w:p>
              </w:tc>
              <w:tc>
                <w:tcPr>
                  <w:tcW w:w="1154" w:type="dxa"/>
                  <w:vAlign w:val="center"/>
                </w:tcPr>
                <w:p>
                  <w:pPr>
                    <w:pStyle w:val="219"/>
                    <w:widowControl w:val="0"/>
                    <w:spacing w:line="240" w:lineRule="auto"/>
                    <w:jc w:val="center"/>
                    <w:rPr>
                      <w:rFonts w:hint="default" w:ascii="Times New Roman" w:hAnsi="Times New Roman" w:eastAsia="宋体" w:cs="Times New Roman"/>
                      <w:b w:val="0"/>
                      <w:bCs w:val="0"/>
                      <w:color w:val="auto"/>
                      <w:kern w:val="2"/>
                      <w:sz w:val="21"/>
                      <w:szCs w:val="21"/>
                      <w:highlight w:val="none"/>
                      <w:lang w:val="en-US" w:eastAsia="zh-CN"/>
                    </w:rPr>
                  </w:pPr>
                  <w:r>
                    <w:rPr>
                      <w:rFonts w:hint="default" w:ascii="Times New Roman" w:hAnsi="Times New Roman" w:cs="Times New Roman"/>
                      <w:b w:val="0"/>
                      <w:bCs w:val="0"/>
                      <w:color w:val="auto"/>
                      <w:kern w:val="2"/>
                      <w:sz w:val="21"/>
                      <w:szCs w:val="21"/>
                      <w:highlight w:val="none"/>
                      <w:lang w:val="en-US" w:eastAsia="zh-CN"/>
                    </w:rPr>
                    <w:t>46.161</w:t>
                  </w:r>
                </w:p>
              </w:tc>
              <w:tc>
                <w:tcPr>
                  <w:tcW w:w="1477" w:type="dxa"/>
                  <w:vAlign w:val="center"/>
                </w:tcPr>
                <w:p>
                  <w:pPr>
                    <w:keepNext w:val="0"/>
                    <w:keepLines w:val="0"/>
                    <w:widowControl/>
                    <w:suppressLineNumbers w:val="0"/>
                    <w:jc w:val="center"/>
                    <w:textAlignment w:val="center"/>
                    <w:rPr>
                      <w:rFonts w:hint="default" w:ascii="Times New Roman" w:hAnsi="Times New Roman" w:cs="Times New Roman"/>
                      <w:b w:val="0"/>
                      <w:bCs w:val="0"/>
                      <w:color w:val="auto"/>
                      <w:kern w:val="2"/>
                      <w:sz w:val="21"/>
                      <w:szCs w:val="21"/>
                      <w:highlight w:val="none"/>
                    </w:rPr>
                  </w:pPr>
                  <w:r>
                    <w:rPr>
                      <w:rFonts w:hint="default" w:ascii="Times New Roman" w:hAnsi="Times New Roman" w:eastAsia="宋体" w:cs="Times New Roman"/>
                      <w:b w:val="0"/>
                      <w:bCs w:val="0"/>
                      <w:i w:val="0"/>
                      <w:color w:val="auto"/>
                      <w:kern w:val="0"/>
                      <w:sz w:val="21"/>
                      <w:szCs w:val="21"/>
                      <w:highlight w:val="none"/>
                      <w:u w:val="none"/>
                      <w:lang w:val="en-US" w:eastAsia="zh-CN" w:bidi="ar"/>
                    </w:rPr>
                    <w:t>38.091</w:t>
                  </w:r>
                </w:p>
              </w:tc>
              <w:tc>
                <w:tcPr>
                  <w:tcW w:w="1347" w:type="dxa"/>
                  <w:vAlign w:val="center"/>
                </w:tcPr>
                <w:p>
                  <w:pPr>
                    <w:jc w:val="center"/>
                    <w:rPr>
                      <w:rFonts w:hint="default" w:ascii="Times New Roman" w:hAnsi="Times New Roman" w:cs="Times New Roman"/>
                      <w:b w:val="0"/>
                      <w:bCs w:val="0"/>
                      <w:color w:val="auto"/>
                      <w:kern w:val="2"/>
                      <w:sz w:val="21"/>
                      <w:szCs w:val="21"/>
                      <w:highlight w:val="none"/>
                      <w:lang w:val="en-US"/>
                    </w:rPr>
                  </w:pPr>
                  <w:r>
                    <w:rPr>
                      <w:rFonts w:hint="default" w:ascii="Times New Roman" w:hAnsi="Times New Roman" w:cs="Times New Roman"/>
                      <w:b w:val="0"/>
                      <w:bCs w:val="0"/>
                      <w:color w:val="auto"/>
                      <w:sz w:val="21"/>
                      <w:szCs w:val="21"/>
                      <w:highlight w:val="none"/>
                      <w:lang w:val="en-US" w:eastAsia="zh-CN"/>
                    </w:rPr>
                    <w:t>11.07</w:t>
                  </w:r>
                  <w:r>
                    <w:rPr>
                      <w:rFonts w:hint="eastAsia" w:cs="Times New Roman"/>
                      <w:b w:val="0"/>
                      <w:bCs w:val="0"/>
                      <w:color w:val="auto"/>
                      <w:sz w:val="21"/>
                      <w:szCs w:val="21"/>
                      <w:highlight w:val="none"/>
                      <w:lang w:val="en-US" w:eastAsia="zh-CN"/>
                    </w:rPr>
                    <w:t>0</w:t>
                  </w:r>
                </w:p>
              </w:tc>
              <w:tc>
                <w:tcPr>
                  <w:tcW w:w="1373" w:type="dxa"/>
                  <w:vAlign w:val="center"/>
                </w:tcPr>
                <w:p>
                  <w:pPr>
                    <w:keepNext w:val="0"/>
                    <w:keepLines w:val="0"/>
                    <w:widowControl/>
                    <w:suppressLineNumbers w:val="0"/>
                    <w:jc w:val="center"/>
                    <w:textAlignment w:val="center"/>
                    <w:rPr>
                      <w:rFonts w:hint="default" w:ascii="Times New Roman" w:hAnsi="Times New Roman" w:cs="Times New Roman"/>
                      <w:b w:val="0"/>
                      <w:bCs w:val="0"/>
                      <w:color w:val="auto"/>
                      <w:kern w:val="2"/>
                      <w:sz w:val="21"/>
                      <w:szCs w:val="21"/>
                      <w:highlight w:val="none"/>
                      <w:lang w:val="en-US"/>
                    </w:rPr>
                  </w:pPr>
                  <w:r>
                    <w:rPr>
                      <w:rFonts w:hint="default" w:ascii="Times New Roman" w:hAnsi="Times New Roman" w:cs="Times New Roman"/>
                      <w:b w:val="0"/>
                      <w:bCs w:val="0"/>
                      <w:i w:val="0"/>
                      <w:color w:val="auto"/>
                      <w:kern w:val="0"/>
                      <w:sz w:val="21"/>
                      <w:szCs w:val="21"/>
                      <w:highlight w:val="none"/>
                      <w:u w:val="none"/>
                      <w:lang w:val="en-US" w:eastAsia="zh-CN" w:bidi="ar"/>
                    </w:rPr>
                    <w:t>-</w:t>
                  </w:r>
                  <w:r>
                    <w:rPr>
                      <w:rFonts w:hint="default" w:ascii="Times New Roman" w:hAnsi="Times New Roman" w:eastAsia="宋体" w:cs="Times New Roman"/>
                      <w:b w:val="0"/>
                      <w:bCs w:val="0"/>
                      <w:i w:val="0"/>
                      <w:color w:val="auto"/>
                      <w:kern w:val="0"/>
                      <w:sz w:val="21"/>
                      <w:szCs w:val="21"/>
                      <w:highlight w:val="none"/>
                      <w:u w:val="none"/>
                      <w:lang w:val="en-US" w:eastAsia="zh-CN" w:bidi="ar"/>
                    </w:rPr>
                    <w:t>38.091</w:t>
                  </w:r>
                </w:p>
              </w:tc>
            </w:tr>
          </w:tbl>
          <w:p>
            <w:pPr>
              <w:wordWrap w:val="0"/>
              <w:spacing w:line="280" w:lineRule="exact"/>
              <w:rPr>
                <w:color w:val="auto"/>
                <w:szCs w:val="21"/>
                <w:highlight w:val="none"/>
              </w:rPr>
            </w:pPr>
          </w:p>
        </w:tc>
      </w:tr>
    </w:tbl>
    <w:p>
      <w:pPr>
        <w:spacing w:line="480" w:lineRule="exact"/>
        <w:outlineLvl w:val="0"/>
        <w:rPr>
          <w:rFonts w:eastAsia="黑体"/>
          <w:color w:val="auto"/>
          <w:sz w:val="32"/>
          <w:szCs w:val="32"/>
          <w:highlight w:val="none"/>
        </w:rPr>
      </w:pPr>
      <w:bookmarkStart w:id="14" w:name="_Toc12767"/>
      <w:bookmarkStart w:id="15" w:name="_Toc288044537"/>
      <w:r>
        <w:rPr>
          <w:rFonts w:hint="eastAsia" w:eastAsia="黑体"/>
          <w:color w:val="auto"/>
          <w:sz w:val="32"/>
          <w:szCs w:val="32"/>
          <w:highlight w:val="none"/>
          <w:lang w:eastAsia="zh-CN"/>
        </w:rPr>
        <w:t>五、</w:t>
      </w:r>
      <w:r>
        <w:rPr>
          <w:rFonts w:eastAsia="黑体"/>
          <w:color w:val="auto"/>
          <w:sz w:val="32"/>
          <w:szCs w:val="32"/>
          <w:highlight w:val="none"/>
        </w:rPr>
        <w:t>建设项目工程分析</w:t>
      </w:r>
      <w:bookmarkEnd w:id="14"/>
    </w:p>
    <w:tbl>
      <w:tblPr>
        <w:tblStyle w:val="36"/>
        <w:tblW w:w="9179"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92" w:hRule="atLeast"/>
        </w:trPr>
        <w:tc>
          <w:tcPr>
            <w:tcW w:w="9179" w:type="dxa"/>
            <w:tcBorders>
              <w:bottom w:val="single" w:color="000000" w:sz="4" w:space="0"/>
            </w:tcBorders>
          </w:tcPr>
          <w:p>
            <w:pPr>
              <w:tabs>
                <w:tab w:val="left" w:pos="1725"/>
              </w:tabs>
              <w:spacing w:line="500" w:lineRule="exact"/>
              <w:jc w:val="left"/>
              <w:rPr>
                <w:b/>
                <w:bCs/>
                <w:color w:val="auto"/>
                <w:sz w:val="32"/>
                <w:szCs w:val="32"/>
                <w:highlight w:val="none"/>
              </w:rPr>
            </w:pPr>
            <w:r>
              <w:rPr>
                <w:rFonts w:hint="eastAsia"/>
                <w:b/>
                <w:bCs/>
                <w:color w:val="auto"/>
                <w:sz w:val="32"/>
                <w:szCs w:val="32"/>
                <w:highlight w:val="none"/>
              </w:rPr>
              <w:t>工艺流程简述</w:t>
            </w:r>
          </w:p>
          <w:p>
            <w:pPr>
              <w:spacing w:line="360" w:lineRule="auto"/>
              <w:rPr>
                <w:b/>
                <w:color w:val="auto"/>
                <w:sz w:val="24"/>
                <w:szCs w:val="28"/>
                <w:highlight w:val="none"/>
              </w:rPr>
            </w:pPr>
            <w:r>
              <w:rPr>
                <w:rFonts w:hint="eastAsia"/>
                <w:b/>
                <w:color w:val="auto"/>
                <w:sz w:val="24"/>
                <w:szCs w:val="28"/>
                <w:highlight w:val="none"/>
              </w:rPr>
              <w:t>一、施工期工艺流程简述：</w:t>
            </w:r>
          </w:p>
          <w:p>
            <w:pPr>
              <w:spacing w:line="500" w:lineRule="exact"/>
              <w:ind w:firstLine="480" w:firstLineChars="200"/>
              <w:jc w:val="both"/>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本项目施工期已经结束，施工期环境影响随着施工期结束而结束。本次环评不再进行施工期评价。</w:t>
            </w:r>
          </w:p>
          <w:p>
            <w:pPr>
              <w:spacing w:line="500" w:lineRule="exact"/>
              <w:rPr>
                <w:b/>
                <w:color w:val="auto"/>
                <w:sz w:val="24"/>
                <w:highlight w:val="none"/>
              </w:rPr>
            </w:pPr>
            <w:r>
              <w:rPr>
                <w:rFonts w:hint="eastAsia"/>
                <w:b/>
                <w:color w:val="auto"/>
                <w:sz w:val="24"/>
                <w:highlight w:val="none"/>
              </w:rPr>
              <w:t>二、运营期</w:t>
            </w:r>
            <w:r>
              <w:rPr>
                <w:b/>
                <w:color w:val="auto"/>
                <w:sz w:val="24"/>
                <w:highlight w:val="none"/>
              </w:rPr>
              <w:t>工艺流程简述（图示）</w:t>
            </w:r>
          </w:p>
          <w:p>
            <w:pPr>
              <w:jc w:val="center"/>
              <w:rPr>
                <w:b/>
                <w:color w:val="auto"/>
                <w:sz w:val="24"/>
                <w:highlight w:val="yellow"/>
              </w:rPr>
            </w:pPr>
            <w:r>
              <w:drawing>
                <wp:inline distT="0" distB="0" distL="114300" distR="114300">
                  <wp:extent cx="5688330" cy="2121535"/>
                  <wp:effectExtent l="0" t="0" r="7620" b="12065"/>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19"/>
                          <a:stretch>
                            <a:fillRect/>
                          </a:stretch>
                        </pic:blipFill>
                        <pic:spPr>
                          <a:xfrm>
                            <a:off x="0" y="0"/>
                            <a:ext cx="5688330" cy="2121535"/>
                          </a:xfrm>
                          <a:prstGeom prst="rect">
                            <a:avLst/>
                          </a:prstGeom>
                          <a:noFill/>
                          <a:ln>
                            <a:noFill/>
                          </a:ln>
                        </pic:spPr>
                      </pic:pic>
                    </a:graphicData>
                  </a:graphic>
                </wp:inline>
              </w:drawing>
            </w:r>
          </w:p>
          <w:p>
            <w:pPr>
              <w:spacing w:line="500" w:lineRule="exact"/>
              <w:jc w:val="center"/>
              <w:rPr>
                <w:b/>
                <w:color w:val="FF0000"/>
                <w:sz w:val="24"/>
                <w:highlight w:val="none"/>
              </w:rPr>
            </w:pPr>
            <w:r>
              <w:rPr>
                <w:b/>
                <w:color w:val="FF0000"/>
                <w:sz w:val="24"/>
                <w:highlight w:val="none"/>
              </w:rPr>
              <w:t>图5-1  运营期工艺流程图</w:t>
            </w:r>
          </w:p>
          <w:p>
            <w:pPr>
              <w:snapToGrid w:val="0"/>
              <w:spacing w:line="500" w:lineRule="exact"/>
              <w:rPr>
                <w:b/>
                <w:bCs/>
                <w:color w:val="auto"/>
                <w:sz w:val="24"/>
                <w:highlight w:val="none"/>
              </w:rPr>
            </w:pPr>
            <w:r>
              <w:rPr>
                <w:b/>
                <w:bCs/>
                <w:color w:val="auto"/>
                <w:sz w:val="24"/>
                <w:highlight w:val="none"/>
              </w:rPr>
              <w:t>工艺流程图说明：</w:t>
            </w:r>
          </w:p>
          <w:p>
            <w:pPr>
              <w:snapToGrid w:val="0"/>
              <w:spacing w:line="500" w:lineRule="exact"/>
              <w:ind w:firstLine="489" w:firstLineChars="204"/>
              <w:rPr>
                <w:color w:val="auto"/>
                <w:sz w:val="24"/>
                <w:highlight w:val="none"/>
              </w:rPr>
            </w:pPr>
            <w:r>
              <w:rPr>
                <w:rFonts w:hint="eastAsia"/>
                <w:color w:val="auto"/>
                <w:sz w:val="24"/>
                <w:highlight w:val="none"/>
                <w:lang w:eastAsia="zh-CN"/>
              </w:rPr>
              <w:t>本项目</w:t>
            </w:r>
            <w:r>
              <w:rPr>
                <w:rFonts w:hint="eastAsia"/>
                <w:color w:val="auto"/>
                <w:sz w:val="24"/>
                <w:highlight w:val="none"/>
                <w:lang w:val="en-US" w:eastAsia="zh-CN"/>
              </w:rPr>
              <w:t>锅炉烟气通过SNCR法脱硝后再通过各自的干式除尘器和布袋</w:t>
            </w:r>
            <w:r>
              <w:rPr>
                <w:rFonts w:hint="eastAsia" w:hAnsi="宋体"/>
                <w:color w:val="auto"/>
                <w:sz w:val="24"/>
                <w:highlight w:val="none"/>
              </w:rPr>
              <w:t>除尘器</w:t>
            </w:r>
            <w:r>
              <w:rPr>
                <w:rFonts w:hint="eastAsia" w:hAnsi="宋体"/>
                <w:color w:val="auto"/>
                <w:sz w:val="24"/>
                <w:highlight w:val="none"/>
                <w:lang w:eastAsia="zh-CN"/>
              </w:rPr>
              <w:t>进行除尘，最后</w:t>
            </w:r>
            <w:r>
              <w:rPr>
                <w:rFonts w:hint="eastAsia"/>
                <w:color w:val="auto"/>
                <w:sz w:val="24"/>
                <w:highlight w:val="none"/>
                <w:lang w:val="en-US" w:eastAsia="zh-CN"/>
              </w:rPr>
              <w:t>通过氧化镁脱硫塔（3台锅炉共用1座脱硫塔）进行脱硫</w:t>
            </w:r>
            <w:r>
              <w:rPr>
                <w:rFonts w:hint="eastAsia" w:hAnsi="宋体"/>
                <w:color w:val="auto"/>
                <w:sz w:val="24"/>
                <w:highlight w:val="none"/>
                <w:lang w:eastAsia="zh-CN"/>
              </w:rPr>
              <w:t>后由同一根</w:t>
            </w:r>
            <w:r>
              <w:rPr>
                <w:rFonts w:hint="eastAsia" w:hAnsi="宋体"/>
                <w:color w:val="auto"/>
                <w:sz w:val="24"/>
                <w:highlight w:val="none"/>
                <w:lang w:val="en-US" w:eastAsia="zh-CN"/>
              </w:rPr>
              <w:t>60m高的烟囱排放</w:t>
            </w:r>
            <w:r>
              <w:rPr>
                <w:rFonts w:hint="eastAsia" w:hAnsi="宋体"/>
                <w:color w:val="auto"/>
                <w:sz w:val="24"/>
                <w:highlight w:val="none"/>
              </w:rPr>
              <w:t>。除尘效率为9</w:t>
            </w:r>
            <w:r>
              <w:rPr>
                <w:rFonts w:hint="eastAsia" w:hAnsi="宋体"/>
                <w:color w:val="auto"/>
                <w:sz w:val="24"/>
                <w:highlight w:val="none"/>
                <w:lang w:val="en-US" w:eastAsia="zh-CN"/>
              </w:rPr>
              <w:t>9.9</w:t>
            </w:r>
            <w:r>
              <w:rPr>
                <w:rFonts w:hint="eastAsia" w:hAnsi="宋体"/>
                <w:color w:val="auto"/>
                <w:sz w:val="24"/>
                <w:highlight w:val="none"/>
              </w:rPr>
              <w:t>%，</w:t>
            </w:r>
            <w:r>
              <w:rPr>
                <w:rFonts w:hint="eastAsia"/>
                <w:color w:val="auto"/>
                <w:sz w:val="24"/>
                <w:highlight w:val="none"/>
              </w:rPr>
              <w:t>SNCR脱硝效率为</w:t>
            </w:r>
            <w:r>
              <w:rPr>
                <w:rFonts w:hint="eastAsia"/>
                <w:color w:val="auto"/>
                <w:sz w:val="24"/>
                <w:highlight w:val="none"/>
                <w:lang w:val="en-US" w:eastAsia="zh-CN"/>
              </w:rPr>
              <w:t>5</w:t>
            </w:r>
            <w:r>
              <w:rPr>
                <w:rFonts w:hint="eastAsia"/>
                <w:color w:val="auto"/>
                <w:sz w:val="24"/>
                <w:highlight w:val="none"/>
              </w:rPr>
              <w:t>0%，氧化镁脱硫塔脱硫效率为</w:t>
            </w:r>
            <w:r>
              <w:rPr>
                <w:rFonts w:hint="eastAsia"/>
                <w:color w:val="auto"/>
                <w:sz w:val="24"/>
                <w:highlight w:val="none"/>
                <w:lang w:val="en-US" w:eastAsia="zh-CN"/>
              </w:rPr>
              <w:t>8</w:t>
            </w:r>
            <w:r>
              <w:rPr>
                <w:rFonts w:hint="eastAsia"/>
                <w:color w:val="auto"/>
                <w:sz w:val="24"/>
                <w:highlight w:val="none"/>
              </w:rPr>
              <w:t>0%。</w:t>
            </w:r>
          </w:p>
          <w:p>
            <w:pPr>
              <w:snapToGrid w:val="0"/>
              <w:spacing w:line="500" w:lineRule="exact"/>
              <w:ind w:firstLine="489" w:firstLineChars="204"/>
              <w:rPr>
                <w:color w:val="auto"/>
                <w:sz w:val="24"/>
                <w:highlight w:val="none"/>
              </w:rPr>
            </w:pPr>
            <w:r>
              <w:rPr>
                <w:rFonts w:hint="eastAsia"/>
                <w:color w:val="auto"/>
                <w:sz w:val="24"/>
                <w:highlight w:val="none"/>
              </w:rPr>
              <w:t>（1）脱硝</w:t>
            </w:r>
          </w:p>
          <w:p>
            <w:pPr>
              <w:snapToGrid w:val="0"/>
              <w:spacing w:line="360" w:lineRule="auto"/>
              <w:ind w:firstLine="480" w:firstLineChars="200"/>
              <w:rPr>
                <w:color w:val="auto"/>
                <w:sz w:val="24"/>
                <w:highlight w:val="none"/>
              </w:rPr>
            </w:pPr>
            <w:r>
              <w:rPr>
                <w:rFonts w:hint="eastAsia"/>
                <w:color w:val="auto"/>
                <w:sz w:val="24"/>
                <w:highlight w:val="none"/>
              </w:rPr>
              <w:t>本工程使用SNCR脱硝技术，采用尿素作为还原剂。尿素为无毒、无挥发性的固体，运输贮存安全；且尿素溶液的液滴能在膛内穿透的更远；除此之外，尿素溶液可与烟气充分混合，有效地脱除NO</w:t>
            </w:r>
            <w:r>
              <w:rPr>
                <w:rFonts w:hint="eastAsia"/>
                <w:color w:val="auto"/>
                <w:sz w:val="24"/>
                <w:highlight w:val="none"/>
                <w:vertAlign w:val="subscript"/>
              </w:rPr>
              <w:t>x</w:t>
            </w:r>
            <w:r>
              <w:rPr>
                <w:rFonts w:hint="eastAsia"/>
                <w:color w:val="auto"/>
                <w:sz w:val="24"/>
                <w:highlight w:val="none"/>
              </w:rPr>
              <w:t>。</w:t>
            </w:r>
          </w:p>
          <w:p>
            <w:pPr>
              <w:spacing w:line="360" w:lineRule="auto"/>
              <w:ind w:firstLine="480" w:firstLineChars="200"/>
              <w:rPr>
                <w:rFonts w:hAnsi="宋体" w:cs="宋体"/>
                <w:snapToGrid w:val="0"/>
                <w:color w:val="auto"/>
                <w:kern w:val="0"/>
                <w:sz w:val="24"/>
                <w:szCs w:val="28"/>
                <w:highlight w:val="none"/>
              </w:rPr>
            </w:pPr>
            <w:r>
              <w:rPr>
                <w:rFonts w:hint="eastAsia"/>
                <w:color w:val="auto"/>
                <w:sz w:val="24"/>
                <w:highlight w:val="none"/>
              </w:rPr>
              <w:t>首先，将尿素溶解，制备成浓度为50%溶液，经输送泵输送至尿素储罐。储罐中的尿素溶液经计量稀释模块，稀释成浓度为10%溶液，之后被输送至缓冲罐。缓冲罐中的溶液经计量分配模块分配至各个喷枪，喷入炉膛特定窗口（850℃—1050℃）与烟气充分混合，将烟气中的NO</w:t>
            </w:r>
            <w:r>
              <w:rPr>
                <w:rFonts w:hint="eastAsia"/>
                <w:color w:val="auto"/>
                <w:sz w:val="24"/>
                <w:highlight w:val="none"/>
                <w:vertAlign w:val="subscript"/>
              </w:rPr>
              <w:t>x</w:t>
            </w:r>
            <w:r>
              <w:rPr>
                <w:rFonts w:hint="eastAsia"/>
                <w:color w:val="auto"/>
                <w:sz w:val="24"/>
                <w:highlight w:val="none"/>
              </w:rPr>
              <w:t>还原为氮气分子和水蒸气，最终达到脱除NO</w:t>
            </w:r>
            <w:r>
              <w:rPr>
                <w:rFonts w:hint="eastAsia"/>
                <w:color w:val="auto"/>
                <w:sz w:val="24"/>
                <w:highlight w:val="none"/>
                <w:vertAlign w:val="subscript"/>
              </w:rPr>
              <w:t>x</w:t>
            </w:r>
            <w:r>
              <w:rPr>
                <w:rFonts w:hint="eastAsia"/>
                <w:color w:val="auto"/>
                <w:sz w:val="24"/>
                <w:highlight w:val="none"/>
              </w:rPr>
              <w:t>的目的。</w:t>
            </w:r>
            <w:r>
              <w:rPr>
                <w:rFonts w:hint="eastAsia" w:hAnsi="宋体" w:cs="宋体"/>
                <w:snapToGrid w:val="0"/>
                <w:color w:val="auto"/>
                <w:kern w:val="0"/>
                <w:sz w:val="24"/>
                <w:szCs w:val="28"/>
                <w:highlight w:val="none"/>
              </w:rPr>
              <w:t>工艺流程示意图见图5-2。</w:t>
            </w:r>
          </w:p>
          <w:p>
            <w:pPr>
              <w:spacing w:line="360" w:lineRule="auto"/>
              <w:ind w:firstLine="480" w:firstLineChars="200"/>
              <w:rPr>
                <w:rFonts w:hAnsi="宋体" w:cs="宋体"/>
                <w:snapToGrid w:val="0"/>
                <w:color w:val="auto"/>
                <w:kern w:val="0"/>
                <w:sz w:val="24"/>
                <w:szCs w:val="28"/>
                <w:highlight w:val="none"/>
              </w:rPr>
            </w:pPr>
          </w:p>
          <w:p>
            <w:pPr>
              <w:spacing w:line="360" w:lineRule="auto"/>
              <w:ind w:firstLine="480" w:firstLineChars="200"/>
              <w:rPr>
                <w:rFonts w:hAnsi="宋体" w:cs="宋体"/>
                <w:snapToGrid w:val="0"/>
                <w:color w:val="auto"/>
                <w:kern w:val="0"/>
                <w:sz w:val="24"/>
                <w:szCs w:val="28"/>
                <w:highlight w:val="none"/>
              </w:rPr>
            </w:pPr>
          </w:p>
          <w:p>
            <w:pPr>
              <w:spacing w:line="360" w:lineRule="auto"/>
              <w:jc w:val="center"/>
              <w:rPr>
                <w:b/>
                <w:color w:val="auto"/>
                <w:sz w:val="28"/>
                <w:szCs w:val="20"/>
                <w:highlight w:val="none"/>
              </w:rPr>
            </w:pPr>
            <w:r>
              <w:rPr>
                <w:color w:val="auto"/>
                <w:szCs w:val="28"/>
                <w:highlight w:val="none"/>
              </w:rPr>
              <w:drawing>
                <wp:inline distT="0" distB="0" distL="0" distR="0">
                  <wp:extent cx="5329555" cy="2743200"/>
                  <wp:effectExtent l="19050" t="0" r="4445" b="0"/>
                  <wp:docPr id="2" name="图片 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图片1"/>
                          <pic:cNvPicPr>
                            <a:picLocks noChangeAspect="1" noChangeArrowheads="1"/>
                          </pic:cNvPicPr>
                        </pic:nvPicPr>
                        <pic:blipFill>
                          <a:blip r:embed="rId20"/>
                          <a:srcRect/>
                          <a:stretch>
                            <a:fillRect/>
                          </a:stretch>
                        </pic:blipFill>
                        <pic:spPr>
                          <a:xfrm>
                            <a:off x="0" y="0"/>
                            <a:ext cx="5329555" cy="2743200"/>
                          </a:xfrm>
                          <a:prstGeom prst="rect">
                            <a:avLst/>
                          </a:prstGeom>
                          <a:noFill/>
                          <a:ln w="9525">
                            <a:noFill/>
                            <a:miter lim="800000"/>
                            <a:headEnd/>
                            <a:tailEnd/>
                          </a:ln>
                        </pic:spPr>
                      </pic:pic>
                    </a:graphicData>
                  </a:graphic>
                </wp:inline>
              </w:drawing>
            </w:r>
          </w:p>
          <w:p>
            <w:pPr>
              <w:jc w:val="center"/>
              <w:rPr>
                <w:b/>
                <w:color w:val="auto"/>
                <w:sz w:val="24"/>
                <w:highlight w:val="none"/>
              </w:rPr>
            </w:pPr>
            <w:r>
              <w:rPr>
                <w:rFonts w:hint="eastAsia"/>
                <w:b/>
                <w:color w:val="auto"/>
                <w:sz w:val="24"/>
                <w:highlight w:val="none"/>
              </w:rPr>
              <w:t>图5-2</w:t>
            </w:r>
            <w:r>
              <w:rPr>
                <w:b/>
                <w:color w:val="auto"/>
                <w:sz w:val="24"/>
                <w:highlight w:val="none"/>
              </w:rPr>
              <w:t xml:space="preserve">  SNCR</w:t>
            </w:r>
            <w:r>
              <w:rPr>
                <w:rFonts w:hint="eastAsia"/>
                <w:b/>
                <w:color w:val="auto"/>
                <w:sz w:val="24"/>
                <w:highlight w:val="none"/>
              </w:rPr>
              <w:t>脱硝系统工艺流程示意图</w:t>
            </w:r>
          </w:p>
          <w:p>
            <w:pPr>
              <w:spacing w:line="500" w:lineRule="exact"/>
              <w:ind w:right="420" w:rightChars="200" w:firstLine="480" w:firstLineChars="200"/>
              <w:rPr>
                <w:color w:val="auto"/>
                <w:sz w:val="24"/>
                <w:szCs w:val="28"/>
                <w:highlight w:val="none"/>
              </w:rPr>
            </w:pPr>
            <w:r>
              <w:rPr>
                <w:rFonts w:hint="eastAsia"/>
                <w:color w:val="auto"/>
                <w:sz w:val="24"/>
                <w:szCs w:val="28"/>
                <w:highlight w:val="none"/>
              </w:rPr>
              <w:t>以尿素为还原剂其主要化学反应式为：</w:t>
            </w:r>
          </w:p>
          <w:p>
            <w:pPr>
              <w:spacing w:line="500" w:lineRule="exact"/>
              <w:ind w:right="420" w:rightChars="200" w:firstLine="480" w:firstLineChars="200"/>
              <w:jc w:val="center"/>
              <w:rPr>
                <w:color w:val="auto"/>
                <w:sz w:val="24"/>
                <w:szCs w:val="28"/>
                <w:highlight w:val="none"/>
              </w:rPr>
            </w:pPr>
            <w:r>
              <w:rPr>
                <w:color w:val="auto"/>
                <w:sz w:val="24"/>
                <w:szCs w:val="28"/>
                <w:highlight w:val="none"/>
              </w:rPr>
              <w:t>2CO(NH</w:t>
            </w:r>
            <w:r>
              <w:rPr>
                <w:color w:val="auto"/>
                <w:sz w:val="24"/>
                <w:szCs w:val="28"/>
                <w:highlight w:val="none"/>
                <w:vertAlign w:val="subscript"/>
              </w:rPr>
              <w:t>2</w:t>
            </w:r>
            <w:r>
              <w:rPr>
                <w:color w:val="auto"/>
                <w:sz w:val="24"/>
                <w:szCs w:val="28"/>
                <w:highlight w:val="none"/>
              </w:rPr>
              <w:t>)</w:t>
            </w:r>
            <w:r>
              <w:rPr>
                <w:color w:val="auto"/>
                <w:sz w:val="24"/>
                <w:szCs w:val="28"/>
                <w:highlight w:val="none"/>
                <w:vertAlign w:val="subscript"/>
              </w:rPr>
              <w:t>2</w:t>
            </w:r>
            <w:r>
              <w:rPr>
                <w:color w:val="auto"/>
                <w:sz w:val="24"/>
                <w:szCs w:val="28"/>
                <w:highlight w:val="none"/>
              </w:rPr>
              <w:t>+4NO+O</w:t>
            </w:r>
            <w:r>
              <w:rPr>
                <w:color w:val="auto"/>
                <w:sz w:val="24"/>
                <w:szCs w:val="28"/>
                <w:highlight w:val="none"/>
                <w:vertAlign w:val="subscript"/>
              </w:rPr>
              <w:t>2</w:t>
            </w:r>
            <w:r>
              <w:rPr>
                <w:color w:val="auto"/>
                <w:sz w:val="24"/>
                <w:szCs w:val="28"/>
                <w:highlight w:val="none"/>
              </w:rPr>
              <w:t>—4N</w:t>
            </w:r>
            <w:r>
              <w:rPr>
                <w:color w:val="auto"/>
                <w:sz w:val="24"/>
                <w:szCs w:val="28"/>
                <w:highlight w:val="none"/>
                <w:vertAlign w:val="subscript"/>
              </w:rPr>
              <w:t>2</w:t>
            </w:r>
            <w:r>
              <w:rPr>
                <w:color w:val="auto"/>
                <w:sz w:val="24"/>
                <w:szCs w:val="28"/>
                <w:highlight w:val="none"/>
              </w:rPr>
              <w:t>+2CO</w:t>
            </w:r>
            <w:r>
              <w:rPr>
                <w:color w:val="auto"/>
                <w:sz w:val="24"/>
                <w:szCs w:val="28"/>
                <w:highlight w:val="none"/>
                <w:vertAlign w:val="subscript"/>
              </w:rPr>
              <w:t>2</w:t>
            </w:r>
            <w:r>
              <w:rPr>
                <w:color w:val="auto"/>
                <w:sz w:val="24"/>
                <w:szCs w:val="28"/>
                <w:highlight w:val="none"/>
              </w:rPr>
              <w:t>+4H</w:t>
            </w:r>
            <w:r>
              <w:rPr>
                <w:color w:val="auto"/>
                <w:sz w:val="24"/>
                <w:szCs w:val="28"/>
                <w:highlight w:val="none"/>
                <w:vertAlign w:val="subscript"/>
              </w:rPr>
              <w:t>2</w:t>
            </w:r>
            <w:r>
              <w:rPr>
                <w:color w:val="auto"/>
                <w:sz w:val="24"/>
                <w:szCs w:val="28"/>
                <w:highlight w:val="none"/>
              </w:rPr>
              <w:t>O</w:t>
            </w:r>
          </w:p>
          <w:p>
            <w:pPr>
              <w:snapToGrid w:val="0"/>
              <w:spacing w:line="500" w:lineRule="exact"/>
              <w:ind w:firstLine="489" w:firstLineChars="204"/>
              <w:rPr>
                <w:color w:val="auto"/>
                <w:sz w:val="24"/>
                <w:highlight w:val="none"/>
              </w:rPr>
            </w:pPr>
            <w:r>
              <w:rPr>
                <w:rFonts w:hint="eastAsia"/>
                <w:color w:val="auto"/>
                <w:sz w:val="24"/>
                <w:highlight w:val="none"/>
              </w:rPr>
              <w:t>（2）除尘</w:t>
            </w:r>
          </w:p>
          <w:p>
            <w:pPr>
              <w:snapToGrid w:val="0"/>
              <w:spacing w:line="500" w:lineRule="exact"/>
              <w:ind w:firstLine="489" w:firstLineChars="204"/>
              <w:rPr>
                <w:color w:val="auto"/>
                <w:sz w:val="24"/>
                <w:highlight w:val="none"/>
              </w:rPr>
            </w:pPr>
            <w:r>
              <w:rPr>
                <w:rFonts w:hint="eastAsia"/>
                <w:color w:val="auto"/>
                <w:sz w:val="24"/>
                <w:highlight w:val="none"/>
              </w:rPr>
              <w:t>布袋除尘器主要由上箱、中箱、灰斗、支架、检修平台和楼梯、喷吹装置、空气管路系统等部分组成。</w:t>
            </w:r>
          </w:p>
          <w:p>
            <w:pPr>
              <w:snapToGrid w:val="0"/>
              <w:spacing w:line="500" w:lineRule="exact"/>
              <w:ind w:firstLine="489" w:firstLineChars="204"/>
              <w:rPr>
                <w:color w:val="auto"/>
                <w:sz w:val="24"/>
                <w:highlight w:val="none"/>
              </w:rPr>
            </w:pPr>
            <w:r>
              <w:rPr>
                <w:rFonts w:hint="eastAsia"/>
                <w:color w:val="auto"/>
                <w:sz w:val="24"/>
                <w:highlight w:val="none"/>
              </w:rPr>
              <w:t>在锅炉引风机负压的作用下，燃煤燃烧产生的含尘烟气经烟道进入除尘器，在进风空间的作用下，大部分较粗颗粒粉尘在自身重力的作用下，降至灰斗中，另一部分粉尘则吸附在滤袋外表面上，洁净空气穿过滤袋经烟道、风机系统设备排入大气。随着过滤工况的不断进行，积附在滤袋外表面上的粉尘不断增加，当过滤阻力达到一定的压力值时，储气罐内的压缩空气通过脉冲阀对滤袋进行反吹，使滤袋上的集灰层浮动、疏松、膨胀达到流态化，最后被清离滤袋表面，落入灰斗内。如此反复进行，连续净化气体。除尘器灰斗内的粉尘通过插板阀、卸料器进入输灰系统。</w:t>
            </w:r>
          </w:p>
          <w:p>
            <w:pPr>
              <w:spacing w:line="500" w:lineRule="exact"/>
              <w:ind w:right="420" w:rightChars="200" w:firstLine="480" w:firstLineChars="200"/>
              <w:rPr>
                <w:color w:val="auto"/>
                <w:sz w:val="24"/>
                <w:szCs w:val="28"/>
                <w:highlight w:val="none"/>
              </w:rPr>
            </w:pPr>
            <w:r>
              <w:rPr>
                <w:rFonts w:hint="eastAsia"/>
                <w:color w:val="auto"/>
                <w:sz w:val="24"/>
                <w:szCs w:val="28"/>
                <w:highlight w:val="none"/>
              </w:rPr>
              <w:t>（3）脱硫</w:t>
            </w:r>
          </w:p>
          <w:p>
            <w:pPr>
              <w:snapToGrid w:val="0"/>
              <w:spacing w:line="500" w:lineRule="exact"/>
              <w:ind w:firstLine="489" w:firstLineChars="204"/>
              <w:rPr>
                <w:color w:val="auto"/>
                <w:sz w:val="24"/>
                <w:highlight w:val="none"/>
              </w:rPr>
            </w:pPr>
            <w:r>
              <w:rPr>
                <w:rFonts w:hint="eastAsia"/>
                <w:color w:val="auto"/>
                <w:sz w:val="24"/>
                <w:highlight w:val="none"/>
              </w:rPr>
              <w:t>本工程使用烟气脱硫工艺为氧化镁湿法烟气脱硫工艺，氧化镁脱硫系统主要由脱硫剂制备系统、工艺水系统、脱硫吸收系统、泥渣处理系统组成。</w:t>
            </w:r>
          </w:p>
          <w:p>
            <w:pPr>
              <w:snapToGrid w:val="0"/>
              <w:spacing w:line="500" w:lineRule="exact"/>
              <w:ind w:firstLine="489" w:firstLineChars="204"/>
              <w:rPr>
                <w:color w:val="auto"/>
                <w:sz w:val="24"/>
                <w:highlight w:val="none"/>
              </w:rPr>
            </w:pPr>
            <w:r>
              <w:rPr>
                <w:rFonts w:hint="eastAsia"/>
                <w:color w:val="auto"/>
                <w:sz w:val="24"/>
                <w:highlight w:val="none"/>
              </w:rPr>
              <w:t>烟气经由塔底切向进入脱硫塔，与向下喷淋的氢氧化镁浆液，以逆流方式进行气液接触。塔内设置三层Mg(OH)</w:t>
            </w:r>
            <w:r>
              <w:rPr>
                <w:rFonts w:hint="eastAsia"/>
                <w:color w:val="auto"/>
                <w:sz w:val="24"/>
                <w:highlight w:val="none"/>
                <w:vertAlign w:val="subscript"/>
              </w:rPr>
              <w:t>2</w:t>
            </w:r>
            <w:r>
              <w:rPr>
                <w:rFonts w:hint="eastAsia"/>
                <w:color w:val="auto"/>
                <w:sz w:val="24"/>
                <w:highlight w:val="none"/>
              </w:rPr>
              <w:t>溶液喷淋。在脱硫塔出口处装有两级除雾器，用来除去烟气在洗涤过程中携带的水雾。系统设置两级反冲洗装置，对除雾器进行冲洗，避免其堵塞。</w:t>
            </w:r>
          </w:p>
          <w:p>
            <w:pPr>
              <w:snapToGrid w:val="0"/>
              <w:spacing w:line="500" w:lineRule="exact"/>
              <w:ind w:firstLine="489" w:firstLineChars="204"/>
              <w:rPr>
                <w:color w:val="auto"/>
                <w:sz w:val="24"/>
                <w:highlight w:val="none"/>
              </w:rPr>
            </w:pPr>
            <w:r>
              <w:rPr>
                <w:rFonts w:hint="eastAsia"/>
                <w:color w:val="auto"/>
                <w:sz w:val="24"/>
                <w:highlight w:val="none"/>
              </w:rPr>
              <w:t>氧化镁烟气脱硫基本原理利用MgO的浆液吸收烟气中的SO</w:t>
            </w:r>
            <w:r>
              <w:rPr>
                <w:rFonts w:hint="eastAsia"/>
                <w:color w:val="auto"/>
                <w:sz w:val="24"/>
                <w:highlight w:val="none"/>
                <w:vertAlign w:val="subscript"/>
              </w:rPr>
              <w:t>2</w:t>
            </w:r>
            <w:r>
              <w:rPr>
                <w:rFonts w:hint="eastAsia"/>
                <w:color w:val="auto"/>
                <w:sz w:val="24"/>
                <w:highlight w:val="none"/>
              </w:rPr>
              <w:t>，生产含水亚硫酸镁和含水硫酸镁，化学原理如下：</w:t>
            </w:r>
          </w:p>
          <w:p>
            <w:pPr>
              <w:snapToGrid w:val="0"/>
              <w:spacing w:line="500" w:lineRule="exact"/>
              <w:ind w:firstLine="489" w:firstLineChars="204"/>
              <w:rPr>
                <w:color w:val="auto"/>
                <w:sz w:val="24"/>
                <w:highlight w:val="none"/>
              </w:rPr>
            </w:pPr>
            <w:r>
              <w:rPr>
                <w:rFonts w:hint="eastAsia"/>
                <w:color w:val="auto"/>
                <w:sz w:val="24"/>
                <w:highlight w:val="none"/>
              </w:rPr>
              <w:t>MgO＋H</w:t>
            </w:r>
            <w:r>
              <w:rPr>
                <w:rFonts w:hint="eastAsia"/>
                <w:color w:val="auto"/>
                <w:sz w:val="24"/>
                <w:highlight w:val="none"/>
                <w:vertAlign w:val="subscript"/>
              </w:rPr>
              <w:t>2</w:t>
            </w:r>
            <w:r>
              <w:rPr>
                <w:rFonts w:hint="eastAsia"/>
                <w:color w:val="auto"/>
                <w:sz w:val="24"/>
                <w:highlight w:val="none"/>
              </w:rPr>
              <w:t>O=Mg(OH)</w:t>
            </w:r>
            <w:r>
              <w:rPr>
                <w:rFonts w:hint="eastAsia"/>
                <w:color w:val="auto"/>
                <w:sz w:val="24"/>
                <w:highlight w:val="none"/>
                <w:vertAlign w:val="subscript"/>
              </w:rPr>
              <w:t>2</w:t>
            </w:r>
          </w:p>
          <w:p>
            <w:pPr>
              <w:snapToGrid w:val="0"/>
              <w:spacing w:line="500" w:lineRule="exact"/>
              <w:ind w:firstLine="489" w:firstLineChars="204"/>
              <w:rPr>
                <w:color w:val="auto"/>
                <w:sz w:val="24"/>
                <w:highlight w:val="none"/>
              </w:rPr>
            </w:pPr>
            <w:r>
              <w:rPr>
                <w:rFonts w:hint="eastAsia"/>
                <w:color w:val="auto"/>
                <w:sz w:val="24"/>
                <w:highlight w:val="none"/>
              </w:rPr>
              <w:t>Mg(OH)</w:t>
            </w:r>
            <w:r>
              <w:rPr>
                <w:rFonts w:hint="eastAsia"/>
                <w:color w:val="auto"/>
                <w:sz w:val="24"/>
                <w:highlight w:val="none"/>
                <w:vertAlign w:val="subscript"/>
              </w:rPr>
              <w:t>2</w:t>
            </w:r>
            <w:r>
              <w:rPr>
                <w:rFonts w:hint="eastAsia"/>
                <w:color w:val="auto"/>
                <w:sz w:val="24"/>
                <w:highlight w:val="none"/>
              </w:rPr>
              <w:t>＋SO</w:t>
            </w:r>
            <w:r>
              <w:rPr>
                <w:rFonts w:hint="eastAsia"/>
                <w:color w:val="auto"/>
                <w:sz w:val="24"/>
                <w:highlight w:val="none"/>
                <w:vertAlign w:val="subscript"/>
              </w:rPr>
              <w:t>2</w:t>
            </w:r>
            <w:r>
              <w:rPr>
                <w:rFonts w:hint="eastAsia"/>
                <w:color w:val="auto"/>
                <w:sz w:val="24"/>
                <w:highlight w:val="none"/>
              </w:rPr>
              <w:t>=MgSO</w:t>
            </w:r>
            <w:r>
              <w:rPr>
                <w:rFonts w:hint="eastAsia"/>
                <w:color w:val="auto"/>
                <w:sz w:val="24"/>
                <w:highlight w:val="none"/>
                <w:vertAlign w:val="subscript"/>
              </w:rPr>
              <w:t>3</w:t>
            </w:r>
            <w:r>
              <w:rPr>
                <w:rFonts w:hint="eastAsia"/>
                <w:color w:val="auto"/>
                <w:sz w:val="24"/>
                <w:highlight w:val="none"/>
              </w:rPr>
              <w:t>＋H</w:t>
            </w:r>
            <w:r>
              <w:rPr>
                <w:rFonts w:hint="eastAsia"/>
                <w:color w:val="auto"/>
                <w:sz w:val="24"/>
                <w:highlight w:val="none"/>
                <w:vertAlign w:val="subscript"/>
              </w:rPr>
              <w:t>2</w:t>
            </w:r>
            <w:r>
              <w:rPr>
                <w:rFonts w:hint="eastAsia"/>
                <w:color w:val="auto"/>
                <w:sz w:val="24"/>
                <w:highlight w:val="none"/>
              </w:rPr>
              <w:t>O</w:t>
            </w:r>
          </w:p>
          <w:p>
            <w:pPr>
              <w:snapToGrid w:val="0"/>
              <w:spacing w:line="500" w:lineRule="exact"/>
              <w:ind w:firstLine="489" w:firstLineChars="204"/>
              <w:rPr>
                <w:rFonts w:hint="eastAsia"/>
                <w:color w:val="auto"/>
                <w:sz w:val="24"/>
                <w:highlight w:val="none"/>
                <w:vertAlign w:val="subscript"/>
              </w:rPr>
            </w:pPr>
            <w:r>
              <w:rPr>
                <w:rFonts w:hint="eastAsia"/>
                <w:color w:val="auto"/>
                <w:sz w:val="24"/>
                <w:highlight w:val="none"/>
              </w:rPr>
              <w:t>MgSO</w:t>
            </w:r>
            <w:r>
              <w:rPr>
                <w:rFonts w:hint="eastAsia"/>
                <w:color w:val="auto"/>
                <w:sz w:val="24"/>
                <w:highlight w:val="none"/>
                <w:vertAlign w:val="subscript"/>
              </w:rPr>
              <w:t>3</w:t>
            </w:r>
            <w:r>
              <w:rPr>
                <w:rFonts w:hint="eastAsia"/>
                <w:color w:val="auto"/>
                <w:sz w:val="24"/>
                <w:highlight w:val="none"/>
              </w:rPr>
              <w:t>＋1/2O</w:t>
            </w:r>
            <w:r>
              <w:rPr>
                <w:rFonts w:hint="eastAsia"/>
                <w:color w:val="auto"/>
                <w:sz w:val="24"/>
                <w:highlight w:val="none"/>
                <w:vertAlign w:val="subscript"/>
              </w:rPr>
              <w:t>2</w:t>
            </w:r>
            <w:r>
              <w:rPr>
                <w:rFonts w:hint="eastAsia"/>
                <w:color w:val="auto"/>
                <w:sz w:val="24"/>
                <w:highlight w:val="none"/>
              </w:rPr>
              <w:t>=MgSO</w:t>
            </w:r>
            <w:r>
              <w:rPr>
                <w:rFonts w:hint="eastAsia"/>
                <w:color w:val="auto"/>
                <w:sz w:val="24"/>
                <w:highlight w:val="none"/>
                <w:vertAlign w:val="subscript"/>
              </w:rPr>
              <w:t>4</w:t>
            </w:r>
          </w:p>
          <w:p>
            <w:pPr>
              <w:pStyle w:val="35"/>
              <w:jc w:val="center"/>
              <w:rPr>
                <w:rFonts w:hint="eastAsia" w:eastAsia="宋体"/>
                <w:color w:val="auto"/>
                <w:highlight w:val="none"/>
                <w:lang w:val="en-US" w:eastAsia="zh-CN"/>
              </w:rPr>
            </w:pPr>
            <w:r>
              <w:rPr>
                <w:rFonts w:hint="eastAsia"/>
                <w:color w:val="auto"/>
                <w:highlight w:val="none"/>
                <w:lang w:val="en-US" w:eastAsia="zh-CN"/>
              </w:rPr>
              <w:t>,</w:t>
            </w:r>
            <w:r>
              <w:rPr>
                <w:color w:val="auto"/>
                <w:highlight w:val="none"/>
              </w:rPr>
              <w:drawing>
                <wp:inline distT="0" distB="0" distL="114300" distR="114300">
                  <wp:extent cx="5688330" cy="3132455"/>
                  <wp:effectExtent l="0" t="0" r="7620" b="10795"/>
                  <wp:docPr id="5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
                          <pic:cNvPicPr>
                            <a:picLocks noChangeAspect="1"/>
                          </pic:cNvPicPr>
                        </pic:nvPicPr>
                        <pic:blipFill>
                          <a:blip r:embed="rId21"/>
                          <a:stretch>
                            <a:fillRect/>
                          </a:stretch>
                        </pic:blipFill>
                        <pic:spPr>
                          <a:xfrm>
                            <a:off x="0" y="0"/>
                            <a:ext cx="5688330" cy="3132455"/>
                          </a:xfrm>
                          <a:prstGeom prst="rect">
                            <a:avLst/>
                          </a:prstGeom>
                          <a:noFill/>
                          <a:ln>
                            <a:noFill/>
                          </a:ln>
                        </pic:spPr>
                      </pic:pic>
                    </a:graphicData>
                  </a:graphic>
                </wp:inline>
              </w:drawing>
            </w:r>
          </w:p>
          <w:p>
            <w:pPr>
              <w:pStyle w:val="46"/>
              <w:numPr>
                <w:ilvl w:val="0"/>
                <w:numId w:val="0"/>
              </w:numPr>
              <w:ind w:leftChars="20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图5-</w:t>
            </w:r>
            <w:r>
              <w:rPr>
                <w:rFonts w:hint="eastAsia" w:ascii="Times New Roman" w:hAnsi="Times New Roman" w:cs="Times New Roman"/>
                <w:b/>
                <w:bCs/>
                <w:color w:val="auto"/>
                <w:highlight w:val="none"/>
                <w:lang w:val="en-US" w:eastAsia="zh-CN"/>
              </w:rPr>
              <w:t>3</w:t>
            </w:r>
            <w:r>
              <w:rPr>
                <w:rFonts w:hint="default" w:ascii="Times New Roman" w:hAnsi="Times New Roman" w:cs="Times New Roman"/>
                <w:b/>
                <w:bCs/>
                <w:color w:val="auto"/>
                <w:highlight w:val="none"/>
              </w:rPr>
              <w:t xml:space="preserve"> </w:t>
            </w:r>
            <w:r>
              <w:rPr>
                <w:rFonts w:hint="default" w:ascii="Times New Roman" w:hAnsi="Times New Roman" w:cs="Times New Roman"/>
                <w:b/>
                <w:bCs/>
                <w:color w:val="auto"/>
                <w:highlight w:val="none"/>
                <w:lang w:eastAsia="zh-CN"/>
              </w:rPr>
              <w:t>氧化镁脱</w:t>
            </w:r>
            <w:r>
              <w:rPr>
                <w:rFonts w:hint="eastAsia" w:ascii="Times New Roman" w:hAnsi="Times New Roman" w:cs="Times New Roman"/>
                <w:b/>
                <w:bCs/>
                <w:color w:val="auto"/>
                <w:highlight w:val="none"/>
                <w:lang w:eastAsia="zh-CN"/>
              </w:rPr>
              <w:t>硫</w:t>
            </w:r>
            <w:r>
              <w:rPr>
                <w:rFonts w:hint="default" w:ascii="Times New Roman" w:hAnsi="Times New Roman" w:cs="Times New Roman"/>
                <w:b/>
                <w:bCs/>
                <w:color w:val="auto"/>
                <w:highlight w:val="none"/>
              </w:rPr>
              <w:t>系统工艺流程图</w:t>
            </w:r>
          </w:p>
          <w:p>
            <w:pPr>
              <w:spacing w:line="500" w:lineRule="exact"/>
              <w:rPr>
                <w:b/>
                <w:bCs/>
                <w:color w:val="auto"/>
                <w:sz w:val="28"/>
                <w:szCs w:val="28"/>
                <w:highlight w:val="none"/>
              </w:rPr>
            </w:pPr>
            <w:r>
              <w:rPr>
                <w:b/>
                <w:bCs/>
                <w:color w:val="auto"/>
                <w:sz w:val="28"/>
                <w:szCs w:val="28"/>
                <w:highlight w:val="none"/>
              </w:rPr>
              <w:t>主要污染因素分析</w:t>
            </w:r>
          </w:p>
          <w:p>
            <w:pPr>
              <w:adjustRightInd w:val="0"/>
              <w:snapToGrid w:val="0"/>
              <w:spacing w:line="500" w:lineRule="exact"/>
              <w:ind w:firstLine="482" w:firstLineChars="200"/>
              <w:rPr>
                <w:b/>
                <w:color w:val="auto"/>
                <w:sz w:val="24"/>
                <w:highlight w:val="none"/>
              </w:rPr>
            </w:pPr>
            <w:r>
              <w:rPr>
                <w:b/>
                <w:color w:val="auto"/>
                <w:sz w:val="24"/>
                <w:highlight w:val="none"/>
              </w:rPr>
              <w:t>1、环境空气污染源分析：</w:t>
            </w:r>
          </w:p>
          <w:p>
            <w:pPr>
              <w:spacing w:line="360" w:lineRule="auto"/>
              <w:ind w:firstLine="480" w:firstLineChars="200"/>
              <w:rPr>
                <w:rFonts w:hint="default" w:ascii="Times New Roman" w:hAnsi="Times New Roman" w:eastAsia="宋体" w:cs="Times New Roman"/>
                <w:bCs w:val="0"/>
                <w:color w:val="auto"/>
                <w:sz w:val="24"/>
                <w:highlight w:val="none"/>
                <w:lang w:bidi="zh-CN"/>
              </w:rPr>
            </w:pPr>
            <w:bookmarkStart w:id="16" w:name="_Toc10476551"/>
            <w:r>
              <w:rPr>
                <w:rFonts w:hint="eastAsia" w:ascii="Times New Roman" w:hAnsi="Times New Roman" w:eastAsia="宋体" w:cs="Times New Roman"/>
                <w:bCs w:val="0"/>
                <w:color w:val="auto"/>
                <w:sz w:val="24"/>
                <w:highlight w:val="none"/>
                <w:lang w:val="en-US" w:bidi="zh-CN"/>
              </w:rPr>
              <w:t>A.</w:t>
            </w:r>
            <w:r>
              <w:rPr>
                <w:rFonts w:hint="default" w:ascii="Times New Roman" w:hAnsi="Times New Roman" w:eastAsia="宋体" w:cs="Times New Roman"/>
                <w:bCs w:val="0"/>
                <w:color w:val="auto"/>
                <w:sz w:val="24"/>
                <w:highlight w:val="none"/>
                <w:lang w:bidi="zh-CN"/>
              </w:rPr>
              <w:t xml:space="preserve">正常工况 </w:t>
            </w:r>
          </w:p>
          <w:p>
            <w:pPr>
              <w:spacing w:line="360" w:lineRule="auto"/>
              <w:ind w:firstLine="480" w:firstLineChars="200"/>
              <w:rPr>
                <w:rFonts w:hint="default" w:ascii="Times New Roman" w:hAnsi="Times New Roman" w:eastAsia="宋体" w:cs="Times New Roman"/>
                <w:bCs w:val="0"/>
                <w:color w:val="FF0000"/>
                <w:sz w:val="24"/>
                <w:lang w:bidi="zh-CN"/>
              </w:rPr>
            </w:pPr>
            <w:r>
              <w:rPr>
                <w:rFonts w:hint="default" w:ascii="Times New Roman" w:hAnsi="Times New Roman" w:eastAsia="宋体" w:cs="Times New Roman"/>
                <w:bCs w:val="0"/>
                <w:color w:val="FF0000"/>
                <w:sz w:val="24"/>
                <w:lang w:bidi="zh-CN"/>
              </w:rPr>
              <w:t>①SNCR系统氨逃逸</w:t>
            </w:r>
          </w:p>
          <w:p>
            <w:pPr>
              <w:spacing w:line="360" w:lineRule="auto"/>
              <w:ind w:firstLine="480" w:firstLineChars="200"/>
              <w:rPr>
                <w:rFonts w:hint="default" w:ascii="Times New Roman" w:hAnsi="Times New Roman" w:eastAsia="宋体" w:cs="Times New Roman"/>
                <w:bCs w:val="0"/>
                <w:color w:val="FF0000"/>
                <w:sz w:val="24"/>
                <w:lang w:bidi="zh-CN"/>
              </w:rPr>
            </w:pPr>
            <w:r>
              <w:rPr>
                <w:rFonts w:hint="default" w:ascii="Times New Roman" w:hAnsi="Times New Roman" w:eastAsia="宋体" w:cs="Times New Roman"/>
                <w:bCs w:val="0"/>
                <w:color w:val="FF0000"/>
                <w:sz w:val="24"/>
                <w:lang w:bidi="zh-CN"/>
              </w:rPr>
              <w:t>本项目SNCR系统采用尿素脱硝，与NOx反应过程中将产生无组织排放的NH</w:t>
            </w:r>
            <w:r>
              <w:rPr>
                <w:rFonts w:hint="default" w:ascii="Times New Roman" w:hAnsi="Times New Roman" w:eastAsia="宋体" w:cs="Times New Roman"/>
                <w:bCs w:val="0"/>
                <w:color w:val="FF0000"/>
                <w:sz w:val="24"/>
                <w:vertAlign w:val="subscript"/>
                <w:lang w:bidi="zh-CN"/>
              </w:rPr>
              <w:t>3</w:t>
            </w:r>
            <w:r>
              <w:rPr>
                <w:rFonts w:hint="default" w:ascii="Times New Roman" w:hAnsi="Times New Roman" w:eastAsia="宋体" w:cs="Times New Roman"/>
                <w:bCs w:val="0"/>
                <w:color w:val="FF0000"/>
                <w:sz w:val="24"/>
                <w:lang w:bidi="zh-CN"/>
              </w:rPr>
              <w:t>，产生逃逸现象。经查阅资料，SNCR系统氨逃逸量低于3ppm（约2.28mg/m</w:t>
            </w:r>
            <w:r>
              <w:rPr>
                <w:rFonts w:hint="default" w:ascii="Times New Roman" w:hAnsi="Times New Roman" w:eastAsia="宋体" w:cs="Times New Roman"/>
                <w:bCs w:val="0"/>
                <w:color w:val="FF0000"/>
                <w:sz w:val="24"/>
                <w:vertAlign w:val="superscript"/>
                <w:lang w:bidi="zh-CN"/>
              </w:rPr>
              <w:t>3</w:t>
            </w:r>
            <w:r>
              <w:rPr>
                <w:rFonts w:hint="default" w:ascii="Times New Roman" w:hAnsi="Times New Roman" w:eastAsia="宋体" w:cs="Times New Roman"/>
                <w:bCs w:val="0"/>
                <w:color w:val="FF0000"/>
                <w:sz w:val="24"/>
                <w:lang w:bidi="zh-CN"/>
              </w:rPr>
              <w:t>），由烟囱高空排放。</w:t>
            </w:r>
          </w:p>
          <w:p>
            <w:pPr>
              <w:spacing w:line="360" w:lineRule="auto"/>
              <w:ind w:firstLine="480" w:firstLineChars="200"/>
              <w:rPr>
                <w:rFonts w:hint="default" w:ascii="Times New Roman" w:hAnsi="Times New Roman" w:eastAsia="宋体" w:cs="Times New Roman"/>
                <w:bCs w:val="0"/>
                <w:color w:val="auto"/>
                <w:sz w:val="24"/>
                <w:highlight w:val="none"/>
                <w:lang w:bidi="zh-CN"/>
              </w:rPr>
            </w:pPr>
            <w:r>
              <w:rPr>
                <w:rFonts w:hint="default" w:ascii="Times New Roman" w:hAnsi="Times New Roman" w:eastAsia="宋体" w:cs="Times New Roman"/>
                <w:bCs w:val="0"/>
                <w:color w:val="auto"/>
                <w:sz w:val="24"/>
                <w:highlight w:val="none"/>
                <w:lang w:bidi="zh-CN"/>
              </w:rPr>
              <w:t>②锅炉烟气</w:t>
            </w:r>
          </w:p>
          <w:p>
            <w:pPr>
              <w:keepNext w:val="0"/>
              <w:keepLines w:val="0"/>
              <w:pageBreakBefore w:val="0"/>
              <w:widowControl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cs="Times New Roman"/>
                <w:bCs/>
                <w:color w:val="auto"/>
                <w:sz w:val="24"/>
                <w:szCs w:val="28"/>
                <w:highlight w:val="none"/>
              </w:rPr>
            </w:pPr>
            <w:r>
              <w:rPr>
                <w:rFonts w:hint="eastAsia" w:cs="Times New Roman"/>
                <w:bCs/>
                <w:color w:val="auto"/>
                <w:sz w:val="24"/>
                <w:szCs w:val="24"/>
                <w:highlight w:val="none"/>
                <w:lang w:eastAsia="zh-CN"/>
              </w:rPr>
              <w:t>企业近三年实际平均燃煤量</w:t>
            </w:r>
            <w:r>
              <w:rPr>
                <w:rFonts w:hint="eastAsia" w:ascii="Times New Roman" w:hAnsi="Times New Roman" w:cs="Times New Roman"/>
                <w:bCs/>
                <w:color w:val="auto"/>
                <w:sz w:val="24"/>
                <w:szCs w:val="24"/>
                <w:highlight w:val="none"/>
                <w:lang w:eastAsia="zh-CN"/>
              </w:rPr>
              <w:t>为</w:t>
            </w:r>
            <w:r>
              <w:rPr>
                <w:rFonts w:hint="eastAsia" w:cs="Times New Roman"/>
                <w:bCs/>
                <w:color w:val="auto"/>
                <w:sz w:val="24"/>
                <w:szCs w:val="24"/>
                <w:highlight w:val="none"/>
                <w:lang w:val="en-US" w:eastAsia="zh-CN"/>
              </w:rPr>
              <w:t>15000</w:t>
            </w:r>
            <w:r>
              <w:rPr>
                <w:rFonts w:hint="eastAsia" w:ascii="Times New Roman" w:hAnsi="Times New Roman" w:cs="Times New Roman"/>
                <w:bCs/>
                <w:color w:val="auto"/>
                <w:sz w:val="24"/>
                <w:szCs w:val="24"/>
                <w:highlight w:val="none"/>
              </w:rPr>
              <w:t>t/a。</w:t>
            </w:r>
            <w:r>
              <w:rPr>
                <w:rFonts w:hint="default" w:ascii="Times New Roman" w:hAnsi="Times New Roman" w:cs="Times New Roman"/>
                <w:bCs/>
                <w:color w:val="auto"/>
                <w:sz w:val="24"/>
                <w:szCs w:val="28"/>
                <w:highlight w:val="none"/>
              </w:rPr>
              <w:t>根据《</w:t>
            </w:r>
            <w:r>
              <w:rPr>
                <w:rFonts w:hint="default" w:ascii="Times New Roman" w:hAnsi="Times New Roman" w:cs="Times New Roman"/>
                <w:bCs/>
                <w:color w:val="auto"/>
                <w:sz w:val="24"/>
                <w:szCs w:val="28"/>
                <w:highlight w:val="none"/>
                <w:lang w:eastAsia="zh-CN"/>
              </w:rPr>
              <w:t>污染源源强核算技术指南</w:t>
            </w:r>
            <w:r>
              <w:rPr>
                <w:rFonts w:hint="default" w:ascii="Times New Roman" w:hAnsi="Times New Roman" w:cs="Times New Roman"/>
                <w:bCs/>
                <w:color w:val="auto"/>
                <w:sz w:val="24"/>
                <w:szCs w:val="28"/>
                <w:highlight w:val="none"/>
                <w:lang w:val="en-US" w:eastAsia="zh-CN"/>
              </w:rPr>
              <w:t xml:space="preserve"> 锅炉</w:t>
            </w:r>
            <w:r>
              <w:rPr>
                <w:rFonts w:hint="default" w:ascii="Times New Roman" w:hAnsi="Times New Roman" w:cs="Times New Roman"/>
                <w:bCs/>
                <w:color w:val="auto"/>
                <w:sz w:val="24"/>
                <w:szCs w:val="28"/>
                <w:highlight w:val="none"/>
              </w:rPr>
              <w:t>》（</w:t>
            </w:r>
            <w:r>
              <w:rPr>
                <w:rFonts w:hint="default" w:ascii="Times New Roman" w:hAnsi="Times New Roman" w:cs="Times New Roman"/>
                <w:bCs/>
                <w:color w:val="auto"/>
                <w:sz w:val="24"/>
                <w:szCs w:val="28"/>
                <w:highlight w:val="none"/>
                <w:lang w:val="en-US" w:eastAsia="zh-CN"/>
              </w:rPr>
              <w:t>HJ 991-2018</w:t>
            </w:r>
            <w:r>
              <w:rPr>
                <w:rFonts w:hint="default" w:ascii="Times New Roman" w:hAnsi="Times New Roman" w:cs="Times New Roman"/>
                <w:bCs/>
                <w:color w:val="auto"/>
                <w:sz w:val="24"/>
                <w:szCs w:val="28"/>
                <w:highlight w:val="none"/>
              </w:rPr>
              <w:t>）</w:t>
            </w:r>
            <w:r>
              <w:rPr>
                <w:rFonts w:hint="default" w:ascii="Times New Roman" w:hAnsi="Times New Roman" w:cs="Times New Roman"/>
                <w:bCs/>
                <w:color w:val="auto"/>
                <w:sz w:val="24"/>
                <w:szCs w:val="28"/>
                <w:highlight w:val="none"/>
                <w:lang w:eastAsia="zh-CN"/>
              </w:rPr>
              <w:t>废气污染源源强核算方法</w:t>
            </w:r>
            <w:r>
              <w:rPr>
                <w:rFonts w:hint="default" w:ascii="Times New Roman" w:hAnsi="Times New Roman" w:cs="Times New Roman"/>
                <w:bCs/>
                <w:color w:val="auto"/>
                <w:sz w:val="24"/>
                <w:szCs w:val="28"/>
                <w:highlight w:val="none"/>
              </w:rPr>
              <w:t>-</w:t>
            </w:r>
            <w:r>
              <w:rPr>
                <w:rFonts w:hint="default" w:ascii="Times New Roman" w:hAnsi="Times New Roman" w:cs="Times New Roman"/>
                <w:bCs/>
                <w:color w:val="auto"/>
                <w:sz w:val="24"/>
                <w:szCs w:val="28"/>
                <w:highlight w:val="none"/>
                <w:lang w:eastAsia="zh-CN"/>
              </w:rPr>
              <w:t>物料衡算法</w:t>
            </w:r>
            <w:r>
              <w:rPr>
                <w:rFonts w:hint="default" w:ascii="Times New Roman" w:hAnsi="Times New Roman" w:cs="Times New Roman"/>
                <w:bCs/>
                <w:color w:val="auto"/>
                <w:sz w:val="24"/>
                <w:szCs w:val="28"/>
                <w:highlight w:val="none"/>
              </w:rPr>
              <w:t>。锅炉</w:t>
            </w:r>
            <w:r>
              <w:rPr>
                <w:bCs/>
                <w:color w:val="auto"/>
                <w:sz w:val="24"/>
                <w:szCs w:val="24"/>
                <w:highlight w:val="none"/>
              </w:rPr>
              <w:t>烟气</w:t>
            </w:r>
            <w:r>
              <w:rPr>
                <w:rFonts w:hint="eastAsia"/>
                <w:bCs/>
                <w:color w:val="auto"/>
                <w:sz w:val="24"/>
                <w:szCs w:val="24"/>
                <w:highlight w:val="none"/>
                <w:lang w:eastAsia="zh-CN"/>
              </w:rPr>
              <w:t>通过一套</w:t>
            </w:r>
            <w:r>
              <w:rPr>
                <w:rFonts w:hint="eastAsia"/>
                <w:bCs/>
                <w:color w:val="auto"/>
                <w:sz w:val="24"/>
                <w:szCs w:val="24"/>
                <w:highlight w:val="none"/>
                <w:lang w:val="en-US" w:eastAsia="zh-CN"/>
              </w:rPr>
              <w:t>脱硫脱硝设施</w:t>
            </w:r>
            <w:r>
              <w:rPr>
                <w:bCs/>
                <w:color w:val="auto"/>
                <w:sz w:val="24"/>
                <w:szCs w:val="24"/>
                <w:highlight w:val="none"/>
              </w:rPr>
              <w:t>处理后经</w:t>
            </w:r>
            <w:r>
              <w:rPr>
                <w:rFonts w:hint="eastAsia"/>
                <w:bCs/>
                <w:color w:val="auto"/>
                <w:sz w:val="24"/>
                <w:szCs w:val="24"/>
                <w:highlight w:val="none"/>
                <w:lang w:eastAsia="zh-CN"/>
              </w:rPr>
              <w:t>过干式除尘</w:t>
            </w:r>
            <w:r>
              <w:rPr>
                <w:rFonts w:hint="eastAsia"/>
                <w:bCs/>
                <w:color w:val="auto"/>
                <w:sz w:val="24"/>
                <w:szCs w:val="24"/>
                <w:highlight w:val="none"/>
                <w:lang w:val="en-US" w:eastAsia="zh-CN"/>
              </w:rPr>
              <w:t>+</w:t>
            </w:r>
            <w:r>
              <w:rPr>
                <w:bCs/>
                <w:color w:val="auto"/>
                <w:sz w:val="24"/>
                <w:szCs w:val="24"/>
                <w:highlight w:val="none"/>
              </w:rPr>
              <w:t>布袋除尘器</w:t>
            </w:r>
            <w:r>
              <w:rPr>
                <w:rFonts w:hint="eastAsia"/>
                <w:bCs/>
                <w:color w:val="auto"/>
                <w:sz w:val="24"/>
                <w:szCs w:val="24"/>
                <w:highlight w:val="none"/>
                <w:lang w:val="en-US" w:eastAsia="zh-CN"/>
              </w:rPr>
              <w:t>处理后</w:t>
            </w:r>
            <w:r>
              <w:rPr>
                <w:bCs/>
                <w:color w:val="auto"/>
                <w:sz w:val="24"/>
                <w:szCs w:val="24"/>
                <w:highlight w:val="none"/>
              </w:rPr>
              <w:t>由</w:t>
            </w:r>
            <w:r>
              <w:rPr>
                <w:rFonts w:hint="eastAsia"/>
                <w:bCs/>
                <w:color w:val="auto"/>
                <w:sz w:val="24"/>
                <w:szCs w:val="24"/>
                <w:highlight w:val="none"/>
                <w:lang w:eastAsia="zh-CN"/>
              </w:rPr>
              <w:t>一根</w:t>
            </w:r>
            <w:r>
              <w:rPr>
                <w:rFonts w:hint="eastAsia"/>
                <w:bCs/>
                <w:color w:val="auto"/>
                <w:sz w:val="24"/>
                <w:szCs w:val="24"/>
                <w:highlight w:val="none"/>
                <w:lang w:val="en-US" w:eastAsia="zh-CN"/>
              </w:rPr>
              <w:t>6</w:t>
            </w:r>
            <w:r>
              <w:rPr>
                <w:rFonts w:hint="eastAsia"/>
                <w:bCs/>
                <w:color w:val="auto"/>
                <w:sz w:val="24"/>
                <w:szCs w:val="24"/>
                <w:highlight w:val="none"/>
              </w:rPr>
              <w:t>0</w:t>
            </w:r>
            <w:r>
              <w:rPr>
                <w:bCs/>
                <w:color w:val="auto"/>
                <w:sz w:val="24"/>
                <w:szCs w:val="24"/>
                <w:highlight w:val="none"/>
              </w:rPr>
              <w:t>m高</w:t>
            </w:r>
            <w:r>
              <w:rPr>
                <w:rFonts w:hint="eastAsia"/>
                <w:bCs/>
                <w:color w:val="auto"/>
                <w:sz w:val="24"/>
                <w:szCs w:val="24"/>
                <w:highlight w:val="none"/>
              </w:rPr>
              <w:t>烟囱</w:t>
            </w:r>
            <w:r>
              <w:rPr>
                <w:bCs/>
                <w:color w:val="auto"/>
                <w:sz w:val="24"/>
                <w:szCs w:val="24"/>
                <w:highlight w:val="none"/>
              </w:rPr>
              <w:t>排放。</w:t>
            </w:r>
            <w:r>
              <w:rPr>
                <w:rFonts w:hint="eastAsia"/>
                <w:bCs/>
                <w:color w:val="auto"/>
                <w:sz w:val="24"/>
                <w:szCs w:val="24"/>
                <w:highlight w:val="none"/>
              </w:rPr>
              <w:t>除尘效率达到9</w:t>
            </w:r>
            <w:r>
              <w:rPr>
                <w:rFonts w:hint="eastAsia"/>
                <w:bCs/>
                <w:color w:val="auto"/>
                <w:sz w:val="24"/>
                <w:szCs w:val="24"/>
                <w:highlight w:val="none"/>
                <w:lang w:val="en-US" w:eastAsia="zh-CN"/>
              </w:rPr>
              <w:t>9.9</w:t>
            </w:r>
            <w:r>
              <w:rPr>
                <w:rFonts w:hint="eastAsia"/>
                <w:bCs/>
                <w:color w:val="auto"/>
                <w:sz w:val="24"/>
                <w:szCs w:val="24"/>
                <w:highlight w:val="none"/>
              </w:rPr>
              <w:t>%，</w:t>
            </w:r>
            <w:r>
              <w:rPr>
                <w:rFonts w:hint="default" w:ascii="Times New Roman" w:hAnsi="Times New Roman" w:cs="Times New Roman"/>
                <w:bCs/>
                <w:color w:val="auto"/>
                <w:sz w:val="24"/>
                <w:szCs w:val="28"/>
                <w:highlight w:val="none"/>
              </w:rPr>
              <w:t>烟气预测排放情况见表5-</w:t>
            </w:r>
            <w:r>
              <w:rPr>
                <w:rFonts w:hint="default" w:ascii="Times New Roman" w:hAnsi="Times New Roman" w:cs="Times New Roman"/>
                <w:bCs/>
                <w:color w:val="auto"/>
                <w:sz w:val="24"/>
                <w:szCs w:val="28"/>
                <w:highlight w:val="none"/>
                <w:lang w:val="en-US" w:eastAsia="zh-CN"/>
              </w:rPr>
              <w:t>1</w:t>
            </w:r>
            <w:r>
              <w:rPr>
                <w:rFonts w:hint="default" w:ascii="Times New Roman" w:hAnsi="Times New Roman" w:cs="Times New Roman"/>
                <w:bCs/>
                <w:color w:val="auto"/>
                <w:sz w:val="24"/>
                <w:szCs w:val="28"/>
                <w:highlight w:val="none"/>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val="0"/>
                <w:color w:val="auto"/>
                <w:sz w:val="24"/>
                <w:szCs w:val="28"/>
                <w:highlight w:val="none"/>
                <w:lang w:eastAsia="zh-CN"/>
              </w:rPr>
            </w:pPr>
            <w:r>
              <w:rPr>
                <w:rFonts w:hint="default" w:ascii="Times New Roman" w:hAnsi="Times New Roman" w:cs="Times New Roman"/>
                <w:bCs w:val="0"/>
                <w:color w:val="auto"/>
                <w:sz w:val="24"/>
                <w:szCs w:val="28"/>
                <w:highlight w:val="none"/>
                <w:lang w:eastAsia="zh-CN"/>
              </w:rPr>
              <w:t>（</w:t>
            </w:r>
            <w:r>
              <w:rPr>
                <w:rFonts w:hint="default" w:ascii="Times New Roman" w:hAnsi="Times New Roman" w:cs="Times New Roman"/>
                <w:bCs w:val="0"/>
                <w:color w:val="auto"/>
                <w:sz w:val="24"/>
                <w:szCs w:val="28"/>
                <w:highlight w:val="none"/>
                <w:lang w:val="en-US" w:eastAsia="zh-CN"/>
              </w:rPr>
              <w:t>1</w:t>
            </w:r>
            <w:r>
              <w:rPr>
                <w:rFonts w:hint="default" w:ascii="Times New Roman" w:hAnsi="Times New Roman" w:cs="Times New Roman"/>
                <w:bCs w:val="0"/>
                <w:color w:val="auto"/>
                <w:sz w:val="24"/>
                <w:szCs w:val="28"/>
                <w:highlight w:val="none"/>
                <w:lang w:eastAsia="zh-CN"/>
              </w:rPr>
              <w:t>）烟气排放量</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eastAsia="宋体" w:cs="Times New Roman"/>
                <w:bCs/>
                <w:color w:val="auto"/>
                <w:sz w:val="24"/>
                <w:szCs w:val="28"/>
                <w:highlight w:val="none"/>
                <w:lang w:eastAsia="zh-CN"/>
              </w:rPr>
            </w:pPr>
            <w:bookmarkStart w:id="17" w:name="_Toc2903"/>
            <w:bookmarkStart w:id="18" w:name="_Toc17723"/>
            <w:bookmarkStart w:id="19" w:name="_Toc996"/>
            <w:bookmarkStart w:id="20" w:name="_Toc19779"/>
            <w:bookmarkStart w:id="21" w:name="_Toc3072"/>
            <w:bookmarkStart w:id="22" w:name="_Toc12499"/>
            <w:bookmarkStart w:id="23" w:name="_Toc27853"/>
            <w:bookmarkStart w:id="24" w:name="_Toc194"/>
            <w:bookmarkStart w:id="25" w:name="_Toc5623"/>
            <w:r>
              <w:rPr>
                <w:rFonts w:hint="default" w:ascii="Times New Roman" w:hAnsi="Times New Roman" w:cs="Times New Roman"/>
                <w:b w:val="0"/>
                <w:bCs/>
                <w:color w:val="auto"/>
                <w:sz w:val="24"/>
                <w:szCs w:val="24"/>
                <w:highlight w:val="none"/>
                <w:lang w:eastAsia="zh-CN"/>
              </w:rPr>
              <w:t>根据《排污许可证申请与核发技术规范</w:t>
            </w:r>
            <w:r>
              <w:rPr>
                <w:rFonts w:hint="default" w:ascii="Times New Roman" w:hAnsi="Times New Roman" w:cs="Times New Roman"/>
                <w:b w:val="0"/>
                <w:bCs/>
                <w:color w:val="auto"/>
                <w:sz w:val="24"/>
                <w:szCs w:val="24"/>
                <w:highlight w:val="none"/>
                <w:lang w:val="en-US" w:eastAsia="zh-CN"/>
              </w:rPr>
              <w:t xml:space="preserve">  锅炉</w:t>
            </w:r>
            <w:r>
              <w:rPr>
                <w:rFonts w:hint="default" w:ascii="Times New Roman" w:hAnsi="Times New Roman" w:cs="Times New Roman"/>
                <w:b w:val="0"/>
                <w:bCs/>
                <w:color w:val="auto"/>
                <w:sz w:val="24"/>
                <w:szCs w:val="24"/>
                <w:highlight w:val="none"/>
                <w:lang w:eastAsia="zh-CN"/>
              </w:rPr>
              <w:t>》</w:t>
            </w:r>
            <w:r>
              <w:rPr>
                <w:rFonts w:hint="default" w:ascii="Times New Roman" w:hAnsi="Times New Roman" w:cs="Times New Roman"/>
                <w:bCs/>
                <w:color w:val="auto"/>
                <w:sz w:val="24"/>
                <w:szCs w:val="28"/>
                <w:highlight w:val="none"/>
              </w:rPr>
              <w:t>（</w:t>
            </w:r>
            <w:r>
              <w:rPr>
                <w:rFonts w:hint="default" w:ascii="Times New Roman" w:hAnsi="Times New Roman" w:cs="Times New Roman"/>
                <w:bCs/>
                <w:color w:val="auto"/>
                <w:sz w:val="24"/>
                <w:szCs w:val="28"/>
                <w:highlight w:val="none"/>
                <w:lang w:val="en-US" w:eastAsia="zh-CN"/>
              </w:rPr>
              <w:t>HJ 953-2018</w:t>
            </w:r>
            <w:r>
              <w:rPr>
                <w:rFonts w:hint="default" w:ascii="Times New Roman" w:hAnsi="Times New Roman" w:cs="Times New Roman"/>
                <w:bCs/>
                <w:color w:val="auto"/>
                <w:sz w:val="24"/>
                <w:szCs w:val="28"/>
                <w:highlight w:val="none"/>
              </w:rPr>
              <w:t>）</w:t>
            </w:r>
            <w:r>
              <w:rPr>
                <w:rFonts w:hint="default" w:ascii="Times New Roman" w:hAnsi="Times New Roman" w:cs="Times New Roman"/>
                <w:bCs/>
                <w:color w:val="auto"/>
                <w:sz w:val="24"/>
                <w:szCs w:val="28"/>
                <w:highlight w:val="none"/>
                <w:lang w:eastAsia="zh-CN"/>
              </w:rPr>
              <w:t>中经验公式估算法。</w:t>
            </w:r>
            <w:bookmarkEnd w:id="17"/>
            <w:bookmarkEnd w:id="18"/>
            <w:bookmarkEnd w:id="19"/>
            <w:bookmarkEnd w:id="20"/>
            <w:bookmarkEnd w:id="21"/>
            <w:bookmarkEnd w:id="22"/>
            <w:bookmarkEnd w:id="23"/>
            <w:bookmarkEnd w:id="24"/>
            <w:bookmarkEnd w:id="25"/>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outlineLvl w:val="0"/>
              <w:rPr>
                <w:rFonts w:hint="default" w:ascii="Times New Roman" w:hAnsi="Times New Roman" w:cs="Times New Roman"/>
                <w:b w:val="0"/>
                <w:bCs/>
                <w:color w:val="auto"/>
                <w:sz w:val="24"/>
                <w:szCs w:val="24"/>
                <w:highlight w:val="none"/>
                <w:lang w:val="en-US" w:eastAsia="zh-CN"/>
              </w:rPr>
            </w:pPr>
            <w:bookmarkStart w:id="26" w:name="_Toc2762"/>
            <w:bookmarkStart w:id="27" w:name="_Toc30597"/>
            <w:bookmarkStart w:id="28" w:name="_Toc31351"/>
            <w:bookmarkStart w:id="29" w:name="_Toc27495"/>
            <w:bookmarkStart w:id="30" w:name="_Toc2190"/>
            <w:bookmarkStart w:id="31" w:name="_Toc10599"/>
            <w:bookmarkStart w:id="32" w:name="_Toc14367"/>
            <w:bookmarkStart w:id="33" w:name="_Toc1353"/>
            <w:bookmarkStart w:id="34" w:name="_Toc10773"/>
            <w:r>
              <w:rPr>
                <w:rFonts w:hint="default" w:ascii="Times New Roman" w:hAnsi="Times New Roman" w:cs="Times New Roman"/>
                <w:b w:val="0"/>
                <w:bCs/>
                <w:color w:val="auto"/>
                <w:sz w:val="24"/>
                <w:szCs w:val="24"/>
                <w:highlight w:val="none"/>
                <w:lang w:eastAsia="zh-CN"/>
              </w:rPr>
              <w:t>基准</w:t>
            </w:r>
            <w:r>
              <w:rPr>
                <w:rFonts w:hint="default" w:ascii="Times New Roman" w:hAnsi="Times New Roman" w:cs="Times New Roman"/>
                <w:b w:val="0"/>
                <w:bCs/>
                <w:color w:val="auto"/>
                <w:sz w:val="24"/>
                <w:szCs w:val="24"/>
                <w:highlight w:val="none"/>
              </w:rPr>
              <w:t>烟气量=0.</w:t>
            </w:r>
            <w:r>
              <w:rPr>
                <w:rFonts w:hint="eastAsia" w:cs="Times New Roman"/>
                <w:b w:val="0"/>
                <w:bCs/>
                <w:color w:val="auto"/>
                <w:sz w:val="24"/>
                <w:szCs w:val="24"/>
                <w:highlight w:val="none"/>
                <w:lang w:val="en-US" w:eastAsia="zh-CN"/>
              </w:rPr>
              <w:t>411</w:t>
            </w:r>
            <w:r>
              <w:rPr>
                <w:rFonts w:hint="default" w:ascii="Times New Roman" w:hAnsi="Times New Roman" w:cs="Times New Roman"/>
                <w:b w:val="0"/>
                <w:bCs/>
                <w:color w:val="auto"/>
                <w:sz w:val="24"/>
                <w:szCs w:val="24"/>
                <w:highlight w:val="none"/>
              </w:rPr>
              <w:t>Q</w:t>
            </w:r>
            <w:r>
              <w:rPr>
                <w:rFonts w:hint="default" w:ascii="Times New Roman" w:hAnsi="Times New Roman" w:cs="Times New Roman"/>
                <w:b w:val="0"/>
                <w:bCs/>
                <w:color w:val="auto"/>
                <w:sz w:val="24"/>
                <w:szCs w:val="24"/>
                <w:highlight w:val="none"/>
                <w:vertAlign w:val="subscript"/>
              </w:rPr>
              <w:t>net，ar</w:t>
            </w:r>
            <w:r>
              <w:rPr>
                <w:rFonts w:hint="default" w:ascii="Times New Roman" w:hAnsi="Times New Roman" w:cs="Times New Roman"/>
                <w:b w:val="0"/>
                <w:bCs/>
                <w:color w:val="auto"/>
                <w:sz w:val="24"/>
                <w:szCs w:val="24"/>
                <w:highlight w:val="none"/>
              </w:rPr>
              <w:t>+0.</w:t>
            </w:r>
            <w:r>
              <w:rPr>
                <w:rFonts w:hint="eastAsia" w:cs="Times New Roman"/>
                <w:b w:val="0"/>
                <w:bCs/>
                <w:color w:val="auto"/>
                <w:sz w:val="24"/>
                <w:szCs w:val="24"/>
                <w:highlight w:val="none"/>
                <w:lang w:val="en-US" w:eastAsia="zh-CN"/>
              </w:rPr>
              <w:t>918</w:t>
            </w:r>
            <w:r>
              <w:rPr>
                <w:rFonts w:hint="default" w:ascii="Times New Roman" w:hAnsi="Times New Roman" w:cs="Times New Roman"/>
                <w:b w:val="0"/>
                <w:bCs/>
                <w:color w:val="auto"/>
                <w:sz w:val="24"/>
                <w:szCs w:val="24"/>
                <w:highlight w:val="none"/>
              </w:rPr>
              <w:t>=0.</w:t>
            </w:r>
            <w:r>
              <w:rPr>
                <w:rFonts w:hint="eastAsia" w:cs="Times New Roman"/>
                <w:b w:val="0"/>
                <w:bCs/>
                <w:color w:val="auto"/>
                <w:sz w:val="24"/>
                <w:szCs w:val="24"/>
                <w:highlight w:val="none"/>
                <w:lang w:val="en-US" w:eastAsia="zh-CN"/>
              </w:rPr>
              <w:t>411</w:t>
            </w:r>
            <w:r>
              <w:rPr>
                <w:rFonts w:hint="default" w:ascii="Times New Roman" w:hAnsi="Times New Roman" w:cs="Times New Roman"/>
                <w:b w:val="0"/>
                <w:bCs/>
                <w:color w:val="auto"/>
                <w:sz w:val="24"/>
                <w:szCs w:val="24"/>
                <w:highlight w:val="none"/>
              </w:rPr>
              <w:t>×</w:t>
            </w:r>
            <w:r>
              <w:rPr>
                <w:rFonts w:hint="eastAsia" w:cs="Times New Roman"/>
                <w:b w:val="0"/>
                <w:bCs/>
                <w:color w:val="auto"/>
                <w:sz w:val="24"/>
                <w:szCs w:val="24"/>
                <w:highlight w:val="none"/>
                <w:lang w:val="en-US" w:eastAsia="zh-CN"/>
              </w:rPr>
              <w:t>17.71</w:t>
            </w:r>
            <w:r>
              <w:rPr>
                <w:rFonts w:hint="default" w:ascii="Times New Roman" w:hAnsi="Times New Roman" w:cs="Times New Roman"/>
                <w:b w:val="0"/>
                <w:bCs/>
                <w:color w:val="auto"/>
                <w:sz w:val="24"/>
                <w:szCs w:val="24"/>
                <w:highlight w:val="none"/>
              </w:rPr>
              <w:t>+0.</w:t>
            </w:r>
            <w:r>
              <w:rPr>
                <w:rFonts w:hint="eastAsia" w:cs="Times New Roman"/>
                <w:b w:val="0"/>
                <w:bCs/>
                <w:color w:val="auto"/>
                <w:sz w:val="24"/>
                <w:szCs w:val="24"/>
                <w:highlight w:val="none"/>
                <w:lang w:val="en-US" w:eastAsia="zh-CN"/>
              </w:rPr>
              <w:t>918=8.197</w:t>
            </w:r>
            <w:r>
              <w:rPr>
                <w:rFonts w:hint="default" w:ascii="Times New Roman" w:hAnsi="Times New Roman" w:cs="Times New Roman"/>
                <w:b w:val="0"/>
                <w:bCs/>
                <w:color w:val="auto"/>
                <w:sz w:val="24"/>
                <w:szCs w:val="24"/>
                <w:highlight w:val="none"/>
                <w:lang w:val="en-US" w:eastAsia="zh-CN"/>
              </w:rPr>
              <w:t>Nm</w:t>
            </w:r>
            <w:r>
              <w:rPr>
                <w:rFonts w:hint="default" w:ascii="Times New Roman" w:hAnsi="Times New Roman" w:cs="Times New Roman"/>
                <w:b w:val="0"/>
                <w:bCs/>
                <w:color w:val="auto"/>
                <w:sz w:val="24"/>
                <w:szCs w:val="24"/>
                <w:highlight w:val="none"/>
                <w:vertAlign w:val="superscript"/>
                <w:lang w:val="en-US" w:eastAsia="zh-CN"/>
              </w:rPr>
              <w:t>3</w:t>
            </w:r>
            <w:r>
              <w:rPr>
                <w:rFonts w:hint="default" w:ascii="Times New Roman" w:hAnsi="Times New Roman" w:cs="Times New Roman"/>
                <w:b w:val="0"/>
                <w:bCs/>
                <w:color w:val="auto"/>
                <w:sz w:val="24"/>
                <w:szCs w:val="24"/>
                <w:highlight w:val="none"/>
              </w:rPr>
              <w:t>/</w:t>
            </w:r>
            <w:r>
              <w:rPr>
                <w:rFonts w:hint="default" w:ascii="Times New Roman" w:hAnsi="Times New Roman" w:cs="Times New Roman"/>
                <w:b w:val="0"/>
                <w:bCs/>
                <w:color w:val="auto"/>
                <w:sz w:val="24"/>
                <w:szCs w:val="24"/>
                <w:highlight w:val="none"/>
                <w:lang w:val="en-US" w:eastAsia="zh-CN"/>
              </w:rPr>
              <w:t>Kg</w:t>
            </w:r>
            <w:bookmarkEnd w:id="26"/>
            <w:bookmarkEnd w:id="27"/>
            <w:bookmarkEnd w:id="28"/>
            <w:bookmarkEnd w:id="29"/>
            <w:bookmarkEnd w:id="30"/>
            <w:bookmarkEnd w:id="31"/>
            <w:bookmarkEnd w:id="32"/>
            <w:bookmarkEnd w:id="33"/>
            <w:bookmarkEnd w:id="34"/>
          </w:p>
          <w:p>
            <w:pPr>
              <w:keepNext w:val="0"/>
              <w:keepLines w:val="0"/>
              <w:pageBreakBefore w:val="0"/>
              <w:widowControl w:val="0"/>
              <w:kinsoku/>
              <w:wordWrap/>
              <w:overflowPunct/>
              <w:topLinePunct w:val="0"/>
              <w:autoSpaceDE/>
              <w:autoSpaceDN/>
              <w:bidi w:val="0"/>
              <w:adjustRightInd/>
              <w:snapToGrid/>
              <w:spacing w:after="0" w:line="360" w:lineRule="auto"/>
              <w:ind w:firstLine="480" w:firstLineChars="200"/>
              <w:jc w:val="both"/>
              <w:textAlignment w:val="auto"/>
              <w:rPr>
                <w:rFonts w:hint="default" w:ascii="Times New Roman" w:hAnsi="Times New Roman" w:eastAsia="宋体" w:cs="Times New Roman"/>
                <w:b w:val="0"/>
                <w:bCs/>
                <w:color w:val="auto"/>
                <w:kern w:val="2"/>
                <w:sz w:val="24"/>
                <w:szCs w:val="24"/>
                <w:highlight w:val="none"/>
                <w:lang w:val="en-US" w:eastAsia="zh-CN" w:bidi="ar-SA"/>
              </w:rPr>
            </w:pPr>
            <w:r>
              <w:rPr>
                <w:rFonts w:hint="default" w:ascii="Times New Roman" w:hAnsi="Times New Roman" w:eastAsia="宋体" w:cs="Times New Roman"/>
                <w:b w:val="0"/>
                <w:bCs/>
                <w:color w:val="auto"/>
                <w:kern w:val="2"/>
                <w:sz w:val="24"/>
                <w:szCs w:val="24"/>
                <w:highlight w:val="none"/>
                <w:lang w:val="en-US" w:eastAsia="zh-CN" w:bidi="ar-SA"/>
              </w:rPr>
              <w:t>烟气量=</w:t>
            </w:r>
            <w:r>
              <w:rPr>
                <w:rFonts w:hint="eastAsia" w:cs="Times New Roman"/>
                <w:bCs/>
                <w:color w:val="auto"/>
                <w:sz w:val="24"/>
                <w:szCs w:val="24"/>
                <w:highlight w:val="none"/>
                <w:lang w:val="en-US" w:eastAsia="zh-CN"/>
              </w:rPr>
              <w:t>15000</w:t>
            </w:r>
            <w:r>
              <w:rPr>
                <w:rFonts w:hint="default" w:ascii="Times New Roman" w:hAnsi="Times New Roman" w:eastAsia="宋体" w:cs="Times New Roman"/>
                <w:b w:val="0"/>
                <w:bCs/>
                <w:color w:val="auto"/>
                <w:kern w:val="2"/>
                <w:sz w:val="24"/>
                <w:szCs w:val="24"/>
                <w:highlight w:val="none"/>
                <w:lang w:val="en-US" w:eastAsia="zh-CN" w:bidi="ar-SA"/>
              </w:rPr>
              <w:t>t×</w:t>
            </w:r>
            <w:r>
              <w:rPr>
                <w:rFonts w:hint="eastAsia" w:ascii="Times New Roman" w:hAnsi="Times New Roman" w:eastAsia="宋体" w:cs="Times New Roman"/>
                <w:b w:val="0"/>
                <w:bCs/>
                <w:color w:val="auto"/>
                <w:kern w:val="2"/>
                <w:sz w:val="24"/>
                <w:szCs w:val="24"/>
                <w:highlight w:val="none"/>
                <w:lang w:val="en-US" w:eastAsia="zh-CN" w:bidi="ar-SA"/>
              </w:rPr>
              <w:t>8.19</w:t>
            </w:r>
            <w:r>
              <w:rPr>
                <w:rFonts w:hint="eastAsia" w:cs="Times New Roman"/>
                <w:b w:val="0"/>
                <w:bCs/>
                <w:color w:val="auto"/>
                <w:kern w:val="2"/>
                <w:sz w:val="24"/>
                <w:szCs w:val="24"/>
                <w:highlight w:val="none"/>
                <w:lang w:val="en-US" w:eastAsia="zh-CN" w:bidi="ar-SA"/>
              </w:rPr>
              <w:t>7</w:t>
            </w:r>
            <w:r>
              <w:rPr>
                <w:rFonts w:hint="default" w:ascii="Times New Roman" w:hAnsi="Times New Roman" w:eastAsia="宋体" w:cs="Times New Roman"/>
                <w:b w:val="0"/>
                <w:bCs/>
                <w:color w:val="auto"/>
                <w:kern w:val="2"/>
                <w:sz w:val="24"/>
                <w:szCs w:val="24"/>
                <w:highlight w:val="none"/>
                <w:lang w:val="en-US" w:eastAsia="zh-CN" w:bidi="ar-SA"/>
              </w:rPr>
              <w:t>Nm</w:t>
            </w:r>
            <w:r>
              <w:rPr>
                <w:rFonts w:hint="default" w:ascii="Times New Roman" w:hAnsi="Times New Roman" w:eastAsia="宋体" w:cs="Times New Roman"/>
                <w:b w:val="0"/>
                <w:bCs/>
                <w:color w:val="auto"/>
                <w:kern w:val="2"/>
                <w:sz w:val="24"/>
                <w:szCs w:val="24"/>
                <w:highlight w:val="none"/>
                <w:vertAlign w:val="superscript"/>
                <w:lang w:val="en-US" w:eastAsia="zh-CN" w:bidi="ar-SA"/>
              </w:rPr>
              <w:t>3</w:t>
            </w:r>
            <w:r>
              <w:rPr>
                <w:rFonts w:hint="default" w:ascii="Times New Roman" w:hAnsi="Times New Roman" w:eastAsia="宋体" w:cs="Times New Roman"/>
                <w:b w:val="0"/>
                <w:bCs/>
                <w:color w:val="auto"/>
                <w:kern w:val="2"/>
                <w:sz w:val="24"/>
                <w:szCs w:val="24"/>
                <w:highlight w:val="none"/>
                <w:lang w:val="en-US" w:eastAsia="zh-CN" w:bidi="ar-SA"/>
              </w:rPr>
              <w:t>/Kg=</w:t>
            </w:r>
            <w:r>
              <w:rPr>
                <w:rFonts w:hint="eastAsia" w:ascii="Times New Roman" w:hAnsi="Times New Roman" w:eastAsia="宋体" w:cs="Times New Roman"/>
                <w:b w:val="0"/>
                <w:bCs/>
                <w:color w:val="auto"/>
                <w:kern w:val="2"/>
                <w:sz w:val="24"/>
                <w:szCs w:val="24"/>
                <w:highlight w:val="none"/>
                <w:lang w:val="en-US" w:eastAsia="zh-CN" w:bidi="ar-SA"/>
              </w:rPr>
              <w:t>1.</w:t>
            </w:r>
            <w:r>
              <w:rPr>
                <w:rFonts w:hint="eastAsia" w:cs="Times New Roman"/>
                <w:b w:val="0"/>
                <w:bCs/>
                <w:color w:val="auto"/>
                <w:kern w:val="2"/>
                <w:sz w:val="24"/>
                <w:szCs w:val="24"/>
                <w:highlight w:val="none"/>
                <w:lang w:val="en-US" w:eastAsia="zh-CN" w:bidi="ar-SA"/>
              </w:rPr>
              <w:t>230</w:t>
            </w:r>
            <w:r>
              <w:rPr>
                <w:rFonts w:hint="default" w:ascii="Times New Roman" w:hAnsi="Times New Roman" w:eastAsia="宋体" w:cs="Times New Roman"/>
                <w:b w:val="0"/>
                <w:bCs/>
                <w:color w:val="auto"/>
                <w:kern w:val="2"/>
                <w:sz w:val="24"/>
                <w:szCs w:val="24"/>
                <w:highlight w:val="none"/>
                <w:lang w:val="en-US" w:eastAsia="zh-CN" w:bidi="ar-SA"/>
              </w:rPr>
              <w:t>×10</w:t>
            </w:r>
            <w:r>
              <w:rPr>
                <w:rFonts w:hint="eastAsia" w:ascii="Times New Roman" w:hAnsi="Times New Roman" w:eastAsia="宋体" w:cs="Times New Roman"/>
                <w:b w:val="0"/>
                <w:bCs/>
                <w:color w:val="auto"/>
                <w:kern w:val="2"/>
                <w:sz w:val="24"/>
                <w:szCs w:val="24"/>
                <w:highlight w:val="none"/>
                <w:vertAlign w:val="superscript"/>
                <w:lang w:val="en-US" w:eastAsia="zh-CN" w:bidi="ar-SA"/>
              </w:rPr>
              <w:t>8</w:t>
            </w:r>
            <w:r>
              <w:rPr>
                <w:rFonts w:hint="default" w:ascii="Times New Roman" w:hAnsi="Times New Roman" w:eastAsia="宋体" w:cs="Times New Roman"/>
                <w:b w:val="0"/>
                <w:bCs/>
                <w:color w:val="auto"/>
                <w:kern w:val="2"/>
                <w:sz w:val="24"/>
                <w:szCs w:val="24"/>
                <w:highlight w:val="none"/>
                <w:lang w:val="en-US" w:eastAsia="zh-CN" w:bidi="ar-SA"/>
              </w:rPr>
              <w:t>m</w:t>
            </w:r>
            <w:r>
              <w:rPr>
                <w:rFonts w:hint="default" w:ascii="Times New Roman" w:hAnsi="Times New Roman" w:eastAsia="宋体" w:cs="Times New Roman"/>
                <w:b w:val="0"/>
                <w:bCs/>
                <w:color w:val="auto"/>
                <w:kern w:val="2"/>
                <w:sz w:val="24"/>
                <w:szCs w:val="24"/>
                <w:highlight w:val="none"/>
                <w:vertAlign w:val="superscript"/>
                <w:lang w:val="en-US" w:eastAsia="zh-CN" w:bidi="ar-SA"/>
              </w:rPr>
              <w:t>3</w:t>
            </w:r>
            <w:r>
              <w:rPr>
                <w:rFonts w:hint="default" w:ascii="Times New Roman" w:hAnsi="Times New Roman" w:eastAsia="宋体" w:cs="Times New Roman"/>
                <w:b w:val="0"/>
                <w:bCs/>
                <w:color w:val="auto"/>
                <w:kern w:val="2"/>
                <w:sz w:val="24"/>
                <w:szCs w:val="24"/>
                <w:highlight w:val="none"/>
                <w:lang w:val="en-US" w:eastAsia="zh-CN" w:bidi="ar-SA"/>
              </w:rPr>
              <w:t>/a</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val="0"/>
                <w:color w:val="auto"/>
                <w:sz w:val="24"/>
                <w:szCs w:val="28"/>
                <w:highlight w:val="none"/>
                <w:lang w:eastAsia="zh-CN"/>
              </w:rPr>
            </w:pPr>
            <w:r>
              <w:rPr>
                <w:rFonts w:hint="default" w:ascii="Times New Roman" w:hAnsi="Times New Roman" w:cs="Times New Roman"/>
                <w:bCs w:val="0"/>
                <w:color w:val="auto"/>
                <w:sz w:val="24"/>
                <w:szCs w:val="28"/>
                <w:highlight w:val="none"/>
                <w:lang w:eastAsia="zh-CN"/>
              </w:rPr>
              <w:t>（</w:t>
            </w:r>
            <w:r>
              <w:rPr>
                <w:rFonts w:hint="default" w:ascii="Times New Roman" w:hAnsi="Times New Roman" w:cs="Times New Roman"/>
                <w:bCs w:val="0"/>
                <w:color w:val="auto"/>
                <w:sz w:val="24"/>
                <w:szCs w:val="28"/>
                <w:highlight w:val="none"/>
                <w:lang w:val="en-US" w:eastAsia="zh-CN"/>
              </w:rPr>
              <w:t>2</w:t>
            </w:r>
            <w:r>
              <w:rPr>
                <w:rFonts w:hint="default" w:ascii="Times New Roman" w:hAnsi="Times New Roman" w:cs="Times New Roman"/>
                <w:bCs w:val="0"/>
                <w:color w:val="auto"/>
                <w:sz w:val="24"/>
                <w:szCs w:val="28"/>
                <w:highlight w:val="none"/>
                <w:lang w:eastAsia="zh-CN"/>
              </w:rPr>
              <w:t>）颗粒物（烟尘）排放量</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drawing>
                <wp:inline distT="0" distB="0" distL="114300" distR="114300">
                  <wp:extent cx="2214245" cy="784860"/>
                  <wp:effectExtent l="0" t="0" r="14605" b="15240"/>
                  <wp:docPr id="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pic:cNvPicPr>
                            <a:picLocks noChangeAspect="1"/>
                          </pic:cNvPicPr>
                        </pic:nvPicPr>
                        <pic:blipFill>
                          <a:blip r:embed="rId22"/>
                          <a:stretch>
                            <a:fillRect/>
                          </a:stretch>
                        </pic:blipFill>
                        <pic:spPr>
                          <a:xfrm>
                            <a:off x="0" y="0"/>
                            <a:ext cx="2214245" cy="784860"/>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0" w:line="360" w:lineRule="auto"/>
              <w:ind w:firstLine="1200" w:firstLineChars="500"/>
              <w:jc w:val="both"/>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式中：E</w:t>
            </w:r>
            <w:r>
              <w:rPr>
                <w:rFonts w:hint="default" w:ascii="Times New Roman" w:hAnsi="Times New Roman" w:eastAsia="宋体" w:cs="Times New Roman"/>
                <w:b w:val="0"/>
                <w:bCs w:val="0"/>
                <w:color w:val="auto"/>
                <w:kern w:val="2"/>
                <w:sz w:val="24"/>
                <w:szCs w:val="24"/>
                <w:highlight w:val="none"/>
                <w:vertAlign w:val="subscript"/>
                <w:lang w:val="en-US" w:eastAsia="zh-CN" w:bidi="ar-SA"/>
              </w:rPr>
              <w:t>A</w:t>
            </w:r>
            <w:r>
              <w:rPr>
                <w:rFonts w:hint="default" w:ascii="Times New Roman" w:hAnsi="Times New Roman" w:eastAsia="宋体" w:cs="Times New Roman"/>
                <w:b w:val="0"/>
                <w:bCs w:val="0"/>
                <w:color w:val="auto"/>
                <w:kern w:val="2"/>
                <w:sz w:val="24"/>
                <w:szCs w:val="24"/>
                <w:highlight w:val="none"/>
                <w:lang w:val="en-US" w:eastAsia="zh-CN" w:bidi="ar-SA"/>
              </w:rPr>
              <w:t>----核算时段内颗粒物（烟尘）排放量，t；</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1920" w:firstLineChars="800"/>
              <w:jc w:val="both"/>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R----核算时段内锅炉燃料耗量，</w:t>
            </w:r>
            <w:r>
              <w:rPr>
                <w:rFonts w:hint="eastAsia" w:cs="Times New Roman"/>
                <w:bCs/>
                <w:color w:val="auto"/>
                <w:sz w:val="24"/>
                <w:szCs w:val="24"/>
                <w:highlight w:val="none"/>
                <w:lang w:val="en-US" w:eastAsia="zh-CN"/>
              </w:rPr>
              <w:t>15000</w:t>
            </w:r>
            <w:r>
              <w:rPr>
                <w:rFonts w:hint="default" w:ascii="Times New Roman" w:hAnsi="Times New Roman" w:eastAsia="宋体" w:cs="Times New Roman"/>
                <w:b w:val="0"/>
                <w:bCs w:val="0"/>
                <w:color w:val="auto"/>
                <w:kern w:val="2"/>
                <w:sz w:val="24"/>
                <w:szCs w:val="24"/>
                <w:highlight w:val="none"/>
                <w:lang w:val="en-US" w:eastAsia="zh-CN" w:bidi="ar-SA"/>
              </w:rPr>
              <w:t>t；</w:t>
            </w:r>
          </w:p>
          <w:p>
            <w:pPr>
              <w:keepNext w:val="0"/>
              <w:keepLines w:val="0"/>
              <w:pageBreakBefore w:val="0"/>
              <w:widowControl w:val="0"/>
              <w:kinsoku/>
              <w:wordWrap/>
              <w:overflowPunct/>
              <w:topLinePunct w:val="0"/>
              <w:autoSpaceDE/>
              <w:autoSpaceDN/>
              <w:bidi w:val="0"/>
              <w:adjustRightInd/>
              <w:snapToGrid/>
              <w:spacing w:after="0" w:line="360" w:lineRule="auto"/>
              <w:ind w:firstLine="1920" w:firstLineChars="8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A</w:t>
            </w:r>
            <w:r>
              <w:rPr>
                <w:rFonts w:hint="default" w:ascii="Times New Roman" w:hAnsi="Times New Roman" w:eastAsia="宋体" w:cs="Times New Roman"/>
                <w:b w:val="0"/>
                <w:bCs w:val="0"/>
                <w:color w:val="auto"/>
                <w:kern w:val="2"/>
                <w:sz w:val="24"/>
                <w:szCs w:val="24"/>
                <w:highlight w:val="none"/>
                <w:vertAlign w:val="subscript"/>
                <w:lang w:val="en-US" w:eastAsia="zh-CN" w:bidi="ar-SA"/>
              </w:rPr>
              <w:t>ar</w:t>
            </w:r>
            <w:r>
              <w:rPr>
                <w:rFonts w:hint="default" w:ascii="Times New Roman" w:hAnsi="Times New Roman" w:eastAsia="宋体" w:cs="Times New Roman"/>
                <w:b w:val="0"/>
                <w:bCs w:val="0"/>
                <w:color w:val="auto"/>
                <w:kern w:val="2"/>
                <w:sz w:val="24"/>
                <w:szCs w:val="24"/>
                <w:highlight w:val="none"/>
                <w:lang w:val="en-US" w:eastAsia="zh-CN" w:bidi="ar-SA"/>
              </w:rPr>
              <w:t>----收到基灰分的质量分数，%；取</w:t>
            </w:r>
            <w:r>
              <w:rPr>
                <w:rFonts w:hint="eastAsia" w:cs="Times New Roman"/>
                <w:b w:val="0"/>
                <w:bCs w:val="0"/>
                <w:color w:val="auto"/>
                <w:kern w:val="2"/>
                <w:sz w:val="24"/>
                <w:szCs w:val="24"/>
                <w:highlight w:val="none"/>
                <w:lang w:val="en-US" w:eastAsia="zh-CN" w:bidi="ar-SA"/>
              </w:rPr>
              <w:t>40.8</w:t>
            </w:r>
            <w:r>
              <w:rPr>
                <w:rFonts w:hint="default" w:ascii="Times New Roman" w:hAnsi="Times New Roman" w:eastAsia="宋体" w:cs="Times New Roman"/>
                <w:b w:val="0"/>
                <w:bCs w:val="0"/>
                <w:color w:val="auto"/>
                <w:kern w:val="2"/>
                <w:sz w:val="24"/>
                <w:szCs w:val="24"/>
                <w:highlight w:val="none"/>
                <w:lang w:val="en-US" w:eastAsia="zh-CN" w:bidi="ar-SA"/>
              </w:rPr>
              <w:t>%。（根据</w:t>
            </w:r>
            <w:r>
              <w:rPr>
                <w:rFonts w:hint="eastAsia" w:ascii="Times New Roman" w:hAnsi="Times New Roman" w:eastAsia="宋体" w:cs="Times New Roman"/>
                <w:b w:val="0"/>
                <w:bCs w:val="0"/>
                <w:color w:val="auto"/>
                <w:kern w:val="2"/>
                <w:sz w:val="24"/>
                <w:szCs w:val="24"/>
                <w:highlight w:val="none"/>
                <w:lang w:val="en-US" w:eastAsia="zh-CN" w:bidi="ar-SA"/>
              </w:rPr>
              <w:t>煤质</w:t>
            </w:r>
            <w:r>
              <w:rPr>
                <w:rFonts w:hint="default" w:ascii="Times New Roman" w:hAnsi="Times New Roman" w:eastAsia="宋体" w:cs="Times New Roman"/>
                <w:b w:val="0"/>
                <w:bCs w:val="0"/>
                <w:color w:val="auto"/>
                <w:kern w:val="2"/>
                <w:sz w:val="24"/>
                <w:szCs w:val="24"/>
                <w:highlight w:val="none"/>
                <w:lang w:val="en-US" w:eastAsia="zh-CN" w:bidi="ar-SA"/>
              </w:rPr>
              <w:t>成分分析报告</w:t>
            </w:r>
            <w:r>
              <w:rPr>
                <w:rFonts w:hint="eastAsia" w:ascii="Times New Roman" w:hAnsi="Times New Roman" w:eastAsia="宋体" w:cs="Times New Roman"/>
                <w:b w:val="0"/>
                <w:bCs w:val="0"/>
                <w:color w:val="auto"/>
                <w:kern w:val="2"/>
                <w:sz w:val="24"/>
                <w:szCs w:val="24"/>
                <w:highlight w:val="none"/>
                <w:lang w:val="en-US" w:eastAsia="zh-CN" w:bidi="ar-SA"/>
              </w:rPr>
              <w:t>换算得出</w:t>
            </w:r>
            <w:r>
              <w:rPr>
                <w:rFonts w:hint="default" w:ascii="Times New Roman" w:hAnsi="Times New Roman" w:eastAsia="宋体" w:cs="Times New Roman"/>
                <w:b w:val="0"/>
                <w:bCs w:val="0"/>
                <w:color w:val="auto"/>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after="0" w:line="360" w:lineRule="auto"/>
              <w:ind w:firstLine="1920" w:firstLineChars="8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d</w:t>
            </w:r>
            <w:r>
              <w:rPr>
                <w:rFonts w:hint="default" w:ascii="Times New Roman" w:hAnsi="Times New Roman" w:eastAsia="宋体" w:cs="Times New Roman"/>
                <w:b w:val="0"/>
                <w:bCs w:val="0"/>
                <w:color w:val="auto"/>
                <w:kern w:val="2"/>
                <w:sz w:val="24"/>
                <w:szCs w:val="24"/>
                <w:highlight w:val="none"/>
                <w:vertAlign w:val="subscript"/>
                <w:lang w:val="en-US" w:eastAsia="zh-CN" w:bidi="ar-SA"/>
              </w:rPr>
              <w:t>fh</w:t>
            </w:r>
            <w:r>
              <w:rPr>
                <w:rFonts w:hint="default" w:ascii="Times New Roman" w:hAnsi="Times New Roman" w:eastAsia="宋体" w:cs="Times New Roman"/>
                <w:b w:val="0"/>
                <w:bCs w:val="0"/>
                <w:color w:val="auto"/>
                <w:kern w:val="2"/>
                <w:sz w:val="24"/>
                <w:szCs w:val="24"/>
                <w:highlight w:val="none"/>
                <w:lang w:val="en-US" w:eastAsia="zh-CN" w:bidi="ar-SA"/>
              </w:rPr>
              <w:t>----锅炉烟气带出的灰分份额，%；取</w:t>
            </w:r>
            <w:r>
              <w:rPr>
                <w:rFonts w:hint="eastAsia" w:cs="Times New Roman"/>
                <w:b w:val="0"/>
                <w:bCs w:val="0"/>
                <w:color w:val="auto"/>
                <w:kern w:val="2"/>
                <w:sz w:val="24"/>
                <w:szCs w:val="24"/>
                <w:highlight w:val="none"/>
                <w:lang w:val="en-US" w:eastAsia="zh-CN" w:bidi="ar-SA"/>
              </w:rPr>
              <w:t>2</w:t>
            </w:r>
            <w:r>
              <w:rPr>
                <w:rFonts w:hint="default" w:ascii="Times New Roman" w:hAnsi="Times New Roman" w:eastAsia="宋体" w:cs="Times New Roman"/>
                <w:b w:val="0"/>
                <w:bCs w:val="0"/>
                <w:color w:val="auto"/>
                <w:kern w:val="2"/>
                <w:sz w:val="24"/>
                <w:szCs w:val="24"/>
                <w:highlight w:val="none"/>
                <w:lang w:val="en-US" w:eastAsia="zh-CN" w:bidi="ar-SA"/>
              </w:rPr>
              <w:t>0%。（往复炉排灰分份额为15%-20%，本项目取20%）</w:t>
            </w:r>
          </w:p>
          <w:p>
            <w:pPr>
              <w:keepNext w:val="0"/>
              <w:keepLines w:val="0"/>
              <w:pageBreakBefore w:val="0"/>
              <w:widowControl w:val="0"/>
              <w:kinsoku/>
              <w:wordWrap/>
              <w:overflowPunct/>
              <w:topLinePunct w:val="0"/>
              <w:autoSpaceDE/>
              <w:autoSpaceDN/>
              <w:bidi w:val="0"/>
              <w:adjustRightInd/>
              <w:snapToGrid/>
              <w:spacing w:after="0" w:line="360" w:lineRule="auto"/>
              <w:ind w:firstLine="1920" w:firstLineChars="8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ƞ</w:t>
            </w:r>
            <w:r>
              <w:rPr>
                <w:rFonts w:hint="default" w:ascii="Times New Roman" w:hAnsi="Times New Roman" w:eastAsia="宋体" w:cs="Times New Roman"/>
                <w:b w:val="0"/>
                <w:bCs w:val="0"/>
                <w:color w:val="auto"/>
                <w:kern w:val="2"/>
                <w:sz w:val="24"/>
                <w:szCs w:val="24"/>
                <w:highlight w:val="none"/>
                <w:vertAlign w:val="subscript"/>
                <w:lang w:val="en-US" w:eastAsia="zh-CN" w:bidi="ar-SA"/>
              </w:rPr>
              <w:t>c</w:t>
            </w:r>
            <w:r>
              <w:rPr>
                <w:rFonts w:hint="default" w:ascii="Times New Roman" w:hAnsi="Times New Roman" w:eastAsia="宋体" w:cs="Times New Roman"/>
                <w:b w:val="0"/>
                <w:bCs w:val="0"/>
                <w:color w:val="auto"/>
                <w:kern w:val="2"/>
                <w:sz w:val="24"/>
                <w:szCs w:val="24"/>
                <w:highlight w:val="none"/>
                <w:lang w:val="en-US" w:eastAsia="zh-CN" w:bidi="ar-SA"/>
              </w:rPr>
              <w:t>----综合除尘效率，%；取9</w:t>
            </w:r>
            <w:r>
              <w:rPr>
                <w:rFonts w:hint="eastAsia" w:cs="Times New Roman"/>
                <w:b w:val="0"/>
                <w:bCs w:val="0"/>
                <w:color w:val="auto"/>
                <w:kern w:val="2"/>
                <w:sz w:val="24"/>
                <w:szCs w:val="24"/>
                <w:highlight w:val="none"/>
                <w:lang w:val="en-US" w:eastAsia="zh-CN" w:bidi="ar-SA"/>
              </w:rPr>
              <w:t>9.9</w:t>
            </w:r>
            <w:r>
              <w:rPr>
                <w:rFonts w:hint="default" w:ascii="Times New Roman" w:hAnsi="Times New Roman" w:eastAsia="宋体" w:cs="Times New Roman"/>
                <w:b w:val="0"/>
                <w:bCs w:val="0"/>
                <w:color w:val="auto"/>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after="0" w:line="360" w:lineRule="auto"/>
              <w:ind w:firstLine="1920" w:firstLineChars="8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C</w:t>
            </w:r>
            <w:r>
              <w:rPr>
                <w:rFonts w:hint="default" w:ascii="Times New Roman" w:hAnsi="Times New Roman" w:eastAsia="宋体" w:cs="Times New Roman"/>
                <w:b w:val="0"/>
                <w:bCs w:val="0"/>
                <w:color w:val="auto"/>
                <w:kern w:val="2"/>
                <w:sz w:val="24"/>
                <w:szCs w:val="24"/>
                <w:highlight w:val="none"/>
                <w:vertAlign w:val="subscript"/>
                <w:lang w:val="en-US" w:eastAsia="zh-CN" w:bidi="ar-SA"/>
              </w:rPr>
              <w:t>fh</w:t>
            </w:r>
            <w:r>
              <w:rPr>
                <w:rFonts w:hint="default" w:ascii="Times New Roman" w:hAnsi="Times New Roman" w:eastAsia="宋体" w:cs="Times New Roman"/>
                <w:b w:val="0"/>
                <w:bCs w:val="0"/>
                <w:color w:val="auto"/>
                <w:kern w:val="2"/>
                <w:sz w:val="24"/>
                <w:szCs w:val="24"/>
                <w:highlight w:val="none"/>
                <w:lang w:val="en-US" w:eastAsia="zh-CN" w:bidi="ar-SA"/>
              </w:rPr>
              <w:t>----飞灰中可燃物含量，%。取1</w:t>
            </w:r>
            <w:r>
              <w:rPr>
                <w:rFonts w:hint="eastAsia" w:ascii="Times New Roman" w:hAnsi="Times New Roman" w:eastAsia="宋体" w:cs="Times New Roman"/>
                <w:b w:val="0"/>
                <w:bCs w:val="0"/>
                <w:color w:val="auto"/>
                <w:kern w:val="2"/>
                <w:sz w:val="24"/>
                <w:szCs w:val="24"/>
                <w:highlight w:val="none"/>
                <w:lang w:val="en-US" w:eastAsia="zh-CN" w:bidi="ar-SA"/>
              </w:rPr>
              <w:t>6</w:t>
            </w:r>
            <w:r>
              <w:rPr>
                <w:rFonts w:hint="default" w:ascii="Times New Roman" w:hAnsi="Times New Roman" w:eastAsia="宋体" w:cs="Times New Roman"/>
                <w:b w:val="0"/>
                <w:bCs w:val="0"/>
                <w:color w:val="auto"/>
                <w:kern w:val="2"/>
                <w:sz w:val="24"/>
                <w:szCs w:val="24"/>
                <w:highlight w:val="none"/>
                <w:lang w:val="en-US" w:eastAsia="zh-CN" w:bidi="ar-SA"/>
              </w:rPr>
              <w:t>%。（</w:t>
            </w:r>
            <w:r>
              <w:rPr>
                <w:rFonts w:hint="eastAsia" w:ascii="Times New Roman" w:hAnsi="Times New Roman" w:eastAsia="宋体" w:cs="Times New Roman"/>
                <w:b w:val="0"/>
                <w:bCs w:val="0"/>
                <w:color w:val="auto"/>
                <w:kern w:val="2"/>
                <w:sz w:val="24"/>
                <w:szCs w:val="24"/>
                <w:highlight w:val="none"/>
                <w:lang w:val="en-US" w:eastAsia="zh-CN" w:bidi="ar-SA"/>
              </w:rPr>
              <w:t>本</w:t>
            </w:r>
            <w:r>
              <w:rPr>
                <w:rFonts w:hint="default" w:ascii="Times New Roman" w:hAnsi="Times New Roman" w:eastAsia="宋体" w:cs="Times New Roman"/>
                <w:b w:val="0"/>
                <w:bCs w:val="0"/>
                <w:color w:val="auto"/>
                <w:kern w:val="2"/>
                <w:sz w:val="24"/>
                <w:szCs w:val="24"/>
                <w:highlight w:val="none"/>
                <w:lang w:val="en-US" w:eastAsia="zh-CN" w:bidi="ar-SA"/>
              </w:rPr>
              <w:t>项目飞灰中可燃物含量类比烟煤II类，根据《工业锅炉经济运行》（GB/T17954-2007），取1</w:t>
            </w:r>
            <w:r>
              <w:rPr>
                <w:rFonts w:hint="eastAsia" w:ascii="Times New Roman" w:hAnsi="Times New Roman" w:eastAsia="宋体" w:cs="Times New Roman"/>
                <w:b w:val="0"/>
                <w:bCs w:val="0"/>
                <w:color w:val="auto"/>
                <w:kern w:val="2"/>
                <w:sz w:val="24"/>
                <w:szCs w:val="24"/>
                <w:highlight w:val="none"/>
                <w:lang w:val="en-US" w:eastAsia="zh-CN" w:bidi="ar-SA"/>
              </w:rPr>
              <w:t>6</w:t>
            </w:r>
            <w:r>
              <w:rPr>
                <w:rFonts w:hint="default" w:ascii="Times New Roman" w:hAnsi="Times New Roman" w:eastAsia="宋体" w:cs="Times New Roman"/>
                <w:b w:val="0"/>
                <w:bCs w:val="0"/>
                <w:color w:val="auto"/>
                <w:kern w:val="2"/>
                <w:sz w:val="24"/>
                <w:szCs w:val="24"/>
                <w:highlight w:val="none"/>
                <w:lang w:val="en-US" w:eastAsia="zh-CN" w:bidi="ar-SA"/>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val="0"/>
                <w:color w:val="auto"/>
                <w:sz w:val="24"/>
                <w:szCs w:val="28"/>
                <w:highlight w:val="none"/>
                <w:lang w:eastAsia="zh-CN"/>
              </w:rPr>
            </w:pPr>
            <w:r>
              <w:rPr>
                <w:rFonts w:hint="default" w:ascii="Times New Roman" w:hAnsi="Times New Roman" w:cs="Times New Roman"/>
                <w:bCs w:val="0"/>
                <w:color w:val="auto"/>
                <w:sz w:val="24"/>
                <w:szCs w:val="28"/>
                <w:highlight w:val="none"/>
                <w:lang w:eastAsia="zh-CN"/>
              </w:rPr>
              <w:t>（</w:t>
            </w:r>
            <w:r>
              <w:rPr>
                <w:rFonts w:hint="default" w:ascii="Times New Roman" w:hAnsi="Times New Roman" w:cs="Times New Roman"/>
                <w:bCs w:val="0"/>
                <w:color w:val="auto"/>
                <w:sz w:val="24"/>
                <w:szCs w:val="28"/>
                <w:highlight w:val="none"/>
                <w:lang w:val="en-US" w:eastAsia="zh-CN"/>
              </w:rPr>
              <w:t>3</w:t>
            </w:r>
            <w:r>
              <w:rPr>
                <w:rFonts w:hint="default" w:ascii="Times New Roman" w:hAnsi="Times New Roman" w:cs="Times New Roman"/>
                <w:bCs w:val="0"/>
                <w:color w:val="auto"/>
                <w:sz w:val="24"/>
                <w:szCs w:val="28"/>
                <w:highlight w:val="none"/>
                <w:lang w:eastAsia="zh-CN"/>
              </w:rPr>
              <w:t>）二氧化硫排放量</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Cs/>
                <w:color w:val="auto"/>
                <w:sz w:val="24"/>
                <w:highlight w:val="none"/>
              </w:rPr>
            </w:pPr>
            <w:r>
              <w:rPr>
                <w:rFonts w:hint="default" w:ascii="Times New Roman" w:hAnsi="Times New Roman" w:cs="Times New Roman"/>
                <w:bCs/>
                <w:color w:val="auto"/>
                <w:sz w:val="24"/>
                <w:highlight w:val="none"/>
              </w:rPr>
              <w:drawing>
                <wp:inline distT="0" distB="0" distL="114300" distR="114300">
                  <wp:extent cx="3270885" cy="564515"/>
                  <wp:effectExtent l="0" t="0" r="5715" b="6985"/>
                  <wp:docPr id="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
                          <pic:cNvPicPr>
                            <a:picLocks noChangeAspect="1"/>
                          </pic:cNvPicPr>
                        </pic:nvPicPr>
                        <pic:blipFill>
                          <a:blip r:embed="rId23"/>
                          <a:stretch>
                            <a:fillRect/>
                          </a:stretch>
                        </pic:blipFill>
                        <pic:spPr>
                          <a:xfrm>
                            <a:off x="0" y="0"/>
                            <a:ext cx="3270885" cy="5645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after="0" w:line="360" w:lineRule="auto"/>
              <w:ind w:firstLine="1200" w:firstLineChars="500"/>
              <w:jc w:val="both"/>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式中：E</w:t>
            </w:r>
            <w:r>
              <w:rPr>
                <w:rFonts w:hint="default" w:ascii="Times New Roman" w:hAnsi="Times New Roman" w:eastAsia="宋体" w:cs="Times New Roman"/>
                <w:b w:val="0"/>
                <w:bCs w:val="0"/>
                <w:color w:val="auto"/>
                <w:kern w:val="2"/>
                <w:sz w:val="21"/>
                <w:szCs w:val="21"/>
                <w:highlight w:val="none"/>
                <w:vertAlign w:val="subscript"/>
                <w:lang w:val="en-US" w:eastAsia="zh-CN" w:bidi="ar-SA"/>
              </w:rPr>
              <w:t>SO2</w:t>
            </w:r>
            <w:r>
              <w:rPr>
                <w:rFonts w:hint="default" w:ascii="Times New Roman" w:hAnsi="Times New Roman" w:eastAsia="宋体" w:cs="Times New Roman"/>
                <w:b w:val="0"/>
                <w:bCs w:val="0"/>
                <w:color w:val="auto"/>
                <w:kern w:val="2"/>
                <w:sz w:val="24"/>
                <w:szCs w:val="24"/>
                <w:highlight w:val="none"/>
                <w:lang w:val="en-US" w:eastAsia="zh-CN" w:bidi="ar-SA"/>
              </w:rPr>
              <w:t>----核算时段内二氧化硫排放量，t；</w:t>
            </w:r>
          </w:p>
          <w:p>
            <w:pPr>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1920" w:firstLineChars="800"/>
              <w:jc w:val="both"/>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R----核算时段内锅炉燃料耗量，</w:t>
            </w:r>
            <w:r>
              <w:rPr>
                <w:rFonts w:hint="eastAsia" w:cs="Times New Roman"/>
                <w:bCs/>
                <w:color w:val="auto"/>
                <w:sz w:val="24"/>
                <w:szCs w:val="24"/>
                <w:highlight w:val="none"/>
                <w:lang w:val="en-US" w:eastAsia="zh-CN"/>
              </w:rPr>
              <w:t>15000</w:t>
            </w:r>
            <w:r>
              <w:rPr>
                <w:rFonts w:hint="default" w:ascii="Times New Roman" w:hAnsi="Times New Roman" w:eastAsia="宋体" w:cs="Times New Roman"/>
                <w:b w:val="0"/>
                <w:bCs w:val="0"/>
                <w:color w:val="auto"/>
                <w:kern w:val="2"/>
                <w:sz w:val="24"/>
                <w:szCs w:val="24"/>
                <w:highlight w:val="none"/>
                <w:lang w:val="en-US" w:eastAsia="zh-CN" w:bidi="ar-SA"/>
              </w:rPr>
              <w:t>t；</w:t>
            </w:r>
          </w:p>
          <w:p>
            <w:pPr>
              <w:keepNext w:val="0"/>
              <w:keepLines w:val="0"/>
              <w:pageBreakBefore w:val="0"/>
              <w:widowControl w:val="0"/>
              <w:kinsoku/>
              <w:wordWrap/>
              <w:overflowPunct/>
              <w:topLinePunct w:val="0"/>
              <w:autoSpaceDE/>
              <w:autoSpaceDN/>
              <w:bidi w:val="0"/>
              <w:adjustRightInd/>
              <w:snapToGrid/>
              <w:spacing w:after="0" w:line="360" w:lineRule="auto"/>
              <w:ind w:firstLine="1920" w:firstLineChars="8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S</w:t>
            </w:r>
            <w:r>
              <w:rPr>
                <w:rFonts w:hint="default" w:ascii="Times New Roman" w:hAnsi="Times New Roman" w:eastAsia="宋体" w:cs="Times New Roman"/>
                <w:b w:val="0"/>
                <w:bCs w:val="0"/>
                <w:color w:val="auto"/>
                <w:kern w:val="2"/>
                <w:sz w:val="24"/>
                <w:szCs w:val="24"/>
                <w:highlight w:val="none"/>
                <w:vertAlign w:val="subscript"/>
                <w:lang w:val="en-US" w:eastAsia="zh-CN" w:bidi="ar-SA"/>
              </w:rPr>
              <w:t>ar</w:t>
            </w:r>
            <w:r>
              <w:rPr>
                <w:rFonts w:hint="default" w:ascii="Times New Roman" w:hAnsi="Times New Roman" w:eastAsia="宋体" w:cs="Times New Roman"/>
                <w:b w:val="0"/>
                <w:bCs w:val="0"/>
                <w:color w:val="auto"/>
                <w:kern w:val="2"/>
                <w:sz w:val="24"/>
                <w:szCs w:val="24"/>
                <w:highlight w:val="none"/>
                <w:lang w:val="en-US" w:eastAsia="zh-CN" w:bidi="ar-SA"/>
              </w:rPr>
              <w:t>----收到基硫的质量分数，</w:t>
            </w:r>
            <w:r>
              <w:rPr>
                <w:rFonts w:hint="eastAsia" w:cs="Times New Roman"/>
                <w:b w:val="0"/>
                <w:bCs w:val="0"/>
                <w:color w:val="auto"/>
                <w:kern w:val="2"/>
                <w:sz w:val="24"/>
                <w:szCs w:val="24"/>
                <w:highlight w:val="none"/>
                <w:lang w:val="en-US" w:eastAsia="zh-CN" w:bidi="ar-SA"/>
              </w:rPr>
              <w:t>0.374</w:t>
            </w:r>
            <w:r>
              <w:rPr>
                <w:rFonts w:hint="default" w:ascii="Times New Roman" w:hAnsi="Times New Roman" w:eastAsia="宋体" w:cs="Times New Roman"/>
                <w:b w:val="0"/>
                <w:bCs w:val="0"/>
                <w:color w:val="auto"/>
                <w:kern w:val="2"/>
                <w:sz w:val="24"/>
                <w:szCs w:val="24"/>
                <w:highlight w:val="none"/>
                <w:lang w:val="en-US" w:eastAsia="zh-CN" w:bidi="ar-SA"/>
              </w:rPr>
              <w:t>%</w:t>
            </w:r>
            <w:r>
              <w:rPr>
                <w:rFonts w:hint="eastAsia" w:ascii="Times New Roman" w:hAnsi="Times New Roman" w:eastAsia="宋体" w:cs="Times New Roman"/>
                <w:b w:val="0"/>
                <w:bCs w:val="0"/>
                <w:color w:val="auto"/>
                <w:kern w:val="2"/>
                <w:sz w:val="24"/>
                <w:szCs w:val="24"/>
                <w:highlight w:val="none"/>
                <w:lang w:val="en-US" w:eastAsia="zh-CN" w:bidi="ar-SA"/>
              </w:rPr>
              <w:t>，</w:t>
            </w:r>
            <w:r>
              <w:rPr>
                <w:rFonts w:hint="default" w:ascii="Times New Roman" w:hAnsi="Times New Roman" w:eastAsia="宋体" w:cs="Times New Roman"/>
                <w:b w:val="0"/>
                <w:bCs w:val="0"/>
                <w:color w:val="auto"/>
                <w:kern w:val="2"/>
                <w:sz w:val="24"/>
                <w:szCs w:val="24"/>
                <w:highlight w:val="none"/>
                <w:lang w:val="en-US" w:eastAsia="zh-CN" w:bidi="ar-SA"/>
              </w:rPr>
              <w:t>（根据</w:t>
            </w:r>
            <w:r>
              <w:rPr>
                <w:rFonts w:hint="eastAsia" w:ascii="Times New Roman" w:hAnsi="Times New Roman" w:eastAsia="宋体" w:cs="Times New Roman"/>
                <w:b w:val="0"/>
                <w:bCs w:val="0"/>
                <w:color w:val="auto"/>
                <w:kern w:val="2"/>
                <w:sz w:val="24"/>
                <w:szCs w:val="24"/>
                <w:highlight w:val="none"/>
                <w:lang w:val="en-US" w:eastAsia="zh-CN" w:bidi="ar-SA"/>
              </w:rPr>
              <w:t>煤质</w:t>
            </w:r>
            <w:r>
              <w:rPr>
                <w:rFonts w:hint="default" w:ascii="Times New Roman" w:hAnsi="Times New Roman" w:eastAsia="宋体" w:cs="Times New Roman"/>
                <w:b w:val="0"/>
                <w:bCs w:val="0"/>
                <w:color w:val="auto"/>
                <w:kern w:val="2"/>
                <w:sz w:val="24"/>
                <w:szCs w:val="24"/>
                <w:highlight w:val="none"/>
                <w:lang w:val="en-US" w:eastAsia="zh-CN" w:bidi="ar-SA"/>
              </w:rPr>
              <w:t>成分分析报告</w:t>
            </w:r>
            <w:r>
              <w:rPr>
                <w:rFonts w:hint="eastAsia" w:ascii="Times New Roman" w:hAnsi="Times New Roman" w:eastAsia="宋体" w:cs="Times New Roman"/>
                <w:b w:val="0"/>
                <w:bCs w:val="0"/>
                <w:color w:val="auto"/>
                <w:kern w:val="2"/>
                <w:sz w:val="24"/>
                <w:szCs w:val="24"/>
                <w:highlight w:val="none"/>
                <w:lang w:val="en-US" w:eastAsia="zh-CN" w:bidi="ar-SA"/>
              </w:rPr>
              <w:t>换算得出</w:t>
            </w:r>
            <w:r>
              <w:rPr>
                <w:rFonts w:hint="default" w:ascii="Times New Roman" w:hAnsi="Times New Roman" w:eastAsia="宋体" w:cs="Times New Roman"/>
                <w:b w:val="0"/>
                <w:bCs w:val="0"/>
                <w:color w:val="auto"/>
                <w:kern w:val="2"/>
                <w:sz w:val="24"/>
                <w:szCs w:val="24"/>
                <w:highlight w:val="none"/>
                <w:lang w:val="en-US" w:eastAsia="zh-CN" w:bidi="ar-SA"/>
              </w:rPr>
              <w:t>）；</w:t>
            </w:r>
          </w:p>
          <w:p>
            <w:pPr>
              <w:keepNext w:val="0"/>
              <w:keepLines w:val="0"/>
              <w:pageBreakBefore w:val="0"/>
              <w:widowControl w:val="0"/>
              <w:kinsoku/>
              <w:wordWrap/>
              <w:overflowPunct/>
              <w:topLinePunct w:val="0"/>
              <w:autoSpaceDE/>
              <w:autoSpaceDN/>
              <w:bidi w:val="0"/>
              <w:adjustRightInd/>
              <w:snapToGrid/>
              <w:spacing w:after="0" w:line="360" w:lineRule="auto"/>
              <w:ind w:firstLine="1920" w:firstLineChars="8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q</w:t>
            </w:r>
            <w:r>
              <w:rPr>
                <w:rFonts w:hint="default" w:ascii="Times New Roman" w:hAnsi="Times New Roman" w:eastAsia="宋体" w:cs="Times New Roman"/>
                <w:b w:val="0"/>
                <w:bCs w:val="0"/>
                <w:color w:val="auto"/>
                <w:kern w:val="2"/>
                <w:sz w:val="24"/>
                <w:szCs w:val="24"/>
                <w:highlight w:val="none"/>
                <w:vertAlign w:val="subscript"/>
                <w:lang w:val="en-US" w:eastAsia="zh-CN" w:bidi="ar-SA"/>
              </w:rPr>
              <w:t>4</w:t>
            </w:r>
            <w:r>
              <w:rPr>
                <w:rFonts w:hint="default" w:ascii="Times New Roman" w:hAnsi="Times New Roman" w:eastAsia="宋体" w:cs="Times New Roman"/>
                <w:b w:val="0"/>
                <w:bCs w:val="0"/>
                <w:color w:val="auto"/>
                <w:kern w:val="2"/>
                <w:sz w:val="24"/>
                <w:szCs w:val="24"/>
                <w:highlight w:val="none"/>
                <w:lang w:val="en-US" w:eastAsia="zh-CN" w:bidi="ar-SA"/>
              </w:rPr>
              <w:t>----锅炉机械不完全燃烧热损失，%；取12%，（往复炉排不完全燃烧热损失7%-12%）。</w:t>
            </w:r>
          </w:p>
          <w:p>
            <w:pPr>
              <w:keepNext w:val="0"/>
              <w:keepLines w:val="0"/>
              <w:pageBreakBefore w:val="0"/>
              <w:widowControl w:val="0"/>
              <w:kinsoku/>
              <w:wordWrap/>
              <w:overflowPunct/>
              <w:topLinePunct w:val="0"/>
              <w:autoSpaceDE/>
              <w:autoSpaceDN/>
              <w:bidi w:val="0"/>
              <w:adjustRightInd/>
              <w:snapToGrid/>
              <w:spacing w:after="0" w:line="360" w:lineRule="auto"/>
              <w:ind w:firstLine="1920" w:firstLineChars="800"/>
              <w:jc w:val="both"/>
              <w:textAlignment w:val="auto"/>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ƞ</w:t>
            </w:r>
            <w:r>
              <w:rPr>
                <w:rFonts w:hint="default" w:ascii="Times New Roman" w:hAnsi="Times New Roman" w:eastAsia="宋体" w:cs="Times New Roman"/>
                <w:b w:val="0"/>
                <w:bCs w:val="0"/>
                <w:color w:val="auto"/>
                <w:kern w:val="2"/>
                <w:sz w:val="24"/>
                <w:szCs w:val="24"/>
                <w:highlight w:val="none"/>
                <w:vertAlign w:val="subscript"/>
                <w:lang w:val="en-US" w:eastAsia="zh-CN" w:bidi="ar-SA"/>
              </w:rPr>
              <w:t>s</w:t>
            </w:r>
            <w:r>
              <w:rPr>
                <w:rFonts w:hint="default" w:ascii="Times New Roman" w:hAnsi="Times New Roman" w:eastAsia="宋体" w:cs="Times New Roman"/>
                <w:b w:val="0"/>
                <w:bCs w:val="0"/>
                <w:color w:val="auto"/>
                <w:kern w:val="2"/>
                <w:sz w:val="24"/>
                <w:szCs w:val="24"/>
                <w:highlight w:val="none"/>
                <w:lang w:val="en-US" w:eastAsia="zh-CN" w:bidi="ar-SA"/>
              </w:rPr>
              <w:t>----脱硫效率，%；</w:t>
            </w:r>
            <w:r>
              <w:rPr>
                <w:rFonts w:hint="eastAsia" w:ascii="Times New Roman" w:hAnsi="Times New Roman" w:eastAsia="宋体" w:cs="Times New Roman"/>
                <w:b w:val="0"/>
                <w:bCs w:val="0"/>
                <w:color w:val="auto"/>
                <w:kern w:val="2"/>
                <w:sz w:val="24"/>
                <w:szCs w:val="24"/>
                <w:highlight w:val="none"/>
                <w:lang w:val="en-US" w:eastAsia="zh-CN" w:bidi="ar-SA"/>
              </w:rPr>
              <w:t>取80%。</w:t>
            </w:r>
          </w:p>
          <w:p>
            <w:pPr>
              <w:keepNext w:val="0"/>
              <w:keepLines w:val="0"/>
              <w:pageBreakBefore w:val="0"/>
              <w:widowControl w:val="0"/>
              <w:kinsoku/>
              <w:wordWrap/>
              <w:overflowPunct/>
              <w:topLinePunct w:val="0"/>
              <w:autoSpaceDE/>
              <w:autoSpaceDN/>
              <w:bidi w:val="0"/>
              <w:adjustRightInd/>
              <w:snapToGrid/>
              <w:spacing w:after="0" w:line="360" w:lineRule="auto"/>
              <w:ind w:firstLine="1920" w:firstLineChars="800"/>
              <w:jc w:val="both"/>
              <w:textAlignment w:val="auto"/>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K----燃料中的硫燃烧后氧化成二氧化硫的份额，量纲一的量。取0.50。</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val="0"/>
                <w:color w:val="auto"/>
                <w:sz w:val="24"/>
                <w:szCs w:val="28"/>
                <w:highlight w:val="none"/>
                <w:lang w:eastAsia="zh-CN"/>
              </w:rPr>
            </w:pPr>
            <w:r>
              <w:rPr>
                <w:rFonts w:hint="default" w:ascii="Times New Roman" w:hAnsi="Times New Roman" w:cs="Times New Roman"/>
                <w:bCs w:val="0"/>
                <w:color w:val="auto"/>
                <w:sz w:val="24"/>
                <w:szCs w:val="28"/>
                <w:highlight w:val="none"/>
                <w:lang w:eastAsia="zh-CN"/>
              </w:rPr>
              <w:t>（</w:t>
            </w:r>
            <w:r>
              <w:rPr>
                <w:rFonts w:hint="default" w:ascii="Times New Roman" w:hAnsi="Times New Roman" w:cs="Times New Roman"/>
                <w:bCs w:val="0"/>
                <w:color w:val="auto"/>
                <w:sz w:val="24"/>
                <w:szCs w:val="28"/>
                <w:highlight w:val="none"/>
                <w:lang w:val="en-US" w:eastAsia="zh-CN"/>
              </w:rPr>
              <w:t>4</w:t>
            </w:r>
            <w:r>
              <w:rPr>
                <w:rFonts w:hint="default" w:ascii="Times New Roman" w:hAnsi="Times New Roman" w:cs="Times New Roman"/>
                <w:bCs w:val="0"/>
                <w:color w:val="auto"/>
                <w:sz w:val="24"/>
                <w:szCs w:val="28"/>
                <w:highlight w:val="none"/>
                <w:lang w:eastAsia="zh-CN"/>
              </w:rPr>
              <w:t>）氮氧化物排放量</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color w:val="auto"/>
                <w:highlight w:val="none"/>
              </w:rPr>
            </w:pPr>
            <w:r>
              <w:rPr>
                <w:rFonts w:hint="default" w:ascii="Times New Roman" w:hAnsi="Times New Roman" w:cs="Times New Roman"/>
                <w:color w:val="auto"/>
                <w:highlight w:val="none"/>
              </w:rPr>
              <w:drawing>
                <wp:inline distT="0" distB="0" distL="114300" distR="114300">
                  <wp:extent cx="2684780" cy="621030"/>
                  <wp:effectExtent l="0" t="0" r="1270" b="7620"/>
                  <wp:docPr id="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6"/>
                          <pic:cNvPicPr>
                            <a:picLocks noChangeAspect="1"/>
                          </pic:cNvPicPr>
                        </pic:nvPicPr>
                        <pic:blipFill>
                          <a:blip r:embed="rId24"/>
                          <a:stretch>
                            <a:fillRect/>
                          </a:stretch>
                        </pic:blipFill>
                        <pic:spPr>
                          <a:xfrm>
                            <a:off x="0" y="0"/>
                            <a:ext cx="2684780" cy="621030"/>
                          </a:xfrm>
                          <a:prstGeom prst="rect">
                            <a:avLst/>
                          </a:prstGeom>
                          <a:noFill/>
                          <a:ln>
                            <a:noFill/>
                          </a:ln>
                        </pic:spPr>
                      </pic:pic>
                    </a:graphicData>
                  </a:graphic>
                </wp:inline>
              </w:drawing>
            </w:r>
          </w:p>
          <w:p>
            <w:pPr>
              <w:pStyle w:val="35"/>
              <w:keepNext w:val="0"/>
              <w:keepLines w:val="0"/>
              <w:pageBreakBefore w:val="0"/>
              <w:widowControl w:val="0"/>
              <w:kinsoku/>
              <w:wordWrap/>
              <w:overflowPunct/>
              <w:topLinePunct w:val="0"/>
              <w:autoSpaceDE/>
              <w:autoSpaceDN/>
              <w:bidi w:val="0"/>
              <w:adjustRightInd/>
              <w:snapToGrid/>
              <w:spacing w:after="0" w:line="360" w:lineRule="auto"/>
              <w:ind w:firstLine="1200" w:firstLineChars="5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eastAsia="zh-CN"/>
              </w:rPr>
              <w:t>式中：</w:t>
            </w:r>
            <w:r>
              <w:rPr>
                <w:rFonts w:hint="default" w:ascii="Times New Roman" w:hAnsi="Times New Roman" w:cs="Times New Roman"/>
                <w:b w:val="0"/>
                <w:bCs w:val="0"/>
                <w:color w:val="auto"/>
                <w:sz w:val="24"/>
                <w:szCs w:val="24"/>
                <w:highlight w:val="none"/>
                <w:lang w:val="en-US" w:eastAsia="zh-CN"/>
              </w:rPr>
              <w:t>E</w:t>
            </w:r>
            <w:r>
              <w:rPr>
                <w:rFonts w:hint="default" w:ascii="Times New Roman" w:hAnsi="Times New Roman" w:cs="Times New Roman"/>
                <w:b w:val="0"/>
                <w:bCs w:val="0"/>
                <w:color w:val="auto"/>
                <w:sz w:val="24"/>
                <w:szCs w:val="24"/>
                <w:highlight w:val="none"/>
                <w:vertAlign w:val="subscript"/>
                <w:lang w:val="en-US" w:eastAsia="zh-CN"/>
              </w:rPr>
              <w:t>NOX</w:t>
            </w:r>
            <w:r>
              <w:rPr>
                <w:rFonts w:hint="default" w:ascii="Times New Roman" w:hAnsi="Times New Roman" w:cs="Times New Roman"/>
                <w:b w:val="0"/>
                <w:bCs w:val="0"/>
                <w:color w:val="auto"/>
                <w:sz w:val="24"/>
                <w:szCs w:val="24"/>
                <w:highlight w:val="none"/>
                <w:lang w:val="en-US" w:eastAsia="zh-CN"/>
              </w:rPr>
              <w:t>----核算时段内氮氧化物排放量，t；</w:t>
            </w:r>
          </w:p>
          <w:p>
            <w:pPr>
              <w:pStyle w:val="35"/>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1920" w:firstLineChars="8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vertAlign w:val="baseline"/>
                <w:lang w:val="en-US" w:eastAsia="zh-CN"/>
              </w:rPr>
              <w:t>ρ</w:t>
            </w:r>
            <w:r>
              <w:rPr>
                <w:rFonts w:hint="default" w:ascii="Times New Roman" w:hAnsi="Times New Roman" w:cs="Times New Roman"/>
                <w:b w:val="0"/>
                <w:bCs w:val="0"/>
                <w:color w:val="auto"/>
                <w:sz w:val="24"/>
                <w:szCs w:val="24"/>
                <w:highlight w:val="none"/>
                <w:vertAlign w:val="subscript"/>
                <w:lang w:val="en-US" w:eastAsia="zh-CN"/>
              </w:rPr>
              <w:t>NOX</w:t>
            </w:r>
            <w:r>
              <w:rPr>
                <w:rFonts w:hint="default" w:ascii="Times New Roman" w:hAnsi="Times New Roman" w:cs="Times New Roman"/>
                <w:b w:val="0"/>
                <w:bCs w:val="0"/>
                <w:color w:val="auto"/>
                <w:sz w:val="24"/>
                <w:szCs w:val="24"/>
                <w:highlight w:val="none"/>
                <w:lang w:val="en-US" w:eastAsia="zh-CN"/>
              </w:rPr>
              <w:t>----锅炉炉膛出口氮氧化物质量浓度，180mg/m</w:t>
            </w:r>
            <w:r>
              <w:rPr>
                <w:rFonts w:hint="default" w:ascii="Times New Roman" w:hAnsi="Times New Roman" w:cs="Times New Roman"/>
                <w:b w:val="0"/>
                <w:bCs w:val="0"/>
                <w:color w:val="auto"/>
                <w:sz w:val="24"/>
                <w:szCs w:val="24"/>
                <w:highlight w:val="none"/>
                <w:vertAlign w:val="superscript"/>
                <w:lang w:val="en-US" w:eastAsia="zh-CN"/>
              </w:rPr>
              <w:t>3</w:t>
            </w:r>
            <w:r>
              <w:rPr>
                <w:rFonts w:hint="default" w:ascii="Times New Roman" w:hAnsi="Times New Roman" w:cs="Times New Roman"/>
                <w:b w:val="0"/>
                <w:bCs w:val="0"/>
                <w:color w:val="auto"/>
                <w:sz w:val="24"/>
                <w:szCs w:val="24"/>
                <w:highlight w:val="none"/>
                <w:lang w:val="en-US" w:eastAsia="zh-CN"/>
              </w:rPr>
              <w:t>；</w:t>
            </w:r>
          </w:p>
          <w:p>
            <w:pPr>
              <w:pStyle w:val="35"/>
              <w:keepNext w:val="0"/>
              <w:keepLines w:val="0"/>
              <w:pageBreakBefore w:val="0"/>
              <w:widowControl w:val="0"/>
              <w:kinsoku/>
              <w:wordWrap/>
              <w:overflowPunct/>
              <w:topLinePunct w:val="0"/>
              <w:autoSpaceDE/>
              <w:autoSpaceDN/>
              <w:bidi w:val="0"/>
              <w:adjustRightInd/>
              <w:snapToGrid/>
              <w:spacing w:after="0" w:line="360" w:lineRule="auto"/>
              <w:ind w:firstLine="1920" w:firstLineChars="800"/>
              <w:textAlignment w:val="auto"/>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Q----核算时段内标态干烟气排放量，</w:t>
            </w:r>
            <w:r>
              <w:rPr>
                <w:rFonts w:hint="eastAsia" w:cs="Times New Roman"/>
                <w:b w:val="0"/>
                <w:bCs w:val="0"/>
                <w:color w:val="auto"/>
                <w:sz w:val="24"/>
                <w:szCs w:val="24"/>
                <w:highlight w:val="none"/>
                <w:lang w:val="en-US" w:eastAsia="zh-CN"/>
              </w:rPr>
              <w:t>1.23</w:t>
            </w:r>
            <w:r>
              <w:rPr>
                <w:rFonts w:hint="default" w:ascii="Times New Roman" w:hAnsi="Times New Roman" w:cs="Times New Roman"/>
                <w:b w:val="0"/>
                <w:bCs/>
                <w:color w:val="auto"/>
                <w:sz w:val="24"/>
                <w:szCs w:val="24"/>
                <w:highlight w:val="none"/>
              </w:rPr>
              <w:t>×</w:t>
            </w:r>
            <w:r>
              <w:rPr>
                <w:rFonts w:hint="default" w:ascii="Times New Roman" w:hAnsi="Times New Roman" w:cs="Times New Roman"/>
                <w:b w:val="0"/>
                <w:bCs/>
                <w:color w:val="auto"/>
                <w:sz w:val="24"/>
                <w:szCs w:val="24"/>
                <w:highlight w:val="none"/>
                <w:lang w:val="en-US" w:eastAsia="zh-CN"/>
              </w:rPr>
              <w:t>10</w:t>
            </w:r>
            <w:r>
              <w:rPr>
                <w:rFonts w:hint="eastAsia" w:cs="Times New Roman"/>
                <w:b w:val="0"/>
                <w:bCs/>
                <w:color w:val="auto"/>
                <w:sz w:val="24"/>
                <w:szCs w:val="24"/>
                <w:highlight w:val="none"/>
                <w:vertAlign w:val="superscript"/>
                <w:lang w:val="en-US" w:eastAsia="zh-CN"/>
              </w:rPr>
              <w:t>8</w:t>
            </w:r>
            <w:r>
              <w:rPr>
                <w:rFonts w:hint="default" w:ascii="Times New Roman" w:hAnsi="Times New Roman" w:cs="Times New Roman"/>
                <w:b w:val="0"/>
                <w:bCs w:val="0"/>
                <w:color w:val="auto"/>
                <w:sz w:val="24"/>
                <w:szCs w:val="24"/>
                <w:highlight w:val="none"/>
                <w:lang w:val="en-US" w:eastAsia="zh-CN"/>
              </w:rPr>
              <w:t>m</w:t>
            </w:r>
            <w:r>
              <w:rPr>
                <w:rFonts w:hint="default" w:ascii="Times New Roman" w:hAnsi="Times New Roman" w:cs="Times New Roman"/>
                <w:b w:val="0"/>
                <w:bCs w:val="0"/>
                <w:color w:val="auto"/>
                <w:sz w:val="24"/>
                <w:szCs w:val="24"/>
                <w:highlight w:val="none"/>
                <w:vertAlign w:val="superscript"/>
                <w:lang w:val="en-US" w:eastAsia="zh-CN"/>
              </w:rPr>
              <w:t>3</w:t>
            </w:r>
            <w:r>
              <w:rPr>
                <w:rFonts w:hint="default" w:ascii="Times New Roman" w:hAnsi="Times New Roman" w:cs="Times New Roman"/>
                <w:b w:val="0"/>
                <w:bCs w:val="0"/>
                <w:color w:val="auto"/>
                <w:sz w:val="24"/>
                <w:szCs w:val="24"/>
                <w:highlight w:val="none"/>
                <w:lang w:val="en-US" w:eastAsia="zh-CN"/>
              </w:rPr>
              <w:t>；</w:t>
            </w:r>
          </w:p>
          <w:p>
            <w:pPr>
              <w:pStyle w:val="35"/>
              <w:keepNext w:val="0"/>
              <w:keepLines w:val="0"/>
              <w:pageBreakBefore w:val="0"/>
              <w:widowControl w:val="0"/>
              <w:kinsoku/>
              <w:wordWrap/>
              <w:overflowPunct/>
              <w:topLinePunct w:val="0"/>
              <w:autoSpaceDE/>
              <w:autoSpaceDN/>
              <w:bidi w:val="0"/>
              <w:adjustRightInd/>
              <w:snapToGrid/>
              <w:spacing w:after="0" w:line="360" w:lineRule="auto"/>
              <w:ind w:firstLine="1920" w:firstLineChars="800"/>
              <w:textAlignment w:val="auto"/>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ƞ</w:t>
            </w:r>
            <w:r>
              <w:rPr>
                <w:rFonts w:hint="default" w:ascii="Times New Roman" w:hAnsi="Times New Roman" w:cs="Times New Roman"/>
                <w:b w:val="0"/>
                <w:bCs w:val="0"/>
                <w:color w:val="auto"/>
                <w:sz w:val="24"/>
                <w:szCs w:val="24"/>
                <w:highlight w:val="none"/>
                <w:vertAlign w:val="subscript"/>
                <w:lang w:val="en-US" w:eastAsia="zh-CN"/>
              </w:rPr>
              <w:t>NOX</w:t>
            </w:r>
            <w:r>
              <w:rPr>
                <w:rFonts w:hint="default" w:ascii="Times New Roman" w:hAnsi="Times New Roman" w:cs="Times New Roman"/>
                <w:b w:val="0"/>
                <w:bCs w:val="0"/>
                <w:color w:val="auto"/>
                <w:sz w:val="24"/>
                <w:szCs w:val="24"/>
                <w:highlight w:val="none"/>
                <w:lang w:val="en-US" w:eastAsia="zh-CN"/>
              </w:rPr>
              <w:t>----脱硝效率，</w:t>
            </w:r>
            <w:r>
              <w:rPr>
                <w:rFonts w:hint="eastAsia" w:cs="Times New Roman"/>
                <w:b w:val="0"/>
                <w:bCs w:val="0"/>
                <w:color w:val="auto"/>
                <w:sz w:val="24"/>
                <w:szCs w:val="24"/>
                <w:highlight w:val="none"/>
                <w:lang w:val="en-US" w:eastAsia="zh-CN"/>
              </w:rPr>
              <w:t>50%</w:t>
            </w:r>
            <w:r>
              <w:rPr>
                <w:rFonts w:hint="default" w:ascii="Times New Roman" w:hAnsi="Times New Roman" w:cs="Times New Roman"/>
                <w:b w:val="0"/>
                <w:bCs w:val="0"/>
                <w:color w:val="auto"/>
                <w:sz w:val="24"/>
                <w:szCs w:val="24"/>
                <w:highlight w:val="none"/>
                <w:lang w:val="en-US" w:eastAsia="zh-CN"/>
              </w:rPr>
              <w:t>。</w:t>
            </w:r>
          </w:p>
          <w:p>
            <w:pPr>
              <w:keepNext w:val="0"/>
              <w:keepLines w:val="0"/>
              <w:pageBreakBefore w:val="0"/>
              <w:widowControl w:val="0"/>
              <w:numPr>
                <w:ilvl w:val="0"/>
                <w:numId w:val="3"/>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val="0"/>
                <w:color w:val="FF0000"/>
                <w:sz w:val="24"/>
                <w:szCs w:val="28"/>
                <w:highlight w:val="none"/>
                <w:lang w:eastAsia="zh-CN"/>
              </w:rPr>
            </w:pPr>
            <w:r>
              <w:rPr>
                <w:rFonts w:hint="eastAsia" w:cs="Times New Roman"/>
                <w:bCs w:val="0"/>
                <w:color w:val="FF0000"/>
                <w:sz w:val="24"/>
                <w:szCs w:val="28"/>
                <w:highlight w:val="none"/>
                <w:lang w:eastAsia="zh-CN"/>
              </w:rPr>
              <w:t>汞及其化合物</w:t>
            </w:r>
            <w:r>
              <w:rPr>
                <w:rFonts w:hint="default" w:ascii="Times New Roman" w:hAnsi="Times New Roman" w:cs="Times New Roman"/>
                <w:bCs w:val="0"/>
                <w:color w:val="FF0000"/>
                <w:sz w:val="24"/>
                <w:szCs w:val="28"/>
                <w:highlight w:val="none"/>
                <w:lang w:eastAsia="zh-CN"/>
              </w:rPr>
              <w:t>排放量</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20" w:firstLineChars="200"/>
              <w:textAlignment w:val="auto"/>
              <w:rPr>
                <w:rFonts w:hint="default" w:ascii="Times New Roman" w:hAnsi="Times New Roman" w:cs="Times New Roman"/>
                <w:color w:val="FF0000"/>
                <w:highlight w:val="none"/>
              </w:rPr>
            </w:pPr>
            <w:r>
              <w:rPr>
                <w:rFonts w:hint="eastAsia"/>
                <w:color w:val="FF0000"/>
                <w:lang w:val="en-US" w:eastAsia="zh-CN"/>
              </w:rPr>
              <w:t xml:space="preserve">                  </w:t>
            </w:r>
            <w:r>
              <w:rPr>
                <w:color w:val="FF0000"/>
              </w:rPr>
              <w:drawing>
                <wp:inline distT="0" distB="0" distL="114300" distR="114300">
                  <wp:extent cx="2600325" cy="485775"/>
                  <wp:effectExtent l="0" t="0" r="9525" b="9525"/>
                  <wp:docPr id="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2"/>
                          <pic:cNvPicPr>
                            <a:picLocks noChangeAspect="1"/>
                          </pic:cNvPicPr>
                        </pic:nvPicPr>
                        <pic:blipFill>
                          <a:blip r:embed="rId25"/>
                          <a:stretch>
                            <a:fillRect/>
                          </a:stretch>
                        </pic:blipFill>
                        <pic:spPr>
                          <a:xfrm>
                            <a:off x="0" y="0"/>
                            <a:ext cx="2600325" cy="485775"/>
                          </a:xfrm>
                          <a:prstGeom prst="rect">
                            <a:avLst/>
                          </a:prstGeom>
                          <a:noFill/>
                          <a:ln>
                            <a:noFill/>
                          </a:ln>
                        </pic:spPr>
                      </pic:pic>
                    </a:graphicData>
                  </a:graphic>
                </wp:inline>
              </w:drawing>
            </w:r>
          </w:p>
          <w:p>
            <w:pPr>
              <w:pStyle w:val="35"/>
              <w:keepNext w:val="0"/>
              <w:keepLines w:val="0"/>
              <w:pageBreakBefore w:val="0"/>
              <w:widowControl w:val="0"/>
              <w:kinsoku/>
              <w:wordWrap/>
              <w:overflowPunct/>
              <w:topLinePunct w:val="0"/>
              <w:autoSpaceDE/>
              <w:autoSpaceDN/>
              <w:bidi w:val="0"/>
              <w:adjustRightInd/>
              <w:snapToGrid/>
              <w:spacing w:after="0" w:line="360" w:lineRule="auto"/>
              <w:ind w:firstLine="1200" w:firstLineChars="500"/>
              <w:textAlignment w:val="auto"/>
              <w:rPr>
                <w:rFonts w:hint="default" w:ascii="Times New Roman" w:hAnsi="Times New Roman" w:cs="Times New Roman"/>
                <w:b w:val="0"/>
                <w:bCs w:val="0"/>
                <w:color w:val="FF0000"/>
                <w:sz w:val="24"/>
                <w:szCs w:val="24"/>
                <w:highlight w:val="none"/>
                <w:lang w:val="en-US" w:eastAsia="zh-CN"/>
              </w:rPr>
            </w:pPr>
            <w:r>
              <w:rPr>
                <w:rFonts w:hint="default" w:ascii="Times New Roman" w:hAnsi="Times New Roman" w:cs="Times New Roman"/>
                <w:b w:val="0"/>
                <w:bCs w:val="0"/>
                <w:color w:val="FF0000"/>
                <w:sz w:val="24"/>
                <w:szCs w:val="24"/>
                <w:highlight w:val="none"/>
                <w:lang w:eastAsia="zh-CN"/>
              </w:rPr>
              <w:t>式中：</w:t>
            </w:r>
            <w:r>
              <w:rPr>
                <w:rFonts w:hint="default" w:ascii="Times New Roman" w:hAnsi="Times New Roman" w:cs="Times New Roman"/>
                <w:b w:val="0"/>
                <w:bCs w:val="0"/>
                <w:color w:val="FF0000"/>
                <w:sz w:val="24"/>
                <w:szCs w:val="24"/>
                <w:highlight w:val="none"/>
                <w:lang w:val="en-US" w:eastAsia="zh-CN"/>
              </w:rPr>
              <w:t>E</w:t>
            </w:r>
            <w:r>
              <w:rPr>
                <w:rFonts w:hint="eastAsia" w:cs="Times New Roman"/>
                <w:b w:val="0"/>
                <w:bCs w:val="0"/>
                <w:color w:val="FF0000"/>
                <w:sz w:val="24"/>
                <w:szCs w:val="24"/>
                <w:highlight w:val="none"/>
                <w:vertAlign w:val="subscript"/>
                <w:lang w:val="en-US" w:eastAsia="zh-CN"/>
              </w:rPr>
              <w:t>Hg</w:t>
            </w:r>
            <w:r>
              <w:rPr>
                <w:rFonts w:hint="default" w:ascii="Times New Roman" w:hAnsi="Times New Roman" w:cs="Times New Roman"/>
                <w:b w:val="0"/>
                <w:bCs w:val="0"/>
                <w:color w:val="FF0000"/>
                <w:sz w:val="24"/>
                <w:szCs w:val="24"/>
                <w:highlight w:val="none"/>
                <w:lang w:val="en-US" w:eastAsia="zh-CN"/>
              </w:rPr>
              <w:t>----核算时段内</w:t>
            </w:r>
            <w:r>
              <w:rPr>
                <w:rFonts w:hint="eastAsia" w:cs="Times New Roman"/>
                <w:b w:val="0"/>
                <w:bCs w:val="0"/>
                <w:color w:val="FF0000"/>
                <w:sz w:val="24"/>
                <w:szCs w:val="24"/>
                <w:highlight w:val="none"/>
                <w:lang w:val="en-US" w:eastAsia="zh-CN"/>
              </w:rPr>
              <w:t>汞及其</w:t>
            </w:r>
            <w:r>
              <w:rPr>
                <w:rFonts w:hint="default" w:ascii="Times New Roman" w:hAnsi="Times New Roman" w:cs="Times New Roman"/>
                <w:b w:val="0"/>
                <w:bCs w:val="0"/>
                <w:color w:val="FF0000"/>
                <w:sz w:val="24"/>
                <w:szCs w:val="24"/>
                <w:highlight w:val="none"/>
                <w:lang w:val="en-US" w:eastAsia="zh-CN"/>
              </w:rPr>
              <w:t>化</w:t>
            </w:r>
            <w:r>
              <w:rPr>
                <w:rFonts w:hint="eastAsia" w:cs="Times New Roman"/>
                <w:b w:val="0"/>
                <w:bCs w:val="0"/>
                <w:color w:val="FF0000"/>
                <w:sz w:val="24"/>
                <w:szCs w:val="24"/>
                <w:highlight w:val="none"/>
                <w:lang w:val="en-US" w:eastAsia="zh-CN"/>
              </w:rPr>
              <w:t>合</w:t>
            </w:r>
            <w:r>
              <w:rPr>
                <w:rFonts w:hint="default" w:ascii="Times New Roman" w:hAnsi="Times New Roman" w:cs="Times New Roman"/>
                <w:b w:val="0"/>
                <w:bCs w:val="0"/>
                <w:color w:val="FF0000"/>
                <w:sz w:val="24"/>
                <w:szCs w:val="24"/>
                <w:highlight w:val="none"/>
                <w:lang w:val="en-US" w:eastAsia="zh-CN"/>
              </w:rPr>
              <w:t>物排放量，t；</w:t>
            </w:r>
          </w:p>
          <w:p>
            <w:pPr>
              <w:pStyle w:val="35"/>
              <w:keepNext w:val="0"/>
              <w:keepLines w:val="0"/>
              <w:pageBreakBefore w:val="0"/>
              <w:widowControl w:val="0"/>
              <w:kinsoku/>
              <w:wordWrap/>
              <w:overflowPunct/>
              <w:topLinePunct w:val="0"/>
              <w:autoSpaceDE/>
              <w:autoSpaceDN/>
              <w:bidi w:val="0"/>
              <w:adjustRightInd/>
              <w:snapToGrid/>
              <w:spacing w:after="0" w:line="360" w:lineRule="auto"/>
              <w:ind w:firstLine="1920" w:firstLineChars="800"/>
              <w:textAlignment w:val="auto"/>
              <w:rPr>
                <w:rFonts w:hint="default" w:ascii="Times New Roman" w:hAnsi="Times New Roman" w:cs="Times New Roman"/>
                <w:b w:val="0"/>
                <w:bCs w:val="0"/>
                <w:color w:val="FF0000"/>
                <w:sz w:val="24"/>
                <w:szCs w:val="24"/>
                <w:highlight w:val="none"/>
                <w:lang w:val="en-US" w:eastAsia="zh-CN"/>
              </w:rPr>
            </w:pPr>
            <w:r>
              <w:rPr>
                <w:rFonts w:hint="default" w:ascii="Times New Roman" w:hAnsi="Times New Roman" w:eastAsia="宋体" w:cs="Times New Roman"/>
                <w:b w:val="0"/>
                <w:bCs w:val="0"/>
                <w:color w:val="FF0000"/>
                <w:kern w:val="2"/>
                <w:sz w:val="24"/>
                <w:szCs w:val="24"/>
                <w:highlight w:val="none"/>
                <w:lang w:val="en-US" w:eastAsia="zh-CN" w:bidi="ar-SA"/>
              </w:rPr>
              <w:t>R----核算时段内锅炉燃料耗量，</w:t>
            </w:r>
            <w:r>
              <w:rPr>
                <w:rFonts w:hint="eastAsia" w:cs="Times New Roman"/>
                <w:bCs/>
                <w:color w:val="FF0000"/>
                <w:sz w:val="24"/>
                <w:szCs w:val="24"/>
                <w:highlight w:val="none"/>
                <w:lang w:val="en-US" w:eastAsia="zh-CN"/>
              </w:rPr>
              <w:t>15000</w:t>
            </w:r>
            <w:r>
              <w:rPr>
                <w:rFonts w:hint="default" w:ascii="Times New Roman" w:hAnsi="Times New Roman" w:eastAsia="宋体" w:cs="Times New Roman"/>
                <w:b w:val="0"/>
                <w:bCs w:val="0"/>
                <w:color w:val="FF0000"/>
                <w:kern w:val="2"/>
                <w:sz w:val="24"/>
                <w:szCs w:val="24"/>
                <w:highlight w:val="none"/>
                <w:lang w:val="en-US" w:eastAsia="zh-CN" w:bidi="ar-SA"/>
              </w:rPr>
              <w:t>t；</w:t>
            </w:r>
          </w:p>
          <w:p>
            <w:pPr>
              <w:pStyle w:val="35"/>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1920" w:firstLineChars="800"/>
              <w:textAlignment w:val="auto"/>
              <w:rPr>
                <w:rFonts w:hint="default" w:ascii="Times New Roman" w:hAnsi="Times New Roman" w:cs="Times New Roman"/>
                <w:b w:val="0"/>
                <w:bCs w:val="0"/>
                <w:color w:val="FF0000"/>
                <w:sz w:val="24"/>
                <w:szCs w:val="24"/>
                <w:highlight w:val="none"/>
                <w:lang w:val="en-US" w:eastAsia="zh-CN"/>
              </w:rPr>
            </w:pPr>
            <w:r>
              <w:rPr>
                <w:rFonts w:hint="eastAsia" w:cs="Times New Roman"/>
                <w:b w:val="0"/>
                <w:bCs w:val="0"/>
                <w:color w:val="FF0000"/>
                <w:sz w:val="24"/>
                <w:szCs w:val="24"/>
                <w:highlight w:val="none"/>
                <w:lang w:val="en-US" w:eastAsia="zh-CN"/>
              </w:rPr>
              <w:t>mHgar</w:t>
            </w:r>
            <w:r>
              <w:rPr>
                <w:rFonts w:hint="default" w:ascii="Times New Roman" w:hAnsi="Times New Roman" w:cs="Times New Roman"/>
                <w:b w:val="0"/>
                <w:bCs w:val="0"/>
                <w:color w:val="FF0000"/>
                <w:sz w:val="24"/>
                <w:szCs w:val="24"/>
                <w:highlight w:val="none"/>
                <w:lang w:val="en-US" w:eastAsia="zh-CN"/>
              </w:rPr>
              <w:t>----</w:t>
            </w:r>
            <w:r>
              <w:rPr>
                <w:rFonts w:hint="eastAsia" w:cs="Times New Roman"/>
                <w:b w:val="0"/>
                <w:bCs w:val="0"/>
                <w:color w:val="FF0000"/>
                <w:sz w:val="24"/>
                <w:szCs w:val="24"/>
                <w:highlight w:val="none"/>
                <w:lang w:val="en-US" w:eastAsia="zh-CN"/>
              </w:rPr>
              <w:t>收到基汞含量</w:t>
            </w:r>
            <w:r>
              <w:rPr>
                <w:rFonts w:hint="default" w:ascii="Times New Roman" w:hAnsi="Times New Roman" w:cs="Times New Roman"/>
                <w:b w:val="0"/>
                <w:bCs w:val="0"/>
                <w:color w:val="FF0000"/>
                <w:sz w:val="24"/>
                <w:szCs w:val="24"/>
                <w:highlight w:val="none"/>
                <w:lang w:val="en-US" w:eastAsia="zh-CN"/>
              </w:rPr>
              <w:t>，</w:t>
            </w:r>
            <w:r>
              <w:rPr>
                <w:rFonts w:hint="eastAsia" w:cs="Times New Roman"/>
                <w:b w:val="0"/>
                <w:bCs w:val="0"/>
                <w:color w:val="FF0000"/>
                <w:sz w:val="24"/>
                <w:szCs w:val="24"/>
                <w:highlight w:val="none"/>
                <w:lang w:val="en-US" w:eastAsia="zh-CN"/>
              </w:rPr>
              <w:t>0.2</w:t>
            </w:r>
            <w:r>
              <w:rPr>
                <w:rFonts w:hint="default" w:ascii="Times New Roman" w:hAnsi="Times New Roman" w:eastAsia="宋体" w:cs="Times New Roman"/>
                <w:b w:val="0"/>
                <w:bCs w:val="0"/>
                <w:color w:val="FF0000"/>
                <w:sz w:val="24"/>
                <w:szCs w:val="24"/>
                <w:highlight w:val="none"/>
                <w:lang w:val="en-US" w:eastAsia="zh-CN"/>
              </w:rPr>
              <w:t>μ</w:t>
            </w:r>
            <w:r>
              <w:rPr>
                <w:rFonts w:hint="default" w:ascii="Times New Roman" w:hAnsi="Times New Roman" w:cs="Times New Roman"/>
                <w:b w:val="0"/>
                <w:bCs w:val="0"/>
                <w:color w:val="FF0000"/>
                <w:sz w:val="24"/>
                <w:szCs w:val="24"/>
                <w:highlight w:val="none"/>
                <w:lang w:val="en-US" w:eastAsia="zh-CN"/>
              </w:rPr>
              <w:t>g/</w:t>
            </w:r>
            <w:r>
              <w:rPr>
                <w:rFonts w:hint="eastAsia" w:cs="Times New Roman"/>
                <w:b w:val="0"/>
                <w:bCs w:val="0"/>
                <w:color w:val="FF0000"/>
                <w:sz w:val="24"/>
                <w:szCs w:val="24"/>
                <w:highlight w:val="none"/>
                <w:lang w:val="en-US" w:eastAsia="zh-CN"/>
              </w:rPr>
              <w:t>g</w:t>
            </w:r>
            <w:r>
              <w:rPr>
                <w:rFonts w:hint="default" w:ascii="Times New Roman" w:hAnsi="Times New Roman" w:cs="Times New Roman"/>
                <w:b w:val="0"/>
                <w:bCs w:val="0"/>
                <w:color w:val="FF0000"/>
                <w:sz w:val="24"/>
                <w:szCs w:val="24"/>
                <w:highlight w:val="none"/>
                <w:lang w:val="en-US" w:eastAsia="zh-CN"/>
              </w:rPr>
              <w:t>；</w:t>
            </w:r>
          </w:p>
          <w:p>
            <w:pPr>
              <w:pStyle w:val="35"/>
              <w:keepNext w:val="0"/>
              <w:keepLines w:val="0"/>
              <w:pageBreakBefore w:val="0"/>
              <w:widowControl w:val="0"/>
              <w:kinsoku/>
              <w:wordWrap/>
              <w:overflowPunct/>
              <w:topLinePunct w:val="0"/>
              <w:autoSpaceDE/>
              <w:autoSpaceDN/>
              <w:bidi w:val="0"/>
              <w:adjustRightInd/>
              <w:snapToGrid/>
              <w:spacing w:after="0" w:line="360" w:lineRule="auto"/>
              <w:ind w:firstLine="1920" w:firstLineChars="800"/>
              <w:textAlignment w:val="auto"/>
              <w:rPr>
                <w:rFonts w:hint="default" w:ascii="Times New Roman" w:hAnsi="Times New Roman" w:cs="Times New Roman"/>
                <w:bCs w:val="0"/>
                <w:color w:val="auto"/>
                <w:sz w:val="24"/>
                <w:szCs w:val="28"/>
                <w:highlight w:val="none"/>
              </w:rPr>
            </w:pPr>
            <w:r>
              <w:rPr>
                <w:rFonts w:hint="default" w:ascii="Times New Roman" w:hAnsi="Times New Roman" w:cs="Times New Roman"/>
                <w:b w:val="0"/>
                <w:bCs w:val="0"/>
                <w:color w:val="auto"/>
                <w:sz w:val="24"/>
                <w:szCs w:val="24"/>
                <w:highlight w:val="none"/>
                <w:lang w:val="en-US" w:eastAsia="zh-CN"/>
              </w:rPr>
              <w:t>ƞ</w:t>
            </w:r>
            <w:r>
              <w:rPr>
                <w:rFonts w:hint="eastAsia" w:cs="Times New Roman"/>
                <w:b w:val="0"/>
                <w:bCs w:val="0"/>
                <w:color w:val="auto"/>
                <w:sz w:val="24"/>
                <w:szCs w:val="24"/>
                <w:highlight w:val="none"/>
                <w:vertAlign w:val="subscript"/>
                <w:lang w:val="en-US" w:eastAsia="zh-CN"/>
              </w:rPr>
              <w:t>Hg</w:t>
            </w:r>
            <w:r>
              <w:rPr>
                <w:rFonts w:hint="default" w:ascii="Times New Roman" w:hAnsi="Times New Roman" w:cs="Times New Roman"/>
                <w:b w:val="0"/>
                <w:bCs w:val="0"/>
                <w:color w:val="auto"/>
                <w:sz w:val="24"/>
                <w:szCs w:val="24"/>
                <w:highlight w:val="none"/>
                <w:lang w:val="en-US" w:eastAsia="zh-CN"/>
              </w:rPr>
              <w:t>----</w:t>
            </w:r>
            <w:r>
              <w:rPr>
                <w:rFonts w:hint="eastAsia" w:cs="Times New Roman"/>
                <w:b w:val="0"/>
                <w:bCs w:val="0"/>
                <w:color w:val="auto"/>
                <w:sz w:val="24"/>
                <w:szCs w:val="24"/>
                <w:highlight w:val="none"/>
                <w:lang w:val="en-US" w:eastAsia="zh-CN"/>
              </w:rPr>
              <w:t>汞的协同脱除</w:t>
            </w:r>
            <w:r>
              <w:rPr>
                <w:rFonts w:hint="default" w:ascii="Times New Roman" w:hAnsi="Times New Roman" w:cs="Times New Roman"/>
                <w:b w:val="0"/>
                <w:bCs w:val="0"/>
                <w:color w:val="auto"/>
                <w:sz w:val="24"/>
                <w:szCs w:val="24"/>
                <w:highlight w:val="none"/>
                <w:lang w:val="en-US" w:eastAsia="zh-CN"/>
              </w:rPr>
              <w:t>效率，</w:t>
            </w:r>
            <w:r>
              <w:rPr>
                <w:rFonts w:hint="eastAsia" w:cs="Times New Roman"/>
                <w:b w:val="0"/>
                <w:bCs w:val="0"/>
                <w:color w:val="auto"/>
                <w:sz w:val="24"/>
                <w:szCs w:val="24"/>
                <w:highlight w:val="none"/>
                <w:lang w:val="en-US" w:eastAsia="zh-CN"/>
              </w:rPr>
              <w:t>70%</w:t>
            </w:r>
            <w:r>
              <w:rPr>
                <w:rFonts w:hint="default" w:ascii="Times New Roman" w:hAnsi="Times New Roman" w:cs="Times New Roman"/>
                <w:b w:val="0"/>
                <w:bCs w:val="0"/>
                <w:color w:val="auto"/>
                <w:sz w:val="24"/>
                <w:szCs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val="0"/>
                <w:color w:val="auto"/>
                <w:sz w:val="24"/>
                <w:szCs w:val="28"/>
                <w:highlight w:val="none"/>
              </w:rPr>
            </w:pPr>
            <w:r>
              <w:rPr>
                <w:rFonts w:hint="default" w:ascii="Times New Roman" w:hAnsi="Times New Roman" w:cs="Times New Roman"/>
                <w:bCs w:val="0"/>
                <w:color w:val="auto"/>
                <w:sz w:val="24"/>
                <w:szCs w:val="28"/>
                <w:highlight w:val="none"/>
              </w:rPr>
              <w:t>锅炉烟气</w:t>
            </w:r>
            <w:r>
              <w:rPr>
                <w:rFonts w:hint="eastAsia" w:ascii="Times New Roman" w:hAnsi="Times New Roman" w:cs="Times New Roman"/>
                <w:bCs w:val="0"/>
                <w:color w:val="auto"/>
                <w:sz w:val="24"/>
                <w:szCs w:val="28"/>
                <w:highlight w:val="none"/>
                <w:lang w:eastAsia="zh-CN"/>
              </w:rPr>
              <w:t>先通过</w:t>
            </w:r>
            <w:r>
              <w:rPr>
                <w:rFonts w:hint="eastAsia" w:cs="Times New Roman"/>
                <w:bCs w:val="0"/>
                <w:color w:val="auto"/>
                <w:sz w:val="24"/>
                <w:szCs w:val="28"/>
                <w:highlight w:val="none"/>
                <w:lang w:eastAsia="zh-CN"/>
              </w:rPr>
              <w:t>脱硫脱硝措施</w:t>
            </w:r>
            <w:r>
              <w:rPr>
                <w:rFonts w:hint="eastAsia" w:ascii="Times New Roman" w:hAnsi="Times New Roman" w:cs="Times New Roman"/>
                <w:bCs w:val="0"/>
                <w:color w:val="auto"/>
                <w:sz w:val="24"/>
                <w:szCs w:val="28"/>
                <w:highlight w:val="none"/>
                <w:lang w:eastAsia="zh-CN"/>
              </w:rPr>
              <w:t>处理后</w:t>
            </w:r>
            <w:r>
              <w:rPr>
                <w:rFonts w:hint="default" w:ascii="Times New Roman" w:hAnsi="Times New Roman" w:cs="Times New Roman"/>
                <w:bCs w:val="0"/>
                <w:color w:val="auto"/>
                <w:sz w:val="24"/>
                <w:szCs w:val="28"/>
                <w:highlight w:val="none"/>
              </w:rPr>
              <w:t>经过除尘率</w:t>
            </w:r>
            <w:r>
              <w:rPr>
                <w:rFonts w:hint="default" w:ascii="Times New Roman" w:hAnsi="Times New Roman" w:cs="Times New Roman"/>
                <w:bCs w:val="0"/>
                <w:color w:val="auto"/>
                <w:sz w:val="24"/>
                <w:szCs w:val="28"/>
                <w:highlight w:val="none"/>
                <w:lang w:val="en-US" w:eastAsia="zh-CN"/>
              </w:rPr>
              <w:t>9</w:t>
            </w:r>
            <w:r>
              <w:rPr>
                <w:rFonts w:hint="eastAsia" w:cs="Times New Roman"/>
                <w:bCs w:val="0"/>
                <w:color w:val="auto"/>
                <w:sz w:val="24"/>
                <w:szCs w:val="28"/>
                <w:highlight w:val="none"/>
                <w:lang w:val="en-US" w:eastAsia="zh-CN"/>
              </w:rPr>
              <w:t>9.9</w:t>
            </w:r>
            <w:r>
              <w:rPr>
                <w:rFonts w:hint="default" w:ascii="Times New Roman" w:hAnsi="Times New Roman" w:cs="Times New Roman"/>
                <w:bCs w:val="0"/>
                <w:color w:val="auto"/>
                <w:sz w:val="24"/>
                <w:szCs w:val="28"/>
                <w:highlight w:val="none"/>
              </w:rPr>
              <w:t>%的</w:t>
            </w:r>
            <w:r>
              <w:rPr>
                <w:rFonts w:hint="eastAsia" w:cs="Times New Roman"/>
                <w:bCs w:val="0"/>
                <w:color w:val="auto"/>
                <w:sz w:val="24"/>
                <w:szCs w:val="28"/>
                <w:highlight w:val="none"/>
                <w:lang w:eastAsia="zh-CN"/>
              </w:rPr>
              <w:t>干式除尘器</w:t>
            </w:r>
            <w:r>
              <w:rPr>
                <w:rFonts w:hint="eastAsia" w:cs="Times New Roman"/>
                <w:bCs w:val="0"/>
                <w:color w:val="auto"/>
                <w:sz w:val="24"/>
                <w:szCs w:val="28"/>
                <w:highlight w:val="none"/>
                <w:lang w:val="en-US" w:eastAsia="zh-CN"/>
              </w:rPr>
              <w:t>+</w:t>
            </w:r>
            <w:r>
              <w:rPr>
                <w:rFonts w:hint="default" w:ascii="Times New Roman" w:hAnsi="Times New Roman" w:cs="Times New Roman"/>
                <w:bCs w:val="0"/>
                <w:color w:val="auto"/>
                <w:sz w:val="24"/>
                <w:szCs w:val="28"/>
                <w:highlight w:val="none"/>
              </w:rPr>
              <w:t>布袋除尘器</w:t>
            </w:r>
            <w:r>
              <w:rPr>
                <w:rFonts w:hint="eastAsia" w:ascii="Times New Roman" w:hAnsi="Times New Roman" w:cs="Times New Roman"/>
                <w:bCs w:val="0"/>
                <w:color w:val="auto"/>
                <w:sz w:val="24"/>
                <w:szCs w:val="28"/>
                <w:highlight w:val="none"/>
                <w:lang w:eastAsia="zh-CN"/>
              </w:rPr>
              <w:t>进行</w:t>
            </w:r>
            <w:r>
              <w:rPr>
                <w:rFonts w:hint="default" w:ascii="Times New Roman" w:hAnsi="Times New Roman" w:cs="Times New Roman"/>
                <w:bCs w:val="0"/>
                <w:color w:val="auto"/>
                <w:sz w:val="24"/>
                <w:szCs w:val="28"/>
                <w:highlight w:val="none"/>
              </w:rPr>
              <w:t>处理，</w:t>
            </w:r>
            <w:r>
              <w:rPr>
                <w:rFonts w:hint="eastAsia" w:ascii="Times New Roman" w:hAnsi="Times New Roman" w:cs="Times New Roman"/>
                <w:bCs w:val="0"/>
                <w:color w:val="auto"/>
                <w:sz w:val="24"/>
                <w:szCs w:val="28"/>
                <w:highlight w:val="none"/>
                <w:lang w:eastAsia="zh-CN"/>
              </w:rPr>
              <w:t>最后</w:t>
            </w:r>
            <w:r>
              <w:rPr>
                <w:rFonts w:hint="default" w:ascii="Times New Roman" w:hAnsi="Times New Roman" w:cs="Times New Roman"/>
                <w:bCs/>
                <w:color w:val="auto"/>
                <w:sz w:val="24"/>
                <w:szCs w:val="28"/>
                <w:highlight w:val="none"/>
              </w:rPr>
              <w:t>由</w:t>
            </w:r>
            <w:r>
              <w:rPr>
                <w:rFonts w:hint="eastAsia" w:cs="Times New Roman"/>
                <w:bCs/>
                <w:color w:val="auto"/>
                <w:sz w:val="24"/>
                <w:szCs w:val="28"/>
                <w:highlight w:val="none"/>
                <w:lang w:val="en-US" w:eastAsia="zh-CN"/>
              </w:rPr>
              <w:t>60</w:t>
            </w:r>
            <w:r>
              <w:rPr>
                <w:rFonts w:hint="default" w:ascii="Times New Roman" w:hAnsi="Times New Roman" w:cs="Times New Roman"/>
                <w:bCs/>
                <w:color w:val="auto"/>
                <w:sz w:val="24"/>
                <w:szCs w:val="28"/>
                <w:highlight w:val="none"/>
              </w:rPr>
              <w:t>m高</w:t>
            </w:r>
            <w:r>
              <w:rPr>
                <w:rFonts w:hint="eastAsia" w:cs="Times New Roman"/>
                <w:bCs/>
                <w:color w:val="auto"/>
                <w:sz w:val="24"/>
                <w:szCs w:val="28"/>
                <w:highlight w:val="none"/>
                <w:lang w:eastAsia="zh-CN"/>
              </w:rPr>
              <w:t>烟囱</w:t>
            </w:r>
            <w:r>
              <w:rPr>
                <w:rFonts w:hint="default" w:ascii="Times New Roman" w:hAnsi="Times New Roman" w:cs="Times New Roman"/>
                <w:bCs/>
                <w:color w:val="auto"/>
                <w:sz w:val="24"/>
                <w:szCs w:val="28"/>
                <w:highlight w:val="none"/>
              </w:rPr>
              <w:t>排放。</w:t>
            </w:r>
            <w:r>
              <w:rPr>
                <w:rFonts w:hint="default" w:ascii="Times New Roman" w:hAnsi="Times New Roman" w:cs="Times New Roman"/>
                <w:bCs w:val="0"/>
                <w:color w:val="auto"/>
                <w:sz w:val="24"/>
                <w:szCs w:val="28"/>
                <w:highlight w:val="none"/>
              </w:rPr>
              <w:t>大气污染物排放总量为：SO</w:t>
            </w:r>
            <w:r>
              <w:rPr>
                <w:rFonts w:hint="default" w:ascii="Times New Roman" w:hAnsi="Times New Roman" w:cs="Times New Roman"/>
                <w:bCs w:val="0"/>
                <w:color w:val="auto"/>
                <w:sz w:val="24"/>
                <w:szCs w:val="28"/>
                <w:highlight w:val="none"/>
                <w:vertAlign w:val="subscript"/>
              </w:rPr>
              <w:t>2</w:t>
            </w:r>
            <w:r>
              <w:rPr>
                <w:rFonts w:hint="eastAsia" w:cs="Times New Roman"/>
                <w:bCs w:val="0"/>
                <w:color w:val="auto"/>
                <w:sz w:val="24"/>
                <w:szCs w:val="28"/>
                <w:highlight w:val="none"/>
                <w:lang w:val="en-US" w:eastAsia="zh-CN"/>
              </w:rPr>
              <w:t>9.874</w:t>
            </w:r>
            <w:r>
              <w:rPr>
                <w:rFonts w:hint="default" w:ascii="Times New Roman" w:hAnsi="Times New Roman" w:cs="Times New Roman"/>
                <w:bCs w:val="0"/>
                <w:color w:val="auto"/>
                <w:sz w:val="24"/>
                <w:szCs w:val="28"/>
                <w:highlight w:val="none"/>
              </w:rPr>
              <w:t>t/a，颗粒物</w:t>
            </w:r>
            <w:r>
              <w:rPr>
                <w:rFonts w:hint="eastAsia" w:cs="Times New Roman"/>
                <w:bCs w:val="0"/>
                <w:color w:val="auto"/>
                <w:sz w:val="24"/>
                <w:szCs w:val="28"/>
                <w:highlight w:val="none"/>
                <w:lang w:val="en-US" w:eastAsia="zh-CN"/>
              </w:rPr>
              <w:t>1.457</w:t>
            </w:r>
            <w:r>
              <w:rPr>
                <w:rFonts w:hint="default" w:ascii="Times New Roman" w:hAnsi="Times New Roman" w:cs="Times New Roman"/>
                <w:bCs w:val="0"/>
                <w:color w:val="auto"/>
                <w:sz w:val="24"/>
                <w:szCs w:val="28"/>
                <w:highlight w:val="none"/>
              </w:rPr>
              <w:t>t/a，NO</w:t>
            </w:r>
            <w:r>
              <w:rPr>
                <w:rFonts w:hint="default" w:ascii="Times New Roman" w:hAnsi="Times New Roman" w:cs="Times New Roman"/>
                <w:bCs w:val="0"/>
                <w:color w:val="auto"/>
                <w:sz w:val="24"/>
                <w:szCs w:val="28"/>
                <w:highlight w:val="none"/>
                <w:vertAlign w:val="subscript"/>
              </w:rPr>
              <w:t>x</w:t>
            </w:r>
            <w:r>
              <w:rPr>
                <w:rFonts w:hint="eastAsia" w:ascii="Times New Roman" w:hAnsi="Times New Roman" w:cs="Times New Roman"/>
                <w:bCs w:val="0"/>
                <w:color w:val="auto"/>
                <w:sz w:val="24"/>
                <w:szCs w:val="28"/>
                <w:highlight w:val="none"/>
                <w:vertAlign w:val="baseline"/>
                <w:lang w:val="en-US" w:eastAsia="zh-CN"/>
              </w:rPr>
              <w:t>1</w:t>
            </w:r>
            <w:r>
              <w:rPr>
                <w:rFonts w:hint="eastAsia" w:cs="Times New Roman"/>
                <w:bCs w:val="0"/>
                <w:color w:val="auto"/>
                <w:sz w:val="24"/>
                <w:szCs w:val="28"/>
                <w:highlight w:val="none"/>
                <w:vertAlign w:val="baseline"/>
                <w:lang w:val="en-US" w:eastAsia="zh-CN"/>
              </w:rPr>
              <w:t>1.07</w:t>
            </w:r>
            <w:r>
              <w:rPr>
                <w:rFonts w:hint="default" w:ascii="Times New Roman" w:hAnsi="Times New Roman" w:cs="Times New Roman"/>
                <w:bCs w:val="0"/>
                <w:color w:val="auto"/>
                <w:sz w:val="24"/>
                <w:szCs w:val="28"/>
                <w:highlight w:val="none"/>
              </w:rPr>
              <w:t>t/a</w:t>
            </w:r>
            <w:r>
              <w:rPr>
                <w:rFonts w:hint="eastAsia" w:cs="Times New Roman"/>
                <w:bCs w:val="0"/>
                <w:color w:val="auto"/>
                <w:sz w:val="24"/>
                <w:szCs w:val="28"/>
                <w:highlight w:val="none"/>
                <w:lang w:eastAsia="zh-CN"/>
              </w:rPr>
              <w:t>，汞及其化合物</w:t>
            </w:r>
            <w:r>
              <w:rPr>
                <w:rFonts w:hint="eastAsia" w:cs="Times New Roman"/>
                <w:bCs w:val="0"/>
                <w:color w:val="auto"/>
                <w:sz w:val="24"/>
                <w:szCs w:val="28"/>
                <w:highlight w:val="none"/>
                <w:lang w:val="en-US" w:eastAsia="zh-CN"/>
              </w:rPr>
              <w:t>0.0009t/a</w:t>
            </w:r>
            <w:r>
              <w:rPr>
                <w:rFonts w:hint="default" w:ascii="Times New Roman" w:hAnsi="Times New Roman" w:cs="Times New Roman"/>
                <w:bCs w:val="0"/>
                <w:color w:val="auto"/>
                <w:sz w:val="24"/>
                <w:szCs w:val="28"/>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bCs w:val="0"/>
                <w:color w:val="auto"/>
                <w:kern w:val="0"/>
                <w:sz w:val="24"/>
                <w:szCs w:val="20"/>
                <w:highlight w:val="none"/>
              </w:rPr>
            </w:pPr>
            <w:r>
              <w:rPr>
                <w:rFonts w:hint="default" w:ascii="Times New Roman" w:hAnsi="Times New Roman" w:cs="Times New Roman"/>
                <w:b/>
                <w:bCs w:val="0"/>
                <w:color w:val="auto"/>
                <w:kern w:val="0"/>
                <w:sz w:val="24"/>
                <w:szCs w:val="20"/>
                <w:highlight w:val="none"/>
              </w:rPr>
              <w:t>表5-</w:t>
            </w:r>
            <w:r>
              <w:rPr>
                <w:rFonts w:hint="eastAsia" w:ascii="Times New Roman" w:hAnsi="Times New Roman" w:cs="Times New Roman"/>
                <w:b/>
                <w:bCs w:val="0"/>
                <w:color w:val="auto"/>
                <w:kern w:val="0"/>
                <w:sz w:val="24"/>
                <w:szCs w:val="20"/>
                <w:highlight w:val="none"/>
                <w:lang w:val="en-US" w:eastAsia="zh-CN"/>
              </w:rPr>
              <w:t>2</w:t>
            </w:r>
            <w:r>
              <w:rPr>
                <w:rFonts w:hint="default" w:ascii="Times New Roman" w:hAnsi="Times New Roman" w:cs="Times New Roman"/>
                <w:b/>
                <w:bCs w:val="0"/>
                <w:color w:val="auto"/>
                <w:kern w:val="0"/>
                <w:sz w:val="24"/>
                <w:szCs w:val="20"/>
                <w:highlight w:val="none"/>
              </w:rPr>
              <w:t xml:space="preserve">   废气污染源源强核算结果及相关参数一览表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25"/>
              <w:gridCol w:w="697"/>
              <w:gridCol w:w="407"/>
              <w:gridCol w:w="661"/>
              <w:gridCol w:w="675"/>
              <w:gridCol w:w="625"/>
              <w:gridCol w:w="795"/>
              <w:gridCol w:w="565"/>
              <w:gridCol w:w="408"/>
              <w:gridCol w:w="983"/>
              <w:gridCol w:w="743"/>
              <w:gridCol w:w="738"/>
              <w:gridCol w:w="58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vMerge w:val="restart"/>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kern w:val="0"/>
                      <w:sz w:val="21"/>
                      <w:szCs w:val="21"/>
                      <w:highlight w:val="none"/>
                    </w:rPr>
                    <w:t>污染源</w:t>
                  </w:r>
                </w:p>
              </w:tc>
              <w:tc>
                <w:tcPr>
                  <w:tcW w:w="697" w:type="dxa"/>
                  <w:vMerge w:val="restart"/>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kern w:val="0"/>
                      <w:sz w:val="21"/>
                      <w:szCs w:val="21"/>
                      <w:highlight w:val="none"/>
                    </w:rPr>
                    <w:t>污染物</w:t>
                  </w:r>
                </w:p>
              </w:tc>
              <w:tc>
                <w:tcPr>
                  <w:tcW w:w="2368" w:type="dxa"/>
                  <w:gridSpan w:val="4"/>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kern w:val="0"/>
                      <w:sz w:val="21"/>
                      <w:szCs w:val="21"/>
                      <w:highlight w:val="none"/>
                    </w:rPr>
                    <w:t>污染物产生</w:t>
                  </w:r>
                </w:p>
              </w:tc>
              <w:tc>
                <w:tcPr>
                  <w:tcW w:w="1360" w:type="dxa"/>
                  <w:gridSpan w:val="2"/>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kern w:val="0"/>
                      <w:sz w:val="21"/>
                      <w:szCs w:val="21"/>
                      <w:highlight w:val="none"/>
                    </w:rPr>
                    <w:t>治理措施</w:t>
                  </w:r>
                </w:p>
              </w:tc>
              <w:tc>
                <w:tcPr>
                  <w:tcW w:w="2872" w:type="dxa"/>
                  <w:gridSpan w:val="4"/>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kern w:val="0"/>
                      <w:sz w:val="21"/>
                      <w:szCs w:val="21"/>
                      <w:highlight w:val="none"/>
                    </w:rPr>
                    <w:t>污染物排放</w:t>
                  </w:r>
                </w:p>
              </w:tc>
              <w:tc>
                <w:tcPr>
                  <w:tcW w:w="582" w:type="dxa"/>
                  <w:vMerge w:val="restart"/>
                  <w:tcBorders>
                    <w:tl2br w:val="nil"/>
                    <w:tr2bl w:val="nil"/>
                  </w:tcBorders>
                  <w:noWrap w:val="0"/>
                  <w:vAlign w:val="center"/>
                </w:tcPr>
                <w:p>
                  <w:pPr>
                    <w:jc w:val="center"/>
                    <w:rPr>
                      <w:rFonts w:hint="default" w:ascii="Times New Roman" w:hAnsi="Times New Roman" w:cs="Times New Roman"/>
                      <w:bCs w:val="0"/>
                      <w:color w:val="FF0000"/>
                      <w:kern w:val="0"/>
                      <w:sz w:val="21"/>
                      <w:szCs w:val="21"/>
                      <w:highlight w:val="none"/>
                    </w:rPr>
                  </w:pPr>
                  <w:r>
                    <w:rPr>
                      <w:rFonts w:hint="default" w:ascii="Times New Roman" w:hAnsi="Times New Roman" w:cs="Times New Roman"/>
                      <w:bCs w:val="0"/>
                      <w:color w:val="FF0000"/>
                      <w:kern w:val="0"/>
                      <w:sz w:val="21"/>
                      <w:szCs w:val="21"/>
                      <w:highlight w:val="none"/>
                    </w:rPr>
                    <w:t>排放时间h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vMerge w:val="continue"/>
                  <w:tcBorders>
                    <w:tl2br w:val="nil"/>
                    <w:tr2bl w:val="nil"/>
                  </w:tcBorders>
                  <w:noWrap w:val="0"/>
                  <w:vAlign w:val="center"/>
                </w:tcPr>
                <w:p>
                  <w:pPr>
                    <w:widowControl/>
                    <w:jc w:val="center"/>
                    <w:rPr>
                      <w:rFonts w:hint="default" w:ascii="Times New Roman" w:hAnsi="Times New Roman" w:cs="Times New Roman"/>
                      <w:bCs w:val="0"/>
                      <w:color w:val="FF0000"/>
                      <w:sz w:val="21"/>
                      <w:szCs w:val="21"/>
                      <w:highlight w:val="none"/>
                    </w:rPr>
                  </w:pPr>
                </w:p>
              </w:tc>
              <w:tc>
                <w:tcPr>
                  <w:tcW w:w="697" w:type="dxa"/>
                  <w:vMerge w:val="continue"/>
                  <w:tcBorders>
                    <w:tl2br w:val="nil"/>
                    <w:tr2bl w:val="nil"/>
                  </w:tcBorders>
                  <w:noWrap w:val="0"/>
                  <w:vAlign w:val="center"/>
                </w:tcPr>
                <w:p>
                  <w:pPr>
                    <w:widowControl/>
                    <w:jc w:val="center"/>
                    <w:rPr>
                      <w:rFonts w:hint="default" w:ascii="Times New Roman" w:hAnsi="Times New Roman" w:cs="Times New Roman"/>
                      <w:bCs w:val="0"/>
                      <w:color w:val="FF0000"/>
                      <w:sz w:val="21"/>
                      <w:szCs w:val="21"/>
                      <w:highlight w:val="none"/>
                    </w:rPr>
                  </w:pPr>
                </w:p>
              </w:tc>
              <w:tc>
                <w:tcPr>
                  <w:tcW w:w="407" w:type="dxa"/>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kern w:val="0"/>
                      <w:sz w:val="21"/>
                      <w:szCs w:val="21"/>
                      <w:highlight w:val="none"/>
                    </w:rPr>
                    <w:t>核算方法</w:t>
                  </w:r>
                </w:p>
              </w:tc>
              <w:tc>
                <w:tcPr>
                  <w:tcW w:w="661"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default" w:ascii="Times New Roman" w:hAnsi="Times New Roman" w:cs="Times New Roman"/>
                      <w:bCs w:val="0"/>
                      <w:color w:val="FF0000"/>
                      <w:kern w:val="0"/>
                      <w:sz w:val="21"/>
                      <w:szCs w:val="21"/>
                      <w:highlight w:val="none"/>
                    </w:rPr>
                    <w:t>废气量m</w:t>
                  </w:r>
                  <w:r>
                    <w:rPr>
                      <w:rFonts w:hint="default" w:ascii="Times New Roman" w:hAnsi="Times New Roman" w:cs="Times New Roman"/>
                      <w:bCs w:val="0"/>
                      <w:color w:val="FF0000"/>
                      <w:kern w:val="0"/>
                      <w:sz w:val="21"/>
                      <w:szCs w:val="21"/>
                      <w:highlight w:val="none"/>
                      <w:vertAlign w:val="superscript"/>
                    </w:rPr>
                    <w:t>3</w:t>
                  </w:r>
                  <w:r>
                    <w:rPr>
                      <w:rFonts w:hint="default" w:ascii="Times New Roman" w:hAnsi="Times New Roman" w:cs="Times New Roman"/>
                      <w:bCs w:val="0"/>
                      <w:color w:val="FF0000"/>
                      <w:kern w:val="0"/>
                      <w:sz w:val="21"/>
                      <w:szCs w:val="21"/>
                      <w:highlight w:val="none"/>
                    </w:rPr>
                    <w:t>/</w:t>
                  </w:r>
                  <w:r>
                    <w:rPr>
                      <w:rFonts w:hint="default" w:ascii="Times New Roman" w:hAnsi="Times New Roman" w:cs="Times New Roman"/>
                      <w:bCs w:val="0"/>
                      <w:color w:val="FF0000"/>
                      <w:kern w:val="0"/>
                      <w:sz w:val="21"/>
                      <w:szCs w:val="21"/>
                      <w:highlight w:val="none"/>
                      <w:lang w:val="en-US" w:eastAsia="zh-CN"/>
                    </w:rPr>
                    <w:t>a</w:t>
                  </w:r>
                </w:p>
              </w:tc>
              <w:tc>
                <w:tcPr>
                  <w:tcW w:w="675" w:type="dxa"/>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kern w:val="0"/>
                      <w:sz w:val="21"/>
                      <w:szCs w:val="21"/>
                      <w:highlight w:val="none"/>
                    </w:rPr>
                    <w:t>产生浓度mg/m</w:t>
                  </w:r>
                  <w:r>
                    <w:rPr>
                      <w:rFonts w:hint="default" w:ascii="Times New Roman" w:hAnsi="Times New Roman" w:cs="Times New Roman"/>
                      <w:bCs w:val="0"/>
                      <w:color w:val="FF0000"/>
                      <w:kern w:val="0"/>
                      <w:sz w:val="21"/>
                      <w:szCs w:val="21"/>
                      <w:highlight w:val="none"/>
                      <w:vertAlign w:val="superscript"/>
                    </w:rPr>
                    <w:t>3</w:t>
                  </w:r>
                </w:p>
              </w:tc>
              <w:tc>
                <w:tcPr>
                  <w:tcW w:w="62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default" w:ascii="Times New Roman" w:hAnsi="Times New Roman" w:cs="Times New Roman"/>
                      <w:bCs w:val="0"/>
                      <w:color w:val="FF0000"/>
                      <w:kern w:val="0"/>
                      <w:sz w:val="21"/>
                      <w:szCs w:val="21"/>
                      <w:highlight w:val="none"/>
                    </w:rPr>
                    <w:t>产生量</w:t>
                  </w:r>
                  <w:r>
                    <w:rPr>
                      <w:rFonts w:hint="default" w:ascii="Times New Roman" w:hAnsi="Times New Roman" w:cs="Times New Roman"/>
                      <w:bCs w:val="0"/>
                      <w:color w:val="FF0000"/>
                      <w:kern w:val="0"/>
                      <w:sz w:val="21"/>
                      <w:szCs w:val="21"/>
                      <w:highlight w:val="none"/>
                      <w:lang w:val="en-US" w:eastAsia="zh-CN"/>
                    </w:rPr>
                    <w:t>t</w:t>
                  </w:r>
                  <w:r>
                    <w:rPr>
                      <w:rFonts w:hint="default" w:ascii="Times New Roman" w:hAnsi="Times New Roman" w:cs="Times New Roman"/>
                      <w:bCs w:val="0"/>
                      <w:color w:val="FF0000"/>
                      <w:kern w:val="0"/>
                      <w:sz w:val="21"/>
                      <w:szCs w:val="21"/>
                      <w:highlight w:val="none"/>
                    </w:rPr>
                    <w:t>/</w:t>
                  </w:r>
                  <w:r>
                    <w:rPr>
                      <w:rFonts w:hint="default" w:ascii="Times New Roman" w:hAnsi="Times New Roman" w:cs="Times New Roman"/>
                      <w:bCs w:val="0"/>
                      <w:color w:val="FF0000"/>
                      <w:kern w:val="0"/>
                      <w:sz w:val="21"/>
                      <w:szCs w:val="21"/>
                      <w:highlight w:val="none"/>
                      <w:lang w:val="en-US" w:eastAsia="zh-CN"/>
                    </w:rPr>
                    <w:t>a</w:t>
                  </w:r>
                </w:p>
              </w:tc>
              <w:tc>
                <w:tcPr>
                  <w:tcW w:w="795" w:type="dxa"/>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kern w:val="0"/>
                      <w:sz w:val="21"/>
                      <w:szCs w:val="21"/>
                      <w:highlight w:val="none"/>
                    </w:rPr>
                    <w:t>工艺</w:t>
                  </w:r>
                </w:p>
              </w:tc>
              <w:tc>
                <w:tcPr>
                  <w:tcW w:w="565" w:type="dxa"/>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kern w:val="0"/>
                      <w:sz w:val="21"/>
                      <w:szCs w:val="21"/>
                      <w:highlight w:val="none"/>
                    </w:rPr>
                    <w:t>效率（%）</w:t>
                  </w:r>
                </w:p>
              </w:tc>
              <w:tc>
                <w:tcPr>
                  <w:tcW w:w="408" w:type="dxa"/>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kern w:val="0"/>
                      <w:sz w:val="21"/>
                      <w:szCs w:val="21"/>
                      <w:highlight w:val="none"/>
                    </w:rPr>
                    <w:t>核算方法</w:t>
                  </w:r>
                </w:p>
              </w:tc>
              <w:tc>
                <w:tcPr>
                  <w:tcW w:w="983"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default" w:ascii="Times New Roman" w:hAnsi="Times New Roman" w:cs="Times New Roman"/>
                      <w:bCs w:val="0"/>
                      <w:color w:val="FF0000"/>
                      <w:kern w:val="0"/>
                      <w:sz w:val="21"/>
                      <w:szCs w:val="21"/>
                      <w:highlight w:val="none"/>
                    </w:rPr>
                    <w:t>废气量m</w:t>
                  </w:r>
                  <w:r>
                    <w:rPr>
                      <w:rFonts w:hint="default" w:ascii="Times New Roman" w:hAnsi="Times New Roman" w:cs="Times New Roman"/>
                      <w:bCs w:val="0"/>
                      <w:color w:val="FF0000"/>
                      <w:kern w:val="0"/>
                      <w:sz w:val="21"/>
                      <w:szCs w:val="21"/>
                      <w:highlight w:val="none"/>
                      <w:vertAlign w:val="superscript"/>
                    </w:rPr>
                    <w:t>3</w:t>
                  </w:r>
                  <w:r>
                    <w:rPr>
                      <w:rFonts w:hint="default" w:ascii="Times New Roman" w:hAnsi="Times New Roman" w:cs="Times New Roman"/>
                      <w:bCs w:val="0"/>
                      <w:color w:val="FF0000"/>
                      <w:kern w:val="0"/>
                      <w:sz w:val="21"/>
                      <w:szCs w:val="21"/>
                      <w:highlight w:val="none"/>
                    </w:rPr>
                    <w:t>/</w:t>
                  </w:r>
                  <w:r>
                    <w:rPr>
                      <w:rFonts w:hint="default" w:ascii="Times New Roman" w:hAnsi="Times New Roman" w:cs="Times New Roman"/>
                      <w:bCs w:val="0"/>
                      <w:color w:val="FF0000"/>
                      <w:kern w:val="0"/>
                      <w:sz w:val="21"/>
                      <w:szCs w:val="21"/>
                      <w:highlight w:val="none"/>
                      <w:lang w:val="en-US" w:eastAsia="zh-CN"/>
                    </w:rPr>
                    <w:t>a</w:t>
                  </w:r>
                </w:p>
              </w:tc>
              <w:tc>
                <w:tcPr>
                  <w:tcW w:w="743" w:type="dxa"/>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kern w:val="0"/>
                      <w:sz w:val="21"/>
                      <w:szCs w:val="21"/>
                      <w:highlight w:val="none"/>
                    </w:rPr>
                    <w:t>排放浓度mg/m</w:t>
                  </w:r>
                  <w:r>
                    <w:rPr>
                      <w:rFonts w:hint="default" w:ascii="Times New Roman" w:hAnsi="Times New Roman" w:cs="Times New Roman"/>
                      <w:bCs w:val="0"/>
                      <w:color w:val="FF0000"/>
                      <w:kern w:val="0"/>
                      <w:sz w:val="21"/>
                      <w:szCs w:val="21"/>
                      <w:highlight w:val="none"/>
                      <w:vertAlign w:val="superscript"/>
                    </w:rPr>
                    <w:t>3</w:t>
                  </w:r>
                </w:p>
              </w:tc>
              <w:tc>
                <w:tcPr>
                  <w:tcW w:w="738"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eastAsia="zh-CN"/>
                    </w:rPr>
                  </w:pPr>
                  <w:r>
                    <w:rPr>
                      <w:rFonts w:hint="default" w:ascii="Times New Roman" w:hAnsi="Times New Roman" w:cs="Times New Roman"/>
                      <w:bCs w:val="0"/>
                      <w:color w:val="FF0000"/>
                      <w:kern w:val="0"/>
                      <w:sz w:val="21"/>
                      <w:szCs w:val="21"/>
                      <w:highlight w:val="none"/>
                    </w:rPr>
                    <w:t>排放量</w:t>
                  </w:r>
                  <w:r>
                    <w:rPr>
                      <w:rFonts w:hint="default" w:ascii="Times New Roman" w:hAnsi="Times New Roman" w:cs="Times New Roman"/>
                      <w:bCs w:val="0"/>
                      <w:color w:val="FF0000"/>
                      <w:kern w:val="0"/>
                      <w:sz w:val="21"/>
                      <w:szCs w:val="21"/>
                      <w:highlight w:val="none"/>
                      <w:lang w:val="en-US" w:eastAsia="zh-CN"/>
                    </w:rPr>
                    <w:t>t/a</w:t>
                  </w:r>
                </w:p>
              </w:tc>
              <w:tc>
                <w:tcPr>
                  <w:tcW w:w="582" w:type="dxa"/>
                  <w:vMerge w:val="continue"/>
                  <w:tcBorders>
                    <w:tl2br w:val="nil"/>
                    <w:tr2bl w:val="nil"/>
                  </w:tcBorders>
                  <w:noWrap w:val="0"/>
                  <w:vAlign w:val="center"/>
                </w:tcPr>
                <w:p>
                  <w:pPr>
                    <w:widowControl/>
                    <w:jc w:val="center"/>
                    <w:rPr>
                      <w:rFonts w:hint="default" w:ascii="Times New Roman" w:hAnsi="Times New Roman" w:cs="Times New Roman"/>
                      <w:bCs w:val="0"/>
                      <w:color w:val="FF0000"/>
                      <w:kern w:val="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vMerge w:val="restart"/>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sz w:val="21"/>
                      <w:szCs w:val="21"/>
                      <w:highlight w:val="none"/>
                    </w:rPr>
                    <w:t>P1</w:t>
                  </w:r>
                </w:p>
              </w:tc>
              <w:tc>
                <w:tcPr>
                  <w:tcW w:w="697" w:type="dxa"/>
                  <w:tcBorders>
                    <w:tl2br w:val="nil"/>
                    <w:tr2bl w:val="nil"/>
                  </w:tcBorders>
                  <w:noWrap w:val="0"/>
                  <w:vAlign w:val="center"/>
                </w:tcPr>
                <w:p>
                  <w:pPr>
                    <w:widowControl/>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sz w:val="21"/>
                      <w:szCs w:val="21"/>
                      <w:highlight w:val="none"/>
                    </w:rPr>
                    <w:t>SO</w:t>
                  </w:r>
                  <w:r>
                    <w:rPr>
                      <w:rFonts w:hint="default" w:ascii="Times New Roman" w:hAnsi="Times New Roman" w:cs="Times New Roman"/>
                      <w:bCs w:val="0"/>
                      <w:color w:val="FF0000"/>
                      <w:sz w:val="21"/>
                      <w:szCs w:val="21"/>
                      <w:highlight w:val="none"/>
                      <w:vertAlign w:val="subscript"/>
                    </w:rPr>
                    <w:t>2</w:t>
                  </w:r>
                </w:p>
              </w:tc>
              <w:tc>
                <w:tcPr>
                  <w:tcW w:w="407" w:type="dxa"/>
                  <w:vMerge w:val="restart"/>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sz w:val="21"/>
                      <w:szCs w:val="21"/>
                      <w:highlight w:val="none"/>
                      <w:lang w:eastAsia="zh-CN"/>
                    </w:rPr>
                    <w:t>物料衡算</w:t>
                  </w:r>
                  <w:r>
                    <w:rPr>
                      <w:rFonts w:hint="default" w:ascii="Times New Roman" w:hAnsi="Times New Roman" w:cs="Times New Roman"/>
                      <w:bCs w:val="0"/>
                      <w:color w:val="FF0000"/>
                      <w:sz w:val="21"/>
                      <w:szCs w:val="21"/>
                      <w:highlight w:val="none"/>
                    </w:rPr>
                    <w:t>法</w:t>
                  </w:r>
                </w:p>
              </w:tc>
              <w:tc>
                <w:tcPr>
                  <w:tcW w:w="661" w:type="dxa"/>
                  <w:vMerge w:val="restart"/>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color w:val="FF0000"/>
                      <w:sz w:val="21"/>
                      <w:szCs w:val="21"/>
                      <w:highlight w:val="none"/>
                      <w:lang w:val="en-US" w:eastAsia="zh-CN"/>
                    </w:rPr>
                    <w:t>1.23</w:t>
                  </w:r>
                  <w:r>
                    <w:rPr>
                      <w:rFonts w:hint="default" w:ascii="Times New Roman" w:hAnsi="Times New Roman" w:cs="Times New Roman"/>
                      <w:bCs/>
                      <w:color w:val="FF0000"/>
                      <w:sz w:val="21"/>
                      <w:szCs w:val="21"/>
                      <w:highlight w:val="none"/>
                    </w:rPr>
                    <w:t>×10</w:t>
                  </w:r>
                  <w:r>
                    <w:rPr>
                      <w:rFonts w:hint="eastAsia" w:cs="Times New Roman"/>
                      <w:bCs/>
                      <w:color w:val="FF0000"/>
                      <w:sz w:val="21"/>
                      <w:szCs w:val="21"/>
                      <w:highlight w:val="none"/>
                      <w:vertAlign w:val="superscript"/>
                      <w:lang w:val="en-US" w:eastAsia="zh-CN"/>
                    </w:rPr>
                    <w:t>8</w:t>
                  </w:r>
                </w:p>
              </w:tc>
              <w:tc>
                <w:tcPr>
                  <w:tcW w:w="67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401.38</w:t>
                  </w:r>
                </w:p>
              </w:tc>
              <w:tc>
                <w:tcPr>
                  <w:tcW w:w="62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49.37</w:t>
                  </w:r>
                </w:p>
              </w:tc>
              <w:tc>
                <w:tcPr>
                  <w:tcW w:w="79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氧化镁脱硫</w:t>
                  </w:r>
                </w:p>
              </w:tc>
              <w:tc>
                <w:tcPr>
                  <w:tcW w:w="56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80</w:t>
                  </w:r>
                </w:p>
              </w:tc>
              <w:tc>
                <w:tcPr>
                  <w:tcW w:w="408" w:type="dxa"/>
                  <w:vMerge w:val="restart"/>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sz w:val="21"/>
                      <w:szCs w:val="21"/>
                      <w:highlight w:val="none"/>
                    </w:rPr>
                    <w:t>物料衡算法</w:t>
                  </w:r>
                </w:p>
              </w:tc>
              <w:tc>
                <w:tcPr>
                  <w:tcW w:w="983" w:type="dxa"/>
                  <w:vMerge w:val="restart"/>
                  <w:tcBorders>
                    <w:tl2br w:val="nil"/>
                    <w:tr2bl w:val="nil"/>
                  </w:tcBorders>
                  <w:noWrap w:val="0"/>
                  <w:vAlign w:val="center"/>
                </w:tcPr>
                <w:p>
                  <w:pPr>
                    <w:spacing w:line="360" w:lineRule="auto"/>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color w:val="FF0000"/>
                      <w:sz w:val="21"/>
                      <w:szCs w:val="21"/>
                      <w:highlight w:val="none"/>
                      <w:lang w:val="en-US" w:eastAsia="zh-CN"/>
                    </w:rPr>
                    <w:t>1.23</w:t>
                  </w:r>
                  <w:r>
                    <w:rPr>
                      <w:rFonts w:hint="default" w:ascii="Times New Roman" w:hAnsi="Times New Roman" w:cs="Times New Roman"/>
                      <w:bCs/>
                      <w:color w:val="FF0000"/>
                      <w:sz w:val="21"/>
                      <w:szCs w:val="21"/>
                      <w:highlight w:val="none"/>
                    </w:rPr>
                    <w:t>×10</w:t>
                  </w:r>
                  <w:r>
                    <w:rPr>
                      <w:rFonts w:hint="eastAsia" w:cs="Times New Roman"/>
                      <w:bCs/>
                      <w:color w:val="FF0000"/>
                      <w:sz w:val="21"/>
                      <w:szCs w:val="21"/>
                      <w:highlight w:val="none"/>
                      <w:vertAlign w:val="superscript"/>
                      <w:lang w:val="en-US" w:eastAsia="zh-CN"/>
                    </w:rPr>
                    <w:t>8</w:t>
                  </w:r>
                </w:p>
              </w:tc>
              <w:tc>
                <w:tcPr>
                  <w:tcW w:w="743"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80.28</w:t>
                  </w:r>
                </w:p>
              </w:tc>
              <w:tc>
                <w:tcPr>
                  <w:tcW w:w="738"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9.874</w:t>
                  </w:r>
                </w:p>
              </w:tc>
              <w:tc>
                <w:tcPr>
                  <w:tcW w:w="582" w:type="dxa"/>
                  <w:vMerge w:val="restart"/>
                  <w:tcBorders>
                    <w:tl2br w:val="nil"/>
                    <w:tr2bl w:val="nil"/>
                  </w:tcBorders>
                  <w:noWrap w:val="0"/>
                  <w:vAlign w:val="center"/>
                </w:tcPr>
                <w:p>
                  <w:pPr>
                    <w:jc w:val="center"/>
                    <w:rPr>
                      <w:rFonts w:hint="default" w:ascii="Times New Roman" w:hAnsi="Times New Roman" w:cs="Times New Roman"/>
                      <w:bCs w:val="0"/>
                      <w:color w:val="FF0000"/>
                      <w:sz w:val="21"/>
                      <w:szCs w:val="21"/>
                      <w:highlight w:val="none"/>
                      <w:lang w:val="en-US"/>
                    </w:rPr>
                  </w:pPr>
                  <w:r>
                    <w:rPr>
                      <w:rFonts w:hint="default" w:ascii="Times New Roman" w:hAnsi="Times New Roman" w:cs="Times New Roman"/>
                      <w:bCs w:val="0"/>
                      <w:color w:val="FF0000"/>
                      <w:sz w:val="21"/>
                      <w:szCs w:val="21"/>
                      <w:highlight w:val="none"/>
                      <w:lang w:val="en-US" w:eastAsia="zh-CN"/>
                    </w:rPr>
                    <w:t>4320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697" w:type="dxa"/>
                  <w:tcBorders>
                    <w:tl2br w:val="nil"/>
                    <w:tr2bl w:val="nil"/>
                  </w:tcBorders>
                  <w:noWrap w:val="0"/>
                  <w:vAlign w:val="center"/>
                </w:tcPr>
                <w:p>
                  <w:pPr>
                    <w:widowControl/>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sz w:val="21"/>
                      <w:szCs w:val="21"/>
                      <w:highlight w:val="none"/>
                    </w:rPr>
                    <w:t>NO</w:t>
                  </w:r>
                  <w:r>
                    <w:rPr>
                      <w:rFonts w:hint="default" w:ascii="Times New Roman" w:hAnsi="Times New Roman" w:cs="Times New Roman"/>
                      <w:bCs w:val="0"/>
                      <w:color w:val="FF0000"/>
                      <w:sz w:val="21"/>
                      <w:szCs w:val="21"/>
                      <w:highlight w:val="none"/>
                      <w:vertAlign w:val="subscript"/>
                    </w:rPr>
                    <w:t>x</w:t>
                  </w:r>
                </w:p>
              </w:tc>
              <w:tc>
                <w:tcPr>
                  <w:tcW w:w="407"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661" w:type="dxa"/>
                  <w:vMerge w:val="continue"/>
                  <w:tcBorders>
                    <w:tl2br w:val="nil"/>
                    <w:tr2bl w:val="nil"/>
                  </w:tcBorders>
                  <w:noWrap w:val="0"/>
                  <w:vAlign w:val="center"/>
                </w:tcPr>
                <w:p>
                  <w:pPr>
                    <w:spacing w:line="360" w:lineRule="auto"/>
                    <w:ind w:firstLine="417" w:firstLineChars="199"/>
                    <w:jc w:val="center"/>
                    <w:rPr>
                      <w:rFonts w:hint="default" w:ascii="Times New Roman" w:hAnsi="Times New Roman" w:cs="Times New Roman"/>
                      <w:bCs w:val="0"/>
                      <w:color w:val="FF0000"/>
                      <w:sz w:val="21"/>
                      <w:szCs w:val="21"/>
                      <w:highlight w:val="none"/>
                    </w:rPr>
                  </w:pPr>
                </w:p>
              </w:tc>
              <w:tc>
                <w:tcPr>
                  <w:tcW w:w="67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180</w:t>
                  </w:r>
                </w:p>
              </w:tc>
              <w:tc>
                <w:tcPr>
                  <w:tcW w:w="62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22.14</w:t>
                  </w:r>
                </w:p>
              </w:tc>
              <w:tc>
                <w:tcPr>
                  <w:tcW w:w="795" w:type="dxa"/>
                  <w:tcBorders>
                    <w:tl2br w:val="nil"/>
                    <w:tr2bl w:val="nil"/>
                  </w:tcBorders>
                  <w:noWrap w:val="0"/>
                  <w:vAlign w:val="center"/>
                </w:tcPr>
                <w:p>
                  <w:pPr>
                    <w:jc w:val="center"/>
                    <w:rPr>
                      <w:rFonts w:hint="default"/>
                      <w:color w:val="FF0000"/>
                      <w:highlight w:val="none"/>
                      <w:lang w:val="en-US" w:eastAsia="zh-CN"/>
                    </w:rPr>
                  </w:pPr>
                  <w:r>
                    <w:rPr>
                      <w:rFonts w:hint="eastAsia"/>
                      <w:color w:val="FF0000"/>
                      <w:highlight w:val="none"/>
                      <w:lang w:val="en-US" w:eastAsia="zh-CN"/>
                    </w:rPr>
                    <w:t>SNCR脱硝</w:t>
                  </w:r>
                </w:p>
              </w:tc>
              <w:tc>
                <w:tcPr>
                  <w:tcW w:w="56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50</w:t>
                  </w:r>
                </w:p>
              </w:tc>
              <w:tc>
                <w:tcPr>
                  <w:tcW w:w="408"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983" w:type="dxa"/>
                  <w:vMerge w:val="continue"/>
                  <w:tcBorders>
                    <w:tl2br w:val="nil"/>
                    <w:tr2bl w:val="nil"/>
                  </w:tcBorders>
                  <w:noWrap w:val="0"/>
                  <w:vAlign w:val="center"/>
                </w:tcPr>
                <w:p>
                  <w:pPr>
                    <w:spacing w:line="360" w:lineRule="auto"/>
                    <w:ind w:firstLine="417" w:firstLineChars="199"/>
                    <w:jc w:val="center"/>
                    <w:rPr>
                      <w:rFonts w:hint="default" w:ascii="Times New Roman" w:hAnsi="Times New Roman" w:cs="Times New Roman"/>
                      <w:bCs w:val="0"/>
                      <w:color w:val="FF0000"/>
                      <w:sz w:val="21"/>
                      <w:szCs w:val="21"/>
                      <w:highlight w:val="none"/>
                    </w:rPr>
                  </w:pPr>
                </w:p>
              </w:tc>
              <w:tc>
                <w:tcPr>
                  <w:tcW w:w="743"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90</w:t>
                  </w:r>
                </w:p>
              </w:tc>
              <w:tc>
                <w:tcPr>
                  <w:tcW w:w="738"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11.07</w:t>
                  </w:r>
                </w:p>
              </w:tc>
              <w:tc>
                <w:tcPr>
                  <w:tcW w:w="582" w:type="dxa"/>
                  <w:vMerge w:val="continue"/>
                  <w:tcBorders>
                    <w:tl2br w:val="nil"/>
                    <w:tr2bl w:val="nil"/>
                  </w:tcBorders>
                  <w:noWrap w:val="0"/>
                  <w:vAlign w:val="center"/>
                </w:tcPr>
                <w:p>
                  <w:pPr>
                    <w:spacing w:line="360" w:lineRule="auto"/>
                    <w:ind w:firstLine="417" w:firstLineChars="199"/>
                    <w:jc w:val="center"/>
                    <w:rPr>
                      <w:rFonts w:hint="default" w:ascii="Times New Roman" w:hAnsi="Times New Roman" w:cs="Times New Roman"/>
                      <w:bCs w:val="0"/>
                      <w:color w:val="FF000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697" w:type="dxa"/>
                  <w:tcBorders>
                    <w:tl2br w:val="nil"/>
                    <w:tr2bl w:val="nil"/>
                  </w:tcBorders>
                  <w:noWrap w:val="0"/>
                  <w:vAlign w:val="center"/>
                </w:tcPr>
                <w:p>
                  <w:pPr>
                    <w:widowControl/>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sz w:val="21"/>
                      <w:szCs w:val="21"/>
                      <w:highlight w:val="none"/>
                    </w:rPr>
                    <w:t>颗粒物</w:t>
                  </w:r>
                </w:p>
              </w:tc>
              <w:tc>
                <w:tcPr>
                  <w:tcW w:w="407"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661"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67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11845.5</w:t>
                  </w:r>
                </w:p>
              </w:tc>
              <w:tc>
                <w:tcPr>
                  <w:tcW w:w="62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1457</w:t>
                  </w:r>
                </w:p>
              </w:tc>
              <w:tc>
                <w:tcPr>
                  <w:tcW w:w="795" w:type="dxa"/>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sz w:val="21"/>
                      <w:szCs w:val="21"/>
                      <w:highlight w:val="none"/>
                    </w:rPr>
                    <w:t>除尘器</w:t>
                  </w:r>
                </w:p>
              </w:tc>
              <w:tc>
                <w:tcPr>
                  <w:tcW w:w="56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default" w:ascii="Times New Roman" w:hAnsi="Times New Roman" w:cs="Times New Roman"/>
                      <w:bCs w:val="0"/>
                      <w:color w:val="FF0000"/>
                      <w:sz w:val="21"/>
                      <w:szCs w:val="21"/>
                      <w:highlight w:val="none"/>
                    </w:rPr>
                    <w:t>9</w:t>
                  </w:r>
                  <w:r>
                    <w:rPr>
                      <w:rFonts w:hint="default" w:ascii="Times New Roman" w:hAnsi="Times New Roman" w:cs="Times New Roman"/>
                      <w:bCs w:val="0"/>
                      <w:color w:val="FF0000"/>
                      <w:sz w:val="21"/>
                      <w:szCs w:val="21"/>
                      <w:highlight w:val="none"/>
                      <w:lang w:val="en-US" w:eastAsia="zh-CN"/>
                    </w:rPr>
                    <w:t>9</w:t>
                  </w:r>
                  <w:r>
                    <w:rPr>
                      <w:rFonts w:hint="eastAsia" w:ascii="Times New Roman" w:hAnsi="Times New Roman" w:cs="Times New Roman"/>
                      <w:bCs w:val="0"/>
                      <w:color w:val="FF0000"/>
                      <w:sz w:val="21"/>
                      <w:szCs w:val="21"/>
                      <w:highlight w:val="none"/>
                      <w:lang w:val="en-US" w:eastAsia="zh-CN"/>
                    </w:rPr>
                    <w:t>.</w:t>
                  </w:r>
                  <w:r>
                    <w:rPr>
                      <w:rFonts w:hint="eastAsia" w:cs="Times New Roman"/>
                      <w:bCs w:val="0"/>
                      <w:color w:val="FF0000"/>
                      <w:sz w:val="21"/>
                      <w:szCs w:val="21"/>
                      <w:highlight w:val="none"/>
                      <w:lang w:val="en-US" w:eastAsia="zh-CN"/>
                    </w:rPr>
                    <w:t>9</w:t>
                  </w:r>
                </w:p>
              </w:tc>
              <w:tc>
                <w:tcPr>
                  <w:tcW w:w="408"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983"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743"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11.85</w:t>
                  </w:r>
                </w:p>
              </w:tc>
              <w:tc>
                <w:tcPr>
                  <w:tcW w:w="738"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1.457</w:t>
                  </w:r>
                </w:p>
              </w:tc>
              <w:tc>
                <w:tcPr>
                  <w:tcW w:w="582" w:type="dxa"/>
                  <w:vMerge w:val="continue"/>
                  <w:tcBorders>
                    <w:tl2br w:val="nil"/>
                    <w:tr2bl w:val="nil"/>
                  </w:tcBorders>
                  <w:noWrap w:val="0"/>
                  <w:vAlign w:val="center"/>
                </w:tcPr>
                <w:p>
                  <w:pPr>
                    <w:spacing w:line="360" w:lineRule="auto"/>
                    <w:ind w:firstLine="417" w:firstLineChars="199"/>
                    <w:jc w:val="center"/>
                    <w:rPr>
                      <w:rFonts w:hint="default" w:ascii="Times New Roman" w:hAnsi="Times New Roman" w:cs="Times New Roman"/>
                      <w:bCs w:val="0"/>
                      <w:color w:val="FF000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697" w:type="dxa"/>
                  <w:tcBorders>
                    <w:tl2br w:val="nil"/>
                    <w:tr2bl w:val="nil"/>
                  </w:tcBorders>
                  <w:noWrap w:val="0"/>
                  <w:vAlign w:val="center"/>
                </w:tcPr>
                <w:p>
                  <w:pPr>
                    <w:widowControl/>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sz w:val="21"/>
                      <w:szCs w:val="21"/>
                      <w:highlight w:val="none"/>
                      <w:lang w:eastAsia="zh-CN"/>
                    </w:rPr>
                    <w:t>汞及其化合物</w:t>
                  </w:r>
                </w:p>
              </w:tc>
              <w:tc>
                <w:tcPr>
                  <w:tcW w:w="407"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661"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675" w:type="dxa"/>
                  <w:tcBorders>
                    <w:tl2br w:val="nil"/>
                    <w:tr2bl w:val="nil"/>
                  </w:tcBorders>
                  <w:noWrap w:val="0"/>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0.011</w:t>
                  </w:r>
                </w:p>
              </w:tc>
              <w:tc>
                <w:tcPr>
                  <w:tcW w:w="625" w:type="dxa"/>
                  <w:tcBorders>
                    <w:tl2br w:val="nil"/>
                    <w:tr2bl w:val="nil"/>
                  </w:tcBorders>
                  <w:noWrap w:val="0"/>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0.0013</w:t>
                  </w:r>
                </w:p>
              </w:tc>
              <w:tc>
                <w:tcPr>
                  <w:tcW w:w="79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协同处理</w:t>
                  </w:r>
                </w:p>
              </w:tc>
              <w:tc>
                <w:tcPr>
                  <w:tcW w:w="565" w:type="dxa"/>
                  <w:tcBorders>
                    <w:tl2br w:val="nil"/>
                    <w:tr2bl w:val="nil"/>
                  </w:tcBorders>
                  <w:noWrap w:val="0"/>
                  <w:vAlign w:val="center"/>
                </w:tcPr>
                <w:p>
                  <w:pPr>
                    <w:jc w:val="center"/>
                    <w:rPr>
                      <w:rFonts w:hint="default" w:ascii="Times New Roman" w:hAnsi="Times New Roman" w:eastAsia="宋体"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70</w:t>
                  </w:r>
                </w:p>
              </w:tc>
              <w:tc>
                <w:tcPr>
                  <w:tcW w:w="408"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983" w:type="dxa"/>
                  <w:vMerge w:val="continue"/>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p>
              </w:tc>
              <w:tc>
                <w:tcPr>
                  <w:tcW w:w="743" w:type="dxa"/>
                  <w:tcBorders>
                    <w:tl2br w:val="nil"/>
                    <w:tr2bl w:val="nil"/>
                  </w:tcBorders>
                  <w:noWrap w:val="0"/>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0.007</w:t>
                  </w:r>
                </w:p>
              </w:tc>
              <w:tc>
                <w:tcPr>
                  <w:tcW w:w="738" w:type="dxa"/>
                  <w:tcBorders>
                    <w:tl2br w:val="nil"/>
                    <w:tr2bl w:val="nil"/>
                  </w:tcBorders>
                  <w:noWrap w:val="0"/>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0.0009</w:t>
                  </w:r>
                </w:p>
              </w:tc>
              <w:tc>
                <w:tcPr>
                  <w:tcW w:w="582" w:type="dxa"/>
                  <w:vMerge w:val="continue"/>
                  <w:tcBorders>
                    <w:tl2br w:val="nil"/>
                    <w:tr2bl w:val="nil"/>
                  </w:tcBorders>
                  <w:noWrap w:val="0"/>
                  <w:vAlign w:val="center"/>
                </w:tcPr>
                <w:p>
                  <w:pPr>
                    <w:spacing w:line="360" w:lineRule="auto"/>
                    <w:ind w:firstLine="417" w:firstLineChars="199"/>
                    <w:jc w:val="center"/>
                    <w:rPr>
                      <w:rFonts w:hint="default" w:ascii="Times New Roman" w:hAnsi="Times New Roman" w:cs="Times New Roman"/>
                      <w:bCs w:val="0"/>
                      <w:color w:val="FF0000"/>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625" w:type="dxa"/>
                  <w:tcBorders>
                    <w:tl2br w:val="nil"/>
                    <w:tr2bl w:val="nil"/>
                  </w:tcBorders>
                  <w:noWrap w:val="0"/>
                  <w:vAlign w:val="center"/>
                </w:tcPr>
                <w:p>
                  <w:pPr>
                    <w:widowControl/>
                    <w:spacing w:line="240" w:lineRule="auto"/>
                    <w:jc w:val="center"/>
                    <w:rPr>
                      <w:rFonts w:hint="default" w:ascii="Times New Roman" w:hAnsi="Times New Roman" w:cs="Times New Roman"/>
                      <w:bCs w:val="0"/>
                      <w:color w:val="FF0000"/>
                      <w:sz w:val="21"/>
                      <w:szCs w:val="21"/>
                      <w:highlight w:val="none"/>
                    </w:rPr>
                  </w:pPr>
                  <w:r>
                    <w:rPr>
                      <w:rFonts w:hint="eastAsia"/>
                      <w:color w:val="FF0000"/>
                      <w:sz w:val="21"/>
                      <w:szCs w:val="21"/>
                    </w:rPr>
                    <w:t>氨逃逸</w:t>
                  </w:r>
                </w:p>
              </w:tc>
              <w:tc>
                <w:tcPr>
                  <w:tcW w:w="697" w:type="dxa"/>
                  <w:tcBorders>
                    <w:tl2br w:val="nil"/>
                    <w:tr2bl w:val="nil"/>
                  </w:tcBorders>
                  <w:noWrap w:val="0"/>
                  <w:vAlign w:val="center"/>
                </w:tcPr>
                <w:p>
                  <w:pPr>
                    <w:widowControl/>
                    <w:spacing w:line="240" w:lineRule="auto"/>
                    <w:jc w:val="center"/>
                    <w:rPr>
                      <w:rFonts w:hint="default" w:ascii="Times New Roman" w:hAnsi="Times New Roman" w:cs="Times New Roman"/>
                      <w:bCs w:val="0"/>
                      <w:color w:val="FF0000"/>
                      <w:sz w:val="21"/>
                      <w:szCs w:val="21"/>
                      <w:highlight w:val="none"/>
                      <w:lang w:eastAsia="zh-CN"/>
                    </w:rPr>
                  </w:pPr>
                  <w:r>
                    <w:rPr>
                      <w:rFonts w:hint="eastAsia"/>
                      <w:color w:val="FF0000"/>
                      <w:sz w:val="21"/>
                      <w:szCs w:val="21"/>
                    </w:rPr>
                    <w:t>NH</w:t>
                  </w:r>
                  <w:r>
                    <w:rPr>
                      <w:rFonts w:hint="eastAsia"/>
                      <w:color w:val="FF0000"/>
                      <w:sz w:val="21"/>
                      <w:szCs w:val="21"/>
                      <w:vertAlign w:val="subscript"/>
                    </w:rPr>
                    <w:t>3</w:t>
                  </w:r>
                </w:p>
              </w:tc>
              <w:tc>
                <w:tcPr>
                  <w:tcW w:w="407" w:type="dxa"/>
                  <w:tcBorders>
                    <w:tl2br w:val="nil"/>
                    <w:tr2bl w:val="nil"/>
                  </w:tcBorders>
                  <w:noWrap w:val="0"/>
                  <w:vAlign w:val="center"/>
                </w:tcPr>
                <w:p>
                  <w:pPr>
                    <w:spacing w:line="240" w:lineRule="auto"/>
                    <w:jc w:val="center"/>
                    <w:rPr>
                      <w:rFonts w:hint="default" w:ascii="Times New Roman" w:hAnsi="Times New Roman" w:cs="Times New Roman"/>
                      <w:bCs w:val="0"/>
                      <w:color w:val="FF0000"/>
                      <w:sz w:val="21"/>
                      <w:szCs w:val="21"/>
                      <w:highlight w:val="none"/>
                    </w:rPr>
                  </w:pPr>
                  <w:r>
                    <w:rPr>
                      <w:rFonts w:hint="eastAsia"/>
                      <w:color w:val="FF0000"/>
                      <w:kern w:val="0"/>
                      <w:sz w:val="21"/>
                      <w:szCs w:val="21"/>
                    </w:rPr>
                    <w:t>系数法</w:t>
                  </w:r>
                </w:p>
              </w:tc>
              <w:tc>
                <w:tcPr>
                  <w:tcW w:w="661" w:type="dxa"/>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eastAsia" w:ascii="Times New Roman" w:hAnsi="Times New Roman" w:cs="Times New Roman"/>
                      <w:bCs w:val="0"/>
                      <w:color w:val="FF0000"/>
                      <w:sz w:val="21"/>
                      <w:szCs w:val="21"/>
                      <w:highlight w:val="none"/>
                      <w:lang w:val="en-US" w:eastAsia="zh-CN"/>
                    </w:rPr>
                    <w:t>-</w:t>
                  </w:r>
                </w:p>
              </w:tc>
              <w:tc>
                <w:tcPr>
                  <w:tcW w:w="675" w:type="dxa"/>
                  <w:tcBorders>
                    <w:tl2br w:val="nil"/>
                    <w:tr2bl w:val="nil"/>
                  </w:tcBorders>
                  <w:noWrap w:val="0"/>
                  <w:vAlign w:val="center"/>
                </w:tcPr>
                <w:p>
                  <w:pPr>
                    <w:jc w:val="center"/>
                    <w:rPr>
                      <w:rFonts w:hint="eastAsia"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2.28</w:t>
                  </w:r>
                </w:p>
              </w:tc>
              <w:tc>
                <w:tcPr>
                  <w:tcW w:w="625" w:type="dxa"/>
                  <w:tcBorders>
                    <w:tl2br w:val="nil"/>
                    <w:tr2bl w:val="nil"/>
                  </w:tcBorders>
                  <w:noWrap w:val="0"/>
                  <w:vAlign w:val="center"/>
                </w:tcPr>
                <w:p>
                  <w:pPr>
                    <w:jc w:val="center"/>
                    <w:rPr>
                      <w:rFonts w:hint="eastAsia"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w:t>
                  </w:r>
                </w:p>
              </w:tc>
              <w:tc>
                <w:tcPr>
                  <w:tcW w:w="795" w:type="dxa"/>
                  <w:tcBorders>
                    <w:tl2br w:val="nil"/>
                    <w:tr2bl w:val="nil"/>
                  </w:tcBorders>
                  <w:noWrap w:val="0"/>
                  <w:vAlign w:val="center"/>
                </w:tcPr>
                <w:p>
                  <w:pPr>
                    <w:jc w:val="center"/>
                    <w:rPr>
                      <w:rFonts w:hint="eastAsia"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w:t>
                  </w:r>
                </w:p>
              </w:tc>
              <w:tc>
                <w:tcPr>
                  <w:tcW w:w="565" w:type="dxa"/>
                  <w:tcBorders>
                    <w:tl2br w:val="nil"/>
                    <w:tr2bl w:val="nil"/>
                  </w:tcBorders>
                  <w:noWrap w:val="0"/>
                  <w:vAlign w:val="center"/>
                </w:tcPr>
                <w:p>
                  <w:pPr>
                    <w:jc w:val="center"/>
                    <w:rPr>
                      <w:rFonts w:hint="eastAsia" w:cs="Times New Roman"/>
                      <w:bCs w:val="0"/>
                      <w:color w:val="FF0000"/>
                      <w:sz w:val="21"/>
                      <w:szCs w:val="21"/>
                      <w:highlight w:val="none"/>
                      <w:lang w:val="en-US" w:eastAsia="zh-CN"/>
                    </w:rPr>
                  </w:pPr>
                  <w:r>
                    <w:rPr>
                      <w:rFonts w:hint="eastAsia" w:ascii="Times New Roman" w:hAnsi="Times New Roman" w:cs="Times New Roman"/>
                      <w:bCs w:val="0"/>
                      <w:color w:val="FF0000"/>
                      <w:sz w:val="21"/>
                      <w:szCs w:val="21"/>
                      <w:highlight w:val="none"/>
                      <w:lang w:val="en-US" w:eastAsia="zh-CN"/>
                    </w:rPr>
                    <w:t>-</w:t>
                  </w:r>
                </w:p>
              </w:tc>
              <w:tc>
                <w:tcPr>
                  <w:tcW w:w="408" w:type="dxa"/>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eastAsia" w:ascii="Times New Roman" w:hAnsi="Times New Roman" w:cs="Times New Roman"/>
                      <w:bCs w:val="0"/>
                      <w:color w:val="FF0000"/>
                      <w:sz w:val="21"/>
                      <w:szCs w:val="21"/>
                      <w:highlight w:val="none"/>
                      <w:lang w:val="en-US" w:eastAsia="zh-CN"/>
                    </w:rPr>
                    <w:t>-</w:t>
                  </w:r>
                </w:p>
              </w:tc>
              <w:tc>
                <w:tcPr>
                  <w:tcW w:w="983" w:type="dxa"/>
                  <w:tcBorders>
                    <w:tl2br w:val="nil"/>
                    <w:tr2bl w:val="nil"/>
                  </w:tcBorders>
                  <w:noWrap w:val="0"/>
                  <w:vAlign w:val="center"/>
                </w:tcPr>
                <w:p>
                  <w:pPr>
                    <w:jc w:val="center"/>
                    <w:rPr>
                      <w:rFonts w:hint="default" w:ascii="Times New Roman" w:hAnsi="Times New Roman" w:cs="Times New Roman"/>
                      <w:bCs w:val="0"/>
                      <w:color w:val="FF0000"/>
                      <w:sz w:val="21"/>
                      <w:szCs w:val="21"/>
                      <w:highlight w:val="none"/>
                    </w:rPr>
                  </w:pPr>
                  <w:r>
                    <w:rPr>
                      <w:rFonts w:hint="eastAsia" w:ascii="Times New Roman" w:hAnsi="Times New Roman" w:cs="Times New Roman"/>
                      <w:bCs w:val="0"/>
                      <w:color w:val="FF0000"/>
                      <w:sz w:val="21"/>
                      <w:szCs w:val="21"/>
                      <w:highlight w:val="none"/>
                      <w:lang w:val="en-US" w:eastAsia="zh-CN"/>
                    </w:rPr>
                    <w:t>-</w:t>
                  </w:r>
                </w:p>
              </w:tc>
              <w:tc>
                <w:tcPr>
                  <w:tcW w:w="743" w:type="dxa"/>
                  <w:tcBorders>
                    <w:tl2br w:val="nil"/>
                    <w:tr2bl w:val="nil"/>
                  </w:tcBorders>
                  <w:noWrap w:val="0"/>
                  <w:vAlign w:val="center"/>
                </w:tcPr>
                <w:p>
                  <w:pPr>
                    <w:jc w:val="center"/>
                    <w:rPr>
                      <w:rFonts w:hint="eastAsia" w:cs="Times New Roman"/>
                      <w:bCs w:val="0"/>
                      <w:color w:val="FF0000"/>
                      <w:sz w:val="21"/>
                      <w:szCs w:val="21"/>
                      <w:highlight w:val="none"/>
                      <w:lang w:val="en-US" w:eastAsia="zh-CN"/>
                    </w:rPr>
                  </w:pPr>
                  <w:r>
                    <w:rPr>
                      <w:rFonts w:hint="eastAsia" w:ascii="Times New Roman" w:hAnsi="Times New Roman" w:eastAsia="宋体" w:cs="Times New Roman"/>
                      <w:bCs w:val="0"/>
                      <w:color w:val="FF0000"/>
                      <w:sz w:val="21"/>
                      <w:szCs w:val="21"/>
                      <w:highlight w:val="none"/>
                      <w:lang w:val="en-US" w:eastAsia="zh-CN"/>
                    </w:rPr>
                    <w:t>2.28</w:t>
                  </w:r>
                </w:p>
              </w:tc>
              <w:tc>
                <w:tcPr>
                  <w:tcW w:w="738" w:type="dxa"/>
                  <w:tcBorders>
                    <w:tl2br w:val="nil"/>
                    <w:tr2bl w:val="nil"/>
                  </w:tcBorders>
                  <w:noWrap w:val="0"/>
                  <w:vAlign w:val="center"/>
                </w:tcPr>
                <w:p>
                  <w:pPr>
                    <w:jc w:val="center"/>
                    <w:rPr>
                      <w:rFonts w:hint="eastAsia" w:cs="Times New Roman"/>
                      <w:bCs w:val="0"/>
                      <w:color w:val="FF0000"/>
                      <w:sz w:val="21"/>
                      <w:szCs w:val="21"/>
                      <w:highlight w:val="none"/>
                      <w:lang w:val="en-US" w:eastAsia="zh-CN"/>
                    </w:rPr>
                  </w:pPr>
                  <w:r>
                    <w:rPr>
                      <w:rFonts w:hint="eastAsia" w:ascii="Times New Roman" w:hAnsi="Times New Roman" w:eastAsia="宋体" w:cs="Times New Roman"/>
                      <w:bCs w:val="0"/>
                      <w:color w:val="FF0000"/>
                      <w:sz w:val="21"/>
                      <w:szCs w:val="21"/>
                      <w:highlight w:val="none"/>
                      <w:lang w:val="en-US" w:eastAsia="zh-CN"/>
                    </w:rPr>
                    <w:t>-</w:t>
                  </w:r>
                </w:p>
              </w:tc>
              <w:tc>
                <w:tcPr>
                  <w:tcW w:w="582" w:type="dxa"/>
                  <w:tcBorders>
                    <w:tl2br w:val="nil"/>
                    <w:tr2bl w:val="nil"/>
                  </w:tcBorders>
                  <w:noWrap w:val="0"/>
                  <w:vAlign w:val="center"/>
                </w:tcPr>
                <w:p>
                  <w:pPr>
                    <w:spacing w:line="360" w:lineRule="auto"/>
                    <w:jc w:val="center"/>
                    <w:rPr>
                      <w:rFonts w:hint="default" w:ascii="Times New Roman" w:hAnsi="Times New Roman" w:cs="Times New Roman"/>
                      <w:bCs w:val="0"/>
                      <w:color w:val="FF0000"/>
                      <w:sz w:val="21"/>
                      <w:szCs w:val="21"/>
                      <w:highlight w:val="none"/>
                      <w:lang w:val="en-US"/>
                    </w:rPr>
                  </w:pPr>
                  <w:r>
                    <w:rPr>
                      <w:rFonts w:hint="eastAsia" w:ascii="Times New Roman" w:hAnsi="Times New Roman" w:cs="Times New Roman"/>
                      <w:bCs w:val="0"/>
                      <w:color w:val="FF0000"/>
                      <w:sz w:val="21"/>
                      <w:szCs w:val="21"/>
                      <w:highlight w:val="none"/>
                      <w:lang w:val="en-US" w:eastAsia="zh-CN"/>
                    </w:rPr>
                    <w:t>4</w:t>
                  </w:r>
                  <w:r>
                    <w:rPr>
                      <w:rFonts w:hint="eastAsia" w:cs="Times New Roman"/>
                      <w:bCs w:val="0"/>
                      <w:color w:val="FF0000"/>
                      <w:sz w:val="21"/>
                      <w:szCs w:val="21"/>
                      <w:highlight w:val="none"/>
                      <w:lang w:val="en-US" w:eastAsia="zh-CN"/>
                    </w:rPr>
                    <w:t>320</w:t>
                  </w:r>
                </w:p>
              </w:tc>
            </w:tr>
          </w:tbl>
          <w:p>
            <w:pPr>
              <w:adjustRightInd w:val="0"/>
              <w:snapToGrid w:val="0"/>
              <w:spacing w:line="360" w:lineRule="auto"/>
              <w:ind w:firstLine="425"/>
              <w:rPr>
                <w:rFonts w:hint="default" w:ascii="Times New Roman" w:hAnsi="Times New Roman" w:cs="Times New Roman"/>
                <w:bCs w:val="0"/>
                <w:color w:val="auto"/>
                <w:kern w:val="0"/>
                <w:sz w:val="24"/>
                <w:szCs w:val="28"/>
                <w:highlight w:val="none"/>
              </w:rPr>
            </w:pPr>
            <w:r>
              <w:rPr>
                <w:rFonts w:hint="eastAsia" w:ascii="Times New Roman" w:hAnsi="Times New Roman" w:cs="Times New Roman"/>
                <w:bCs w:val="0"/>
                <w:color w:val="auto"/>
                <w:kern w:val="0"/>
                <w:sz w:val="24"/>
                <w:szCs w:val="28"/>
                <w:highlight w:val="none"/>
                <w:lang w:val="en-US" w:eastAsia="zh-CN"/>
              </w:rPr>
              <w:t>B.</w:t>
            </w:r>
            <w:r>
              <w:rPr>
                <w:rFonts w:hint="default" w:ascii="Times New Roman" w:hAnsi="Times New Roman" w:cs="Times New Roman"/>
                <w:bCs w:val="0"/>
                <w:color w:val="auto"/>
                <w:kern w:val="0"/>
                <w:sz w:val="24"/>
                <w:szCs w:val="28"/>
                <w:highlight w:val="none"/>
              </w:rPr>
              <w:t>非正常工况：</w:t>
            </w: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Cs w:val="0"/>
                <w:color w:val="auto"/>
                <w:kern w:val="0"/>
                <w:sz w:val="24"/>
                <w:szCs w:val="28"/>
                <w:highlight w:val="none"/>
              </w:rPr>
            </w:pPr>
            <w:r>
              <w:rPr>
                <w:rFonts w:hint="default" w:ascii="Times New Roman" w:hAnsi="Times New Roman" w:cs="Times New Roman"/>
                <w:b/>
                <w:bCs w:val="0"/>
                <w:color w:val="auto"/>
                <w:kern w:val="0"/>
                <w:sz w:val="24"/>
                <w:szCs w:val="28"/>
                <w:highlight w:val="none"/>
              </w:rPr>
              <w:t>表5-</w:t>
            </w:r>
            <w:r>
              <w:rPr>
                <w:rFonts w:hint="eastAsia" w:ascii="Times New Roman" w:hAnsi="Times New Roman" w:cs="Times New Roman"/>
                <w:b/>
                <w:bCs w:val="0"/>
                <w:color w:val="auto"/>
                <w:kern w:val="0"/>
                <w:sz w:val="24"/>
                <w:szCs w:val="28"/>
                <w:highlight w:val="none"/>
                <w:lang w:val="en-US" w:eastAsia="zh-CN"/>
              </w:rPr>
              <w:t>3</w:t>
            </w:r>
            <w:r>
              <w:rPr>
                <w:rFonts w:hint="default" w:ascii="Times New Roman" w:hAnsi="Times New Roman" w:cs="Times New Roman"/>
                <w:b/>
                <w:bCs w:val="0"/>
                <w:color w:val="auto"/>
                <w:kern w:val="0"/>
                <w:sz w:val="24"/>
                <w:szCs w:val="28"/>
                <w:highlight w:val="none"/>
              </w:rPr>
              <w:t xml:space="preserve">   非正常排放参数表</w:t>
            </w:r>
          </w:p>
          <w:tbl>
            <w:tblPr>
              <w:tblStyle w:val="36"/>
              <w:tblW w:w="850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32"/>
              <w:gridCol w:w="2376"/>
              <w:gridCol w:w="950"/>
              <w:gridCol w:w="1461"/>
              <w:gridCol w:w="1206"/>
              <w:gridCol w:w="98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532"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非正常排放源</w:t>
                  </w:r>
                </w:p>
              </w:tc>
              <w:tc>
                <w:tcPr>
                  <w:tcW w:w="2376"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非正常排放原因</w:t>
                  </w:r>
                </w:p>
              </w:tc>
              <w:tc>
                <w:tcPr>
                  <w:tcW w:w="950"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污染物</w:t>
                  </w:r>
                </w:p>
              </w:tc>
              <w:tc>
                <w:tcPr>
                  <w:tcW w:w="1461"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非正常排放速率/kg/h</w:t>
                  </w:r>
                </w:p>
              </w:tc>
              <w:tc>
                <w:tcPr>
                  <w:tcW w:w="1206"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单次持续时间/h</w:t>
                  </w:r>
                </w:p>
              </w:tc>
              <w:tc>
                <w:tcPr>
                  <w:tcW w:w="980"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年发生频次/次</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532" w:type="dxa"/>
                  <w:vMerge w:val="restart"/>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锅炉烟囱P1</w:t>
                  </w:r>
                </w:p>
              </w:tc>
              <w:tc>
                <w:tcPr>
                  <w:tcW w:w="2376"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除尘器无处理能力</w:t>
                  </w:r>
                </w:p>
              </w:tc>
              <w:tc>
                <w:tcPr>
                  <w:tcW w:w="950"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颗粒物</w:t>
                  </w:r>
                </w:p>
              </w:tc>
              <w:tc>
                <w:tcPr>
                  <w:tcW w:w="1461" w:type="dxa"/>
                  <w:noWrap w:val="0"/>
                  <w:vAlign w:val="center"/>
                </w:tcPr>
                <w:p>
                  <w:pPr>
                    <w:widowControl/>
                    <w:jc w:val="center"/>
                    <w:rPr>
                      <w:rFonts w:hint="default" w:ascii="Times New Roman" w:hAnsi="Times New Roman" w:eastAsia="宋体" w:cs="Times New Roman"/>
                      <w:bCs/>
                      <w:color w:val="auto"/>
                      <w:sz w:val="21"/>
                      <w:szCs w:val="21"/>
                      <w:highlight w:val="none"/>
                      <w:lang w:val="en-US" w:eastAsia="zh-CN"/>
                    </w:rPr>
                  </w:pPr>
                  <w:r>
                    <w:rPr>
                      <w:rFonts w:hint="eastAsia" w:cs="Times New Roman"/>
                      <w:bCs/>
                      <w:color w:val="auto"/>
                      <w:sz w:val="21"/>
                      <w:szCs w:val="21"/>
                      <w:highlight w:val="none"/>
                      <w:lang w:val="en-US" w:eastAsia="zh-CN"/>
                    </w:rPr>
                    <w:t>337.3</w:t>
                  </w:r>
                </w:p>
              </w:tc>
              <w:tc>
                <w:tcPr>
                  <w:tcW w:w="1206"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0.5</w:t>
                  </w:r>
                </w:p>
              </w:tc>
              <w:tc>
                <w:tcPr>
                  <w:tcW w:w="980"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eastAsia="宋体" w:cs="Times New Roman"/>
                      <w:bCs/>
                      <w:color w:val="auto"/>
                      <w:kern w:val="2"/>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532" w:type="dxa"/>
                  <w:vMerge w:val="continue"/>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p>
              </w:tc>
              <w:tc>
                <w:tcPr>
                  <w:tcW w:w="2376" w:type="dxa"/>
                  <w:noWrap w:val="0"/>
                  <w:vAlign w:val="center"/>
                </w:tcPr>
                <w:p>
                  <w:pPr>
                    <w:widowControl w:val="0"/>
                    <w:adjustRightInd w:val="0"/>
                    <w:snapToGrid w:val="0"/>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脱硫系统失效</w:t>
                  </w:r>
                </w:p>
              </w:tc>
              <w:tc>
                <w:tcPr>
                  <w:tcW w:w="950" w:type="dxa"/>
                  <w:noWrap w:val="0"/>
                  <w:vAlign w:val="center"/>
                </w:tcPr>
                <w:p>
                  <w:pPr>
                    <w:widowControl/>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val="0"/>
                      <w:color w:val="auto"/>
                      <w:sz w:val="21"/>
                      <w:szCs w:val="21"/>
                      <w:highlight w:val="none"/>
                    </w:rPr>
                    <w:t>SO</w:t>
                  </w:r>
                  <w:r>
                    <w:rPr>
                      <w:rFonts w:hint="default" w:ascii="Times New Roman" w:hAnsi="Times New Roman" w:cs="Times New Roman"/>
                      <w:bCs w:val="0"/>
                      <w:color w:val="auto"/>
                      <w:sz w:val="21"/>
                      <w:szCs w:val="21"/>
                      <w:highlight w:val="none"/>
                      <w:vertAlign w:val="subscript"/>
                    </w:rPr>
                    <w:t>2</w:t>
                  </w:r>
                </w:p>
              </w:tc>
              <w:tc>
                <w:tcPr>
                  <w:tcW w:w="1461" w:type="dxa"/>
                  <w:noWrap w:val="0"/>
                  <w:vAlign w:val="center"/>
                </w:tcPr>
                <w:p>
                  <w:pPr>
                    <w:widowControl/>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11.43</w:t>
                  </w:r>
                </w:p>
              </w:tc>
              <w:tc>
                <w:tcPr>
                  <w:tcW w:w="1206"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0.5</w:t>
                  </w:r>
                </w:p>
              </w:tc>
              <w:tc>
                <w:tcPr>
                  <w:tcW w:w="980"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532" w:type="dxa"/>
                  <w:vMerge w:val="continue"/>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p>
              </w:tc>
              <w:tc>
                <w:tcPr>
                  <w:tcW w:w="2376" w:type="dxa"/>
                  <w:noWrap w:val="0"/>
                  <w:vAlign w:val="center"/>
                </w:tcPr>
                <w:p>
                  <w:pPr>
                    <w:widowControl w:val="0"/>
                    <w:adjustRightInd w:val="0"/>
                    <w:snapToGrid w:val="0"/>
                    <w:ind w:firstLine="0" w:firstLineChars="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脱硝系统失效</w:t>
                  </w:r>
                </w:p>
              </w:tc>
              <w:tc>
                <w:tcPr>
                  <w:tcW w:w="950" w:type="dxa"/>
                  <w:noWrap w:val="0"/>
                  <w:vAlign w:val="center"/>
                </w:tcPr>
                <w:p>
                  <w:pPr>
                    <w:widowControl/>
                    <w:jc w:val="center"/>
                    <w:rPr>
                      <w:rFonts w:hint="default" w:ascii="Times New Roman" w:hAnsi="Times New Roman" w:eastAsia="宋体" w:cs="Times New Roman"/>
                      <w:bCs/>
                      <w:color w:val="auto"/>
                      <w:kern w:val="2"/>
                      <w:sz w:val="21"/>
                      <w:szCs w:val="21"/>
                      <w:highlight w:val="none"/>
                      <w:lang w:val="en-US" w:eastAsia="zh-CN" w:bidi="ar-SA"/>
                    </w:rPr>
                  </w:pPr>
                  <w:r>
                    <w:rPr>
                      <w:rFonts w:hint="default" w:ascii="Times New Roman" w:hAnsi="Times New Roman" w:cs="Times New Roman"/>
                      <w:bCs w:val="0"/>
                      <w:color w:val="auto"/>
                      <w:sz w:val="21"/>
                      <w:szCs w:val="21"/>
                      <w:highlight w:val="none"/>
                    </w:rPr>
                    <w:t>NO</w:t>
                  </w:r>
                  <w:r>
                    <w:rPr>
                      <w:rFonts w:hint="default" w:ascii="Times New Roman" w:hAnsi="Times New Roman" w:cs="Times New Roman"/>
                      <w:bCs w:val="0"/>
                      <w:color w:val="auto"/>
                      <w:sz w:val="21"/>
                      <w:szCs w:val="21"/>
                      <w:highlight w:val="none"/>
                      <w:vertAlign w:val="subscript"/>
                    </w:rPr>
                    <w:t>x</w:t>
                  </w:r>
                </w:p>
              </w:tc>
              <w:tc>
                <w:tcPr>
                  <w:tcW w:w="1461" w:type="dxa"/>
                  <w:noWrap w:val="0"/>
                  <w:vAlign w:val="center"/>
                </w:tcPr>
                <w:p>
                  <w:pPr>
                    <w:widowControl/>
                    <w:jc w:val="center"/>
                    <w:rPr>
                      <w:rFonts w:hint="default" w:cs="Times New Roman"/>
                      <w:bCs/>
                      <w:color w:val="auto"/>
                      <w:sz w:val="21"/>
                      <w:szCs w:val="21"/>
                      <w:highlight w:val="none"/>
                      <w:lang w:val="en-US" w:eastAsia="zh-CN"/>
                    </w:rPr>
                  </w:pPr>
                  <w:r>
                    <w:rPr>
                      <w:rFonts w:hint="eastAsia" w:cs="Times New Roman"/>
                      <w:bCs/>
                      <w:color w:val="auto"/>
                      <w:sz w:val="21"/>
                      <w:szCs w:val="21"/>
                      <w:highlight w:val="none"/>
                      <w:lang w:val="en-US" w:eastAsia="zh-CN"/>
                    </w:rPr>
                    <w:t>5.125</w:t>
                  </w:r>
                </w:p>
              </w:tc>
              <w:tc>
                <w:tcPr>
                  <w:tcW w:w="1206"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0.5</w:t>
                  </w:r>
                </w:p>
              </w:tc>
              <w:tc>
                <w:tcPr>
                  <w:tcW w:w="980" w:type="dxa"/>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r>
                    <w:rPr>
                      <w:rFonts w:hint="eastAsia" w:cs="Times New Roman"/>
                      <w:bCs/>
                      <w:color w:val="auto"/>
                      <w:kern w:val="2"/>
                      <w:sz w:val="21"/>
                      <w:szCs w:val="21"/>
                      <w:highlight w:val="none"/>
                      <w:lang w:val="en-US" w:eastAsia="zh-CN" w:bidi="ar-SA"/>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1" w:hRule="atLeast"/>
                <w:jc w:val="center"/>
              </w:trPr>
              <w:tc>
                <w:tcPr>
                  <w:tcW w:w="1532" w:type="dxa"/>
                  <w:vMerge w:val="continue"/>
                  <w:noWrap w:val="0"/>
                  <w:vAlign w:val="center"/>
                </w:tcPr>
                <w:p>
                  <w:pPr>
                    <w:widowControl w:val="0"/>
                    <w:adjustRightInd w:val="0"/>
                    <w:snapToGrid w:val="0"/>
                    <w:ind w:firstLine="0"/>
                    <w:jc w:val="center"/>
                    <w:rPr>
                      <w:rFonts w:hint="default" w:ascii="Times New Roman" w:hAnsi="Times New Roman" w:eastAsia="宋体" w:cs="Times New Roman"/>
                      <w:bCs/>
                      <w:color w:val="auto"/>
                      <w:kern w:val="2"/>
                      <w:sz w:val="21"/>
                      <w:szCs w:val="21"/>
                      <w:highlight w:val="none"/>
                      <w:lang w:val="en-US" w:eastAsia="zh-CN" w:bidi="ar-SA"/>
                    </w:rPr>
                  </w:pPr>
                </w:p>
              </w:tc>
              <w:tc>
                <w:tcPr>
                  <w:tcW w:w="2376" w:type="dxa"/>
                  <w:noWrap w:val="0"/>
                  <w:vAlign w:val="center"/>
                </w:tcPr>
                <w:p>
                  <w:pPr>
                    <w:widowControl w:val="0"/>
                    <w:adjustRightInd w:val="0"/>
                    <w:snapToGrid w:val="0"/>
                    <w:ind w:firstLine="0" w:firstLineChars="0"/>
                    <w:jc w:val="center"/>
                    <w:rPr>
                      <w:rFonts w:hint="default" w:cs="Times New Roman"/>
                      <w:bCs/>
                      <w:color w:val="FF0000"/>
                      <w:kern w:val="2"/>
                      <w:sz w:val="21"/>
                      <w:szCs w:val="21"/>
                      <w:highlight w:val="none"/>
                      <w:lang w:val="en-US" w:eastAsia="zh-CN" w:bidi="ar-SA"/>
                    </w:rPr>
                  </w:pPr>
                  <w:r>
                    <w:rPr>
                      <w:rFonts w:hint="eastAsia" w:cs="Times New Roman"/>
                      <w:bCs/>
                      <w:color w:val="FF0000"/>
                      <w:kern w:val="2"/>
                      <w:sz w:val="21"/>
                      <w:szCs w:val="21"/>
                      <w:highlight w:val="none"/>
                      <w:lang w:val="en-US" w:eastAsia="zh-CN" w:bidi="ar-SA"/>
                    </w:rPr>
                    <w:t>协同处理失效</w:t>
                  </w:r>
                </w:p>
              </w:tc>
              <w:tc>
                <w:tcPr>
                  <w:tcW w:w="950" w:type="dxa"/>
                  <w:noWrap w:val="0"/>
                  <w:vAlign w:val="center"/>
                </w:tcPr>
                <w:p>
                  <w:pPr>
                    <w:widowControl/>
                    <w:jc w:val="center"/>
                    <w:rPr>
                      <w:rFonts w:hint="default" w:ascii="Times New Roman" w:hAnsi="Times New Roman" w:cs="Times New Roman"/>
                      <w:bCs w:val="0"/>
                      <w:color w:val="FF0000"/>
                      <w:sz w:val="21"/>
                      <w:szCs w:val="21"/>
                      <w:highlight w:val="none"/>
                    </w:rPr>
                  </w:pPr>
                  <w:r>
                    <w:rPr>
                      <w:rFonts w:hint="default" w:ascii="Times New Roman" w:hAnsi="Times New Roman" w:cs="Times New Roman"/>
                      <w:bCs w:val="0"/>
                      <w:color w:val="FF0000"/>
                      <w:sz w:val="21"/>
                      <w:szCs w:val="21"/>
                      <w:highlight w:val="none"/>
                      <w:lang w:eastAsia="zh-CN"/>
                    </w:rPr>
                    <w:t>汞及其化合物</w:t>
                  </w:r>
                </w:p>
              </w:tc>
              <w:tc>
                <w:tcPr>
                  <w:tcW w:w="1461" w:type="dxa"/>
                  <w:noWrap w:val="0"/>
                  <w:vAlign w:val="center"/>
                </w:tcPr>
                <w:p>
                  <w:pPr>
                    <w:widowControl/>
                    <w:jc w:val="center"/>
                    <w:rPr>
                      <w:rFonts w:hint="default" w:cs="Times New Roman"/>
                      <w:bCs/>
                      <w:color w:val="FF0000"/>
                      <w:sz w:val="21"/>
                      <w:szCs w:val="21"/>
                      <w:highlight w:val="none"/>
                      <w:lang w:val="en-US" w:eastAsia="zh-CN"/>
                    </w:rPr>
                  </w:pPr>
                  <w:r>
                    <w:rPr>
                      <w:rFonts w:hint="eastAsia" w:cs="Times New Roman"/>
                      <w:bCs/>
                      <w:color w:val="FF0000"/>
                      <w:sz w:val="21"/>
                      <w:szCs w:val="21"/>
                      <w:highlight w:val="none"/>
                      <w:lang w:val="en-US" w:eastAsia="zh-CN"/>
                    </w:rPr>
                    <w:t>0.0003</w:t>
                  </w:r>
                </w:p>
              </w:tc>
              <w:tc>
                <w:tcPr>
                  <w:tcW w:w="1206" w:type="dxa"/>
                  <w:noWrap w:val="0"/>
                  <w:vAlign w:val="center"/>
                </w:tcPr>
                <w:p>
                  <w:pPr>
                    <w:widowControl w:val="0"/>
                    <w:adjustRightInd w:val="0"/>
                    <w:snapToGrid w:val="0"/>
                    <w:ind w:firstLine="0"/>
                    <w:jc w:val="center"/>
                    <w:rPr>
                      <w:rFonts w:hint="default" w:cs="Times New Roman"/>
                      <w:bCs/>
                      <w:color w:val="FF0000"/>
                      <w:kern w:val="2"/>
                      <w:sz w:val="21"/>
                      <w:szCs w:val="21"/>
                      <w:highlight w:val="none"/>
                      <w:lang w:val="en-US" w:eastAsia="zh-CN" w:bidi="ar-SA"/>
                    </w:rPr>
                  </w:pPr>
                  <w:r>
                    <w:rPr>
                      <w:rFonts w:hint="eastAsia" w:cs="Times New Roman"/>
                      <w:bCs/>
                      <w:color w:val="FF0000"/>
                      <w:kern w:val="2"/>
                      <w:sz w:val="21"/>
                      <w:szCs w:val="21"/>
                      <w:highlight w:val="none"/>
                      <w:lang w:val="en-US" w:eastAsia="zh-CN" w:bidi="ar-SA"/>
                    </w:rPr>
                    <w:t>0.5</w:t>
                  </w:r>
                </w:p>
              </w:tc>
              <w:tc>
                <w:tcPr>
                  <w:tcW w:w="980" w:type="dxa"/>
                  <w:noWrap w:val="0"/>
                  <w:vAlign w:val="center"/>
                </w:tcPr>
                <w:p>
                  <w:pPr>
                    <w:widowControl w:val="0"/>
                    <w:adjustRightInd w:val="0"/>
                    <w:snapToGrid w:val="0"/>
                    <w:ind w:firstLine="0"/>
                    <w:jc w:val="center"/>
                    <w:rPr>
                      <w:rFonts w:hint="default" w:cs="Times New Roman"/>
                      <w:bCs/>
                      <w:color w:val="FF0000"/>
                      <w:kern w:val="2"/>
                      <w:sz w:val="21"/>
                      <w:szCs w:val="21"/>
                      <w:highlight w:val="none"/>
                      <w:lang w:val="en-US" w:eastAsia="zh-CN" w:bidi="ar-SA"/>
                    </w:rPr>
                  </w:pPr>
                  <w:r>
                    <w:rPr>
                      <w:rFonts w:hint="eastAsia" w:cs="Times New Roman"/>
                      <w:bCs/>
                      <w:color w:val="FF0000"/>
                      <w:kern w:val="2"/>
                      <w:sz w:val="21"/>
                      <w:szCs w:val="21"/>
                      <w:highlight w:val="none"/>
                      <w:lang w:val="en-US" w:eastAsia="zh-CN" w:bidi="ar-SA"/>
                    </w:rPr>
                    <w:t>/</w:t>
                  </w:r>
                </w:p>
              </w:tc>
            </w:tr>
          </w:tbl>
          <w:p>
            <w:pPr>
              <w:pStyle w:val="119"/>
              <w:spacing w:line="360" w:lineRule="auto"/>
              <w:ind w:firstLine="480" w:firstLineChars="200"/>
              <w:jc w:val="both"/>
              <w:rPr>
                <w:rFonts w:hint="default" w:ascii="Times New Roman" w:hAnsi="Times New Roman" w:eastAsia="宋体" w:cs="Times New Roman"/>
                <w:color w:val="auto"/>
                <w:sz w:val="24"/>
                <w:highlight w:val="none"/>
              </w:rPr>
            </w:pPr>
            <w:r>
              <w:rPr>
                <w:rFonts w:hint="default" w:ascii="Times New Roman" w:hAnsi="Times New Roman" w:eastAsia="宋体" w:cs="Times New Roman"/>
                <w:color w:val="auto"/>
                <w:szCs w:val="24"/>
                <w:highlight w:val="none"/>
              </w:rPr>
              <w:t>通过上述环保措施处理后通过</w:t>
            </w:r>
            <w:r>
              <w:rPr>
                <w:rFonts w:hint="eastAsia" w:ascii="Times New Roman" w:eastAsia="宋体" w:cs="Times New Roman"/>
                <w:color w:val="auto"/>
                <w:szCs w:val="24"/>
                <w:highlight w:val="none"/>
                <w:lang w:val="en-US" w:eastAsia="zh-CN"/>
              </w:rPr>
              <w:t>60</w:t>
            </w:r>
            <w:r>
              <w:rPr>
                <w:rFonts w:hint="default" w:ascii="Times New Roman" w:hAnsi="Times New Roman" w:eastAsia="宋体" w:cs="Times New Roman"/>
                <w:color w:val="auto"/>
                <w:szCs w:val="24"/>
                <w:highlight w:val="none"/>
              </w:rPr>
              <w:t>m高</w:t>
            </w:r>
            <w:r>
              <w:rPr>
                <w:rFonts w:hint="eastAsia" w:ascii="Times New Roman" w:eastAsia="宋体" w:cs="Times New Roman"/>
                <w:color w:val="auto"/>
                <w:szCs w:val="24"/>
                <w:highlight w:val="none"/>
                <w:lang w:eastAsia="zh-CN"/>
              </w:rPr>
              <w:t>烟囱</w:t>
            </w:r>
            <w:r>
              <w:rPr>
                <w:rFonts w:hint="default" w:ascii="Times New Roman" w:hAnsi="Times New Roman" w:eastAsia="宋体" w:cs="Times New Roman"/>
                <w:color w:val="auto"/>
                <w:szCs w:val="24"/>
                <w:highlight w:val="none"/>
              </w:rPr>
              <w:t>排放，SO</w:t>
            </w:r>
            <w:r>
              <w:rPr>
                <w:rFonts w:hint="default" w:ascii="Times New Roman" w:hAnsi="Times New Roman" w:eastAsia="宋体" w:cs="Times New Roman"/>
                <w:color w:val="auto"/>
                <w:szCs w:val="24"/>
                <w:highlight w:val="none"/>
                <w:vertAlign w:val="subscript"/>
              </w:rPr>
              <w:t>2</w:t>
            </w:r>
            <w:r>
              <w:rPr>
                <w:rFonts w:hint="default" w:ascii="Times New Roman" w:hAnsi="Times New Roman" w:eastAsia="宋体" w:cs="Times New Roman"/>
                <w:color w:val="auto"/>
                <w:szCs w:val="24"/>
                <w:highlight w:val="none"/>
              </w:rPr>
              <w:t>、颗粒物</w:t>
            </w:r>
            <w:r>
              <w:rPr>
                <w:rFonts w:hint="eastAsia" w:ascii="Times New Roman" w:eastAsia="宋体" w:cs="Times New Roman"/>
                <w:color w:val="auto"/>
                <w:szCs w:val="24"/>
                <w:highlight w:val="none"/>
                <w:lang w:eastAsia="zh-CN"/>
              </w:rPr>
              <w:t>、汞及其化合物</w:t>
            </w:r>
            <w:r>
              <w:rPr>
                <w:rFonts w:hint="default" w:ascii="Times New Roman" w:hAnsi="Times New Roman" w:eastAsia="宋体" w:cs="Times New Roman"/>
                <w:color w:val="auto"/>
                <w:szCs w:val="24"/>
                <w:highlight w:val="none"/>
              </w:rPr>
              <w:t>和NO</w:t>
            </w:r>
            <w:r>
              <w:rPr>
                <w:rFonts w:hint="default" w:ascii="Times New Roman" w:hAnsi="Times New Roman" w:eastAsia="宋体" w:cs="Times New Roman"/>
                <w:color w:val="auto"/>
                <w:szCs w:val="24"/>
                <w:highlight w:val="none"/>
                <w:vertAlign w:val="subscript"/>
              </w:rPr>
              <w:t>x</w:t>
            </w:r>
            <w:r>
              <w:rPr>
                <w:rFonts w:hint="default" w:ascii="Times New Roman" w:hAnsi="Times New Roman" w:eastAsia="宋体" w:cs="Times New Roman"/>
                <w:color w:val="auto"/>
                <w:szCs w:val="24"/>
                <w:highlight w:val="none"/>
              </w:rPr>
              <w:t>满足《</w:t>
            </w:r>
            <w:r>
              <w:rPr>
                <w:rFonts w:hint="eastAsia" w:ascii="Times New Roman" w:eastAsia="宋体" w:cs="Times New Roman"/>
                <w:color w:val="auto"/>
                <w:szCs w:val="24"/>
                <w:highlight w:val="none"/>
                <w:lang w:eastAsia="zh-CN"/>
              </w:rPr>
              <w:t>锅炉</w:t>
            </w:r>
            <w:r>
              <w:rPr>
                <w:rFonts w:hint="default" w:ascii="Times New Roman" w:hAnsi="Times New Roman" w:eastAsia="宋体" w:cs="Times New Roman"/>
                <w:color w:val="auto"/>
                <w:szCs w:val="24"/>
                <w:highlight w:val="none"/>
              </w:rPr>
              <w:t>大气污染物排放标准》（GB</w:t>
            </w:r>
            <w:r>
              <w:rPr>
                <w:rFonts w:hint="eastAsia" w:ascii="Times New Roman" w:eastAsia="宋体" w:cs="Times New Roman"/>
                <w:color w:val="auto"/>
                <w:szCs w:val="24"/>
                <w:highlight w:val="none"/>
                <w:lang w:val="en-US" w:eastAsia="zh-CN"/>
              </w:rPr>
              <w:t>13271</w:t>
            </w:r>
            <w:r>
              <w:rPr>
                <w:rFonts w:hint="default" w:ascii="Times New Roman" w:hAnsi="Times New Roman" w:eastAsia="宋体" w:cs="Times New Roman"/>
                <w:color w:val="auto"/>
                <w:szCs w:val="24"/>
                <w:highlight w:val="none"/>
              </w:rPr>
              <w:t>-</w:t>
            </w:r>
            <w:r>
              <w:rPr>
                <w:rFonts w:hint="eastAsia" w:ascii="Times New Roman" w:eastAsia="宋体" w:cs="Times New Roman"/>
                <w:color w:val="auto"/>
                <w:szCs w:val="24"/>
                <w:highlight w:val="none"/>
                <w:lang w:val="en-US" w:eastAsia="zh-CN"/>
              </w:rPr>
              <w:t>2014</w:t>
            </w:r>
            <w:r>
              <w:rPr>
                <w:rFonts w:hint="default" w:ascii="Times New Roman" w:hAnsi="Times New Roman" w:eastAsia="宋体" w:cs="Times New Roman"/>
                <w:color w:val="auto"/>
                <w:szCs w:val="24"/>
                <w:highlight w:val="none"/>
              </w:rPr>
              <w:t>）中</w:t>
            </w:r>
            <w:r>
              <w:rPr>
                <w:rFonts w:hint="eastAsia" w:ascii="Times New Roman" w:eastAsia="宋体" w:cs="Times New Roman"/>
                <w:color w:val="auto"/>
                <w:szCs w:val="24"/>
                <w:highlight w:val="none"/>
                <w:lang w:eastAsia="zh-CN"/>
              </w:rPr>
              <w:t>表</w:t>
            </w:r>
            <w:r>
              <w:rPr>
                <w:rFonts w:hint="eastAsia" w:ascii="Times New Roman" w:eastAsia="宋体" w:cs="Times New Roman"/>
                <w:color w:val="auto"/>
                <w:szCs w:val="24"/>
                <w:highlight w:val="none"/>
                <w:lang w:val="en-US" w:eastAsia="zh-CN"/>
              </w:rPr>
              <w:t>2</w:t>
            </w:r>
            <w:r>
              <w:rPr>
                <w:rFonts w:hint="default" w:ascii="Times New Roman" w:hAnsi="Times New Roman" w:eastAsia="宋体" w:cs="Times New Roman"/>
                <w:color w:val="auto"/>
                <w:szCs w:val="24"/>
                <w:highlight w:val="none"/>
              </w:rPr>
              <w:t>的排放限值，对环境影响很小。从大气环境影响角度分析，项目建设可行。</w:t>
            </w:r>
            <w:r>
              <w:rPr>
                <w:rFonts w:hint="default" w:ascii="Times New Roman" w:hAnsi="Times New Roman" w:eastAsia="宋体" w:cs="Times New Roman"/>
                <w:color w:val="auto"/>
                <w:sz w:val="24"/>
                <w:highlight w:val="none"/>
              </w:rPr>
              <w:t>废气污染源源强核算结果见表5-</w:t>
            </w:r>
            <w:r>
              <w:rPr>
                <w:rFonts w:hint="eastAsia" w:ascii="Times New Roman" w:eastAsia="宋体" w:cs="Times New Roman"/>
                <w:color w:val="auto"/>
                <w:sz w:val="24"/>
                <w:highlight w:val="none"/>
                <w:lang w:val="en-US" w:eastAsia="zh-CN"/>
              </w:rPr>
              <w:t>3</w:t>
            </w:r>
            <w:r>
              <w:rPr>
                <w:rFonts w:hint="default" w:ascii="Times New Roman" w:hAnsi="Times New Roman" w:eastAsia="宋体" w:cs="Times New Roman"/>
                <w:color w:val="auto"/>
                <w:sz w:val="24"/>
                <w:highlight w:val="none"/>
              </w:rPr>
              <w:t>。</w:t>
            </w:r>
            <w:bookmarkEnd w:id="16"/>
          </w:p>
          <w:p>
            <w:pPr>
              <w:numPr>
                <w:ilvl w:val="0"/>
                <w:numId w:val="4"/>
              </w:numPr>
              <w:adjustRightInd w:val="0"/>
              <w:snapToGrid w:val="0"/>
              <w:spacing w:line="500" w:lineRule="exact"/>
              <w:ind w:firstLine="482" w:firstLineChars="200"/>
              <w:rPr>
                <w:b/>
                <w:color w:val="auto"/>
                <w:sz w:val="24"/>
                <w:highlight w:val="none"/>
              </w:rPr>
            </w:pPr>
            <w:r>
              <w:rPr>
                <w:b/>
                <w:color w:val="auto"/>
                <w:sz w:val="24"/>
                <w:highlight w:val="none"/>
              </w:rPr>
              <w:t>废水污染源分析：</w:t>
            </w:r>
          </w:p>
          <w:p>
            <w:pPr>
              <w:adjustRightInd w:val="0"/>
              <w:snapToGrid w:val="0"/>
              <w:spacing w:line="500" w:lineRule="exact"/>
              <w:ind w:firstLine="480" w:firstLineChars="200"/>
              <w:rPr>
                <w:color w:val="auto"/>
                <w:sz w:val="24"/>
                <w:highlight w:val="none"/>
              </w:rPr>
            </w:pPr>
            <w:r>
              <w:rPr>
                <w:rFonts w:hint="eastAsia" w:hAnsi="宋体"/>
                <w:color w:val="auto"/>
                <w:sz w:val="24"/>
                <w:highlight w:val="none"/>
              </w:rPr>
              <w:t>本项目不新增员工，故不增加员工生活污水；生产废水主要是脱硫废水。脱硫水</w:t>
            </w:r>
            <w:r>
              <w:rPr>
                <w:rFonts w:hint="eastAsia" w:hAnsi="宋体"/>
                <w:color w:val="auto"/>
                <w:sz w:val="24"/>
                <w:highlight w:val="none"/>
                <w:lang w:eastAsia="zh-CN"/>
              </w:rPr>
              <w:t>消耗量按脱硫系统补水量的</w:t>
            </w:r>
            <w:r>
              <w:rPr>
                <w:rFonts w:hint="eastAsia" w:hAnsi="宋体"/>
                <w:color w:val="auto"/>
                <w:sz w:val="24"/>
                <w:highlight w:val="none"/>
                <w:lang w:val="en-US" w:eastAsia="zh-CN"/>
              </w:rPr>
              <w:t>25</w:t>
            </w:r>
            <w:r>
              <w:rPr>
                <w:rFonts w:hint="eastAsia" w:hAnsi="宋体"/>
                <w:color w:val="auto"/>
                <w:sz w:val="24"/>
                <w:highlight w:val="none"/>
              </w:rPr>
              <w:t>%，</w:t>
            </w:r>
            <w:r>
              <w:rPr>
                <w:rFonts w:hint="eastAsia" w:hAnsi="宋体"/>
                <w:color w:val="auto"/>
                <w:sz w:val="24"/>
                <w:highlight w:val="none"/>
                <w:lang w:eastAsia="zh-CN"/>
              </w:rPr>
              <w:t>消耗</w:t>
            </w:r>
            <w:r>
              <w:rPr>
                <w:rFonts w:hint="eastAsia" w:hAnsi="宋体"/>
                <w:color w:val="auto"/>
                <w:sz w:val="24"/>
                <w:highlight w:val="none"/>
              </w:rPr>
              <w:t>量为</w:t>
            </w:r>
            <w:r>
              <w:rPr>
                <w:rFonts w:hint="eastAsia" w:hAnsi="宋体"/>
                <w:color w:val="auto"/>
                <w:sz w:val="24"/>
                <w:highlight w:val="none"/>
                <w:lang w:val="en-US" w:eastAsia="zh-CN"/>
              </w:rPr>
              <w:t>2t/d，360</w:t>
            </w:r>
            <w:r>
              <w:rPr>
                <w:rFonts w:hint="eastAsia" w:hAnsi="宋体"/>
                <w:color w:val="auto"/>
                <w:sz w:val="24"/>
                <w:highlight w:val="none"/>
              </w:rPr>
              <w:t>t/</w:t>
            </w:r>
            <w:r>
              <w:rPr>
                <w:rFonts w:hint="eastAsia" w:hAnsi="宋体"/>
                <w:color w:val="auto"/>
                <w:sz w:val="24"/>
                <w:highlight w:val="none"/>
                <w:lang w:val="en-US" w:eastAsia="zh-CN"/>
              </w:rPr>
              <w:t>a</w:t>
            </w:r>
            <w:r>
              <w:rPr>
                <w:rFonts w:hint="eastAsia" w:hAnsi="宋体"/>
                <w:color w:val="auto"/>
                <w:sz w:val="24"/>
                <w:highlight w:val="none"/>
                <w:lang w:eastAsia="zh-CN"/>
              </w:rPr>
              <w:t>。</w:t>
            </w:r>
            <w:r>
              <w:rPr>
                <w:rFonts w:hint="eastAsia" w:hAnsi="宋体"/>
                <w:color w:val="auto"/>
                <w:sz w:val="24"/>
                <w:highlight w:val="none"/>
              </w:rPr>
              <w:t>脱硫</w:t>
            </w:r>
            <w:r>
              <w:rPr>
                <w:rFonts w:hint="eastAsia" w:hAnsi="宋体"/>
                <w:color w:val="auto"/>
                <w:sz w:val="24"/>
                <w:highlight w:val="none"/>
                <w:lang w:eastAsia="zh-CN"/>
              </w:rPr>
              <w:t>废</w:t>
            </w:r>
            <w:r>
              <w:rPr>
                <w:rFonts w:hint="eastAsia" w:hAnsi="宋体"/>
                <w:color w:val="auto"/>
                <w:sz w:val="24"/>
                <w:highlight w:val="none"/>
              </w:rPr>
              <w:t>水</w:t>
            </w:r>
            <w:r>
              <w:rPr>
                <w:rFonts w:hint="eastAsia" w:hAnsi="宋体"/>
                <w:color w:val="auto"/>
                <w:sz w:val="24"/>
                <w:highlight w:val="none"/>
                <w:lang w:eastAsia="zh-CN"/>
              </w:rPr>
              <w:t>经混凝沉淀处理后循环使用，不外排</w:t>
            </w:r>
            <w:r>
              <w:rPr>
                <w:rFonts w:hint="eastAsia" w:hAnsi="宋体"/>
                <w:color w:val="auto"/>
                <w:sz w:val="24"/>
                <w:highlight w:val="none"/>
              </w:rPr>
              <w:t>。</w:t>
            </w:r>
            <w:r>
              <w:rPr>
                <w:rFonts w:hint="eastAsia" w:hAnsi="宋体"/>
                <w:color w:val="auto"/>
                <w:sz w:val="24"/>
                <w:highlight w:val="none"/>
                <w:lang w:eastAsia="zh-CN"/>
              </w:rPr>
              <w:t>脱硫水循环水量</w:t>
            </w:r>
            <w:r>
              <w:rPr>
                <w:rFonts w:hint="eastAsia" w:hAnsi="宋体"/>
                <w:color w:val="auto"/>
                <w:sz w:val="24"/>
                <w:highlight w:val="none"/>
              </w:rPr>
              <w:t>为</w:t>
            </w:r>
            <w:r>
              <w:rPr>
                <w:rFonts w:hint="eastAsia" w:hAnsi="宋体"/>
                <w:color w:val="auto"/>
                <w:sz w:val="24"/>
                <w:highlight w:val="none"/>
                <w:lang w:val="en-US" w:eastAsia="zh-CN"/>
              </w:rPr>
              <w:t>6t/d，1080</w:t>
            </w:r>
            <w:r>
              <w:rPr>
                <w:rFonts w:hint="eastAsia" w:hAnsi="宋体"/>
                <w:color w:val="auto"/>
                <w:sz w:val="24"/>
                <w:highlight w:val="none"/>
              </w:rPr>
              <w:t>t/</w:t>
            </w:r>
            <w:r>
              <w:rPr>
                <w:rFonts w:hint="eastAsia" w:hAnsi="宋体"/>
                <w:color w:val="auto"/>
                <w:sz w:val="24"/>
                <w:highlight w:val="none"/>
                <w:lang w:val="en-US" w:eastAsia="zh-CN"/>
              </w:rPr>
              <w:t>a</w:t>
            </w:r>
            <w:r>
              <w:rPr>
                <w:rFonts w:hint="eastAsia" w:hAnsi="宋体"/>
                <w:color w:val="auto"/>
                <w:sz w:val="24"/>
                <w:highlight w:val="none"/>
                <w:lang w:eastAsia="zh-CN"/>
              </w:rPr>
              <w:t>。</w:t>
            </w:r>
            <w:r>
              <w:rPr>
                <w:rFonts w:hint="eastAsia" w:hAnsi="宋体"/>
                <w:color w:val="auto"/>
                <w:sz w:val="24"/>
                <w:highlight w:val="none"/>
              </w:rPr>
              <w:t>脱硫废水经</w:t>
            </w:r>
            <w:r>
              <w:rPr>
                <w:rFonts w:hint="eastAsia" w:hAnsi="宋体"/>
                <w:color w:val="auto"/>
                <w:sz w:val="24"/>
                <w:highlight w:val="none"/>
                <w:lang w:eastAsia="zh-CN"/>
              </w:rPr>
              <w:t>混凝沉淀</w:t>
            </w:r>
            <w:r>
              <w:rPr>
                <w:rFonts w:hint="eastAsia" w:hAnsi="宋体"/>
                <w:color w:val="auto"/>
                <w:sz w:val="24"/>
                <w:highlight w:val="none"/>
              </w:rPr>
              <w:t>处理后</w:t>
            </w:r>
            <w:r>
              <w:rPr>
                <w:rFonts w:hint="eastAsia" w:hAnsi="宋体"/>
                <w:color w:val="auto"/>
                <w:sz w:val="24"/>
                <w:highlight w:val="none"/>
                <w:lang w:eastAsia="zh-CN"/>
              </w:rPr>
              <w:t>循环使用，不外排</w:t>
            </w:r>
            <w:r>
              <w:rPr>
                <w:rFonts w:hint="eastAsia" w:hAnsi="宋体"/>
                <w:color w:val="auto"/>
                <w:sz w:val="24"/>
                <w:highlight w:val="none"/>
              </w:rPr>
              <w:t>。</w:t>
            </w:r>
          </w:p>
          <w:p>
            <w:pPr>
              <w:numPr>
                <w:ilvl w:val="0"/>
                <w:numId w:val="4"/>
              </w:numPr>
              <w:adjustRightInd w:val="0"/>
              <w:snapToGrid w:val="0"/>
              <w:spacing w:line="500" w:lineRule="atLeast"/>
              <w:ind w:firstLine="482" w:firstLineChars="200"/>
              <w:rPr>
                <w:b/>
                <w:color w:val="auto"/>
                <w:sz w:val="24"/>
                <w:highlight w:val="none"/>
              </w:rPr>
            </w:pPr>
            <w:r>
              <w:rPr>
                <w:b/>
                <w:color w:val="auto"/>
                <w:sz w:val="24"/>
                <w:highlight w:val="none"/>
              </w:rPr>
              <w:t>噪声污染源分析：</w:t>
            </w:r>
          </w:p>
          <w:p>
            <w:pPr>
              <w:spacing w:line="500" w:lineRule="exact"/>
              <w:ind w:firstLine="482"/>
              <w:rPr>
                <w:color w:val="auto"/>
                <w:kern w:val="0"/>
                <w:sz w:val="24"/>
                <w:highlight w:val="none"/>
              </w:rPr>
            </w:pPr>
            <w:r>
              <w:rPr>
                <w:color w:val="auto"/>
                <w:kern w:val="0"/>
                <w:sz w:val="24"/>
                <w:highlight w:val="none"/>
              </w:rPr>
              <w:t>本项目主要噪声设备为引风机、鼓风机、补给水输送泵等，机械噪声70~80dB(A)，产噪声设备多布置在室内。对于固定声源设备要采取机座减</w:t>
            </w:r>
            <w:r>
              <w:rPr>
                <w:rFonts w:hint="eastAsia"/>
                <w:color w:val="auto"/>
                <w:kern w:val="0"/>
                <w:sz w:val="24"/>
                <w:highlight w:val="none"/>
              </w:rPr>
              <w:t>振</w:t>
            </w:r>
            <w:r>
              <w:rPr>
                <w:color w:val="auto"/>
                <w:kern w:val="0"/>
                <w:sz w:val="24"/>
                <w:highlight w:val="none"/>
              </w:rPr>
              <w:t>降噪措施，减小噪声源对厂界声环境的贡献值，确保</w:t>
            </w:r>
            <w:r>
              <w:rPr>
                <w:rFonts w:hint="eastAsia"/>
                <w:color w:val="auto"/>
                <w:kern w:val="0"/>
                <w:sz w:val="24"/>
                <w:highlight w:val="none"/>
              </w:rPr>
              <w:t>厂界外1m处噪声</w:t>
            </w:r>
            <w:r>
              <w:rPr>
                <w:color w:val="auto"/>
                <w:kern w:val="0"/>
                <w:sz w:val="24"/>
                <w:highlight w:val="none"/>
              </w:rPr>
              <w:t>符合《工业企业厂界环境噪声排放标准》（GB12348-2008）中2类标准要求。</w:t>
            </w:r>
            <w:r>
              <w:rPr>
                <w:rFonts w:hint="eastAsia"/>
                <w:color w:val="auto"/>
                <w:sz w:val="24"/>
                <w:highlight w:val="none"/>
              </w:rPr>
              <w:t>噪声污染源源强核算结果见表</w:t>
            </w:r>
            <w:r>
              <w:rPr>
                <w:color w:val="auto"/>
                <w:sz w:val="24"/>
                <w:highlight w:val="none"/>
              </w:rPr>
              <w:t>5-</w:t>
            </w:r>
            <w:r>
              <w:rPr>
                <w:rFonts w:hint="eastAsia"/>
                <w:color w:val="auto"/>
                <w:sz w:val="24"/>
                <w:highlight w:val="none"/>
                <w:lang w:val="en-US" w:eastAsia="zh-CN"/>
              </w:rPr>
              <w:t>4</w:t>
            </w:r>
            <w:r>
              <w:rPr>
                <w:rFonts w:hint="eastAsia"/>
                <w:color w:val="auto"/>
                <w:sz w:val="24"/>
                <w:highlight w:val="none"/>
              </w:rPr>
              <w:t>。</w:t>
            </w:r>
          </w:p>
          <w:p>
            <w:pPr>
              <w:numPr>
                <w:ilvl w:val="0"/>
                <w:numId w:val="4"/>
              </w:numPr>
              <w:adjustRightInd w:val="0"/>
              <w:snapToGrid w:val="0"/>
              <w:spacing w:line="500" w:lineRule="exact"/>
              <w:ind w:firstLine="482" w:firstLineChars="200"/>
              <w:rPr>
                <w:b/>
                <w:color w:val="auto"/>
                <w:sz w:val="24"/>
                <w:highlight w:val="none"/>
              </w:rPr>
            </w:pPr>
            <w:r>
              <w:rPr>
                <w:b/>
                <w:color w:val="auto"/>
                <w:sz w:val="24"/>
                <w:highlight w:val="none"/>
              </w:rPr>
              <w:t>固体废物污染源分析：</w:t>
            </w:r>
          </w:p>
          <w:p>
            <w:pPr>
              <w:autoSpaceDE w:val="0"/>
              <w:autoSpaceDN w:val="0"/>
              <w:adjustRightInd w:val="0"/>
              <w:spacing w:line="360" w:lineRule="auto"/>
              <w:ind w:firstLine="480" w:firstLineChars="200"/>
              <w:rPr>
                <w:rFonts w:hint="default"/>
                <w:color w:val="auto"/>
                <w:kern w:val="0"/>
                <w:sz w:val="24"/>
                <w:highlight w:val="none"/>
              </w:rPr>
            </w:pPr>
            <w:r>
              <w:rPr>
                <w:color w:val="auto"/>
                <w:kern w:val="0"/>
                <w:sz w:val="24"/>
                <w:highlight w:val="none"/>
              </w:rPr>
              <w:t>本项目</w:t>
            </w:r>
            <w:r>
              <w:rPr>
                <w:rFonts w:hint="eastAsia"/>
                <w:color w:val="auto"/>
                <w:kern w:val="0"/>
                <w:sz w:val="24"/>
                <w:highlight w:val="none"/>
              </w:rPr>
              <w:t>无新增员工</w:t>
            </w:r>
            <w:r>
              <w:rPr>
                <w:color w:val="auto"/>
                <w:kern w:val="0"/>
                <w:sz w:val="24"/>
                <w:highlight w:val="none"/>
              </w:rPr>
              <w:t>，</w:t>
            </w:r>
            <w:r>
              <w:rPr>
                <w:rFonts w:hint="eastAsia"/>
                <w:color w:val="auto"/>
                <w:kern w:val="0"/>
                <w:sz w:val="24"/>
                <w:highlight w:val="none"/>
              </w:rPr>
              <w:t>因此无新增</w:t>
            </w:r>
            <w:r>
              <w:rPr>
                <w:color w:val="auto"/>
                <w:kern w:val="0"/>
                <w:sz w:val="24"/>
                <w:highlight w:val="none"/>
              </w:rPr>
              <w:t>生活垃圾量；</w:t>
            </w:r>
            <w:r>
              <w:rPr>
                <w:rFonts w:hint="default"/>
                <w:color w:val="auto"/>
                <w:kern w:val="0"/>
                <w:sz w:val="24"/>
                <w:highlight w:val="none"/>
                <w:lang w:eastAsia="zh-CN"/>
              </w:rPr>
              <w:t>本项目固废主要是除尘器回收粉尘、废离子交换树脂</w:t>
            </w:r>
            <w:r>
              <w:rPr>
                <w:rFonts w:hint="eastAsia"/>
                <w:color w:val="auto"/>
                <w:kern w:val="0"/>
                <w:sz w:val="24"/>
                <w:highlight w:val="none"/>
                <w:lang w:eastAsia="zh-CN"/>
              </w:rPr>
              <w:t>及脱硫副产物</w:t>
            </w:r>
            <w:r>
              <w:rPr>
                <w:rFonts w:hint="default"/>
                <w:color w:val="auto"/>
                <w:kern w:val="0"/>
                <w:sz w:val="24"/>
                <w:highlight w:val="none"/>
              </w:rPr>
              <w:t>。</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bCs w:val="0"/>
                <w:color w:val="auto"/>
                <w:sz w:val="24"/>
                <w:szCs w:val="24"/>
                <w:highlight w:val="none"/>
                <w:lang w:eastAsia="zh-CN"/>
              </w:rPr>
            </w:pPr>
            <w:r>
              <w:rPr>
                <w:rFonts w:hint="default" w:ascii="Times New Roman" w:hAnsi="Times New Roman" w:cs="Times New Roman"/>
                <w:bCs w:val="0"/>
                <w:color w:val="auto"/>
                <w:sz w:val="24"/>
                <w:szCs w:val="24"/>
                <w:highlight w:val="none"/>
                <w:lang w:eastAsia="zh-CN"/>
              </w:rPr>
              <w:t>除尘器回收粉尘</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textAlignment w:val="auto"/>
              <w:rPr>
                <w:rFonts w:hint="default" w:ascii="Times New Roman" w:hAnsi="Times New Roman" w:cs="Times New Roman"/>
                <w:bCs w:val="0"/>
                <w:color w:val="auto"/>
                <w:sz w:val="24"/>
                <w:szCs w:val="24"/>
                <w:highlight w:val="none"/>
                <w:lang w:eastAsia="zh-CN"/>
              </w:rPr>
            </w:pPr>
            <w:r>
              <w:rPr>
                <w:rFonts w:hint="default" w:ascii="Times New Roman" w:hAnsi="Times New Roman" w:cs="Times New Roman"/>
                <w:bCs w:val="0"/>
                <w:color w:val="auto"/>
                <w:sz w:val="24"/>
                <w:szCs w:val="24"/>
                <w:highlight w:val="none"/>
              </w:rPr>
              <w:t>布袋除尘器回收粉尘量为</w:t>
            </w:r>
            <w:r>
              <w:rPr>
                <w:rFonts w:hint="eastAsia" w:cs="Times New Roman"/>
                <w:bCs w:val="0"/>
                <w:color w:val="auto"/>
                <w:sz w:val="24"/>
                <w:szCs w:val="24"/>
                <w:highlight w:val="none"/>
                <w:lang w:val="en-US" w:eastAsia="zh-CN"/>
              </w:rPr>
              <w:t>1455.543</w:t>
            </w:r>
            <w:r>
              <w:rPr>
                <w:rFonts w:hint="default" w:ascii="Times New Roman" w:hAnsi="Times New Roman" w:cs="Times New Roman"/>
                <w:bCs w:val="0"/>
                <w:color w:val="auto"/>
                <w:sz w:val="24"/>
                <w:szCs w:val="24"/>
                <w:highlight w:val="none"/>
              </w:rPr>
              <w:t>t/a，</w:t>
            </w:r>
            <w:r>
              <w:rPr>
                <w:rFonts w:hint="default" w:ascii="Times New Roman" w:hAnsi="Times New Roman" w:cs="Times New Roman"/>
                <w:bCs/>
                <w:color w:val="auto"/>
                <w:sz w:val="24"/>
                <w:szCs w:val="24"/>
                <w:highlight w:val="none"/>
                <w:lang w:eastAsia="zh-CN"/>
              </w:rPr>
              <w:t>外售，综合利用。</w:t>
            </w:r>
          </w:p>
          <w:p>
            <w:pPr>
              <w:keepNext w:val="0"/>
              <w:keepLines w:val="0"/>
              <w:pageBreakBefore w:val="0"/>
              <w:widowControl w:val="0"/>
              <w:numPr>
                <w:ilvl w:val="0"/>
                <w:numId w:val="5"/>
              </w:numPr>
              <w:kinsoku/>
              <w:wordWrap/>
              <w:overflowPunct/>
              <w:topLinePunct w:val="0"/>
              <w:autoSpaceDE/>
              <w:autoSpaceDN/>
              <w:bidi w:val="0"/>
              <w:adjustRightInd/>
              <w:snapToGrid/>
              <w:spacing w:line="360" w:lineRule="auto"/>
              <w:ind w:left="0" w:leftChars="0" w:firstLine="480" w:firstLineChars="200"/>
              <w:textAlignment w:val="auto"/>
              <w:rPr>
                <w:rFonts w:hint="default" w:ascii="Times New Roman" w:hAnsi="Times New Roman" w:cs="Times New Roman"/>
                <w:bCs w:val="0"/>
                <w:color w:val="auto"/>
                <w:sz w:val="24"/>
                <w:szCs w:val="24"/>
                <w:highlight w:val="none"/>
                <w:lang w:eastAsia="zh-CN"/>
              </w:rPr>
            </w:pPr>
            <w:r>
              <w:rPr>
                <w:rFonts w:hint="default" w:ascii="Times New Roman" w:hAnsi="Times New Roman" w:cs="Times New Roman"/>
                <w:bCs w:val="0"/>
                <w:color w:val="auto"/>
                <w:sz w:val="24"/>
                <w:szCs w:val="24"/>
                <w:highlight w:val="none"/>
                <w:lang w:eastAsia="zh-CN"/>
              </w:rPr>
              <w:t>脱硫副产物</w:t>
            </w:r>
          </w:p>
          <w:p>
            <w:pPr>
              <w:pStyle w:val="4"/>
              <w:adjustRightInd w:val="0"/>
              <w:snapToGrid w:val="0"/>
              <w:spacing w:line="440" w:lineRule="exact"/>
              <w:ind w:firstLine="480" w:firstLineChars="200"/>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本项目采用</w:t>
            </w:r>
            <w:r>
              <w:rPr>
                <w:rFonts w:hint="eastAsia" w:ascii="Times New Roman" w:hAnsi="Times New Roman" w:eastAsia="宋体" w:cs="Times New Roman"/>
                <w:color w:val="auto"/>
                <w:szCs w:val="24"/>
                <w:highlight w:val="none"/>
                <w:lang w:val="en-US" w:eastAsia="zh-CN"/>
              </w:rPr>
              <w:t>氧化镁</w:t>
            </w:r>
            <w:r>
              <w:rPr>
                <w:rFonts w:hint="default" w:ascii="Times New Roman" w:hAnsi="Times New Roman" w:eastAsia="宋体" w:cs="Times New Roman"/>
                <w:color w:val="auto"/>
                <w:szCs w:val="24"/>
                <w:highlight w:val="none"/>
                <w:lang w:val="en-US" w:eastAsia="zh-CN"/>
              </w:rPr>
              <w:t>湿法烟气脱硫工艺，脱硫副产物产量采用下式计算：</w:t>
            </w:r>
          </w:p>
          <w:p>
            <w:pPr>
              <w:pStyle w:val="4"/>
              <w:adjustRightInd w:val="0"/>
              <w:snapToGrid w:val="0"/>
              <w:ind w:firstLine="480" w:firstLineChars="200"/>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highlight w:val="none"/>
              </w:rPr>
              <w:drawing>
                <wp:inline distT="0" distB="0" distL="114300" distR="114300">
                  <wp:extent cx="1774190" cy="668655"/>
                  <wp:effectExtent l="0" t="0" r="16510" b="17145"/>
                  <wp:docPr id="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pic:cNvPicPr>
                            <a:picLocks noChangeAspect="1"/>
                          </pic:cNvPicPr>
                        </pic:nvPicPr>
                        <pic:blipFill>
                          <a:blip r:embed="rId26"/>
                          <a:srcRect l="36969" t="38791" r="44011" b="48216"/>
                          <a:stretch>
                            <a:fillRect/>
                          </a:stretch>
                        </pic:blipFill>
                        <pic:spPr>
                          <a:xfrm>
                            <a:off x="0" y="0"/>
                            <a:ext cx="1774190" cy="668655"/>
                          </a:xfrm>
                          <a:prstGeom prst="rect">
                            <a:avLst/>
                          </a:prstGeom>
                          <a:noFill/>
                          <a:ln>
                            <a:noFill/>
                          </a:ln>
                        </pic:spPr>
                      </pic:pic>
                    </a:graphicData>
                  </a:graphic>
                </wp:inline>
              </w:drawing>
            </w:r>
          </w:p>
          <w:p>
            <w:pPr>
              <w:pStyle w:val="4"/>
              <w:adjustRightInd w:val="0"/>
              <w:snapToGrid w:val="0"/>
              <w:spacing w:line="440" w:lineRule="exact"/>
              <w:ind w:firstLine="480" w:firstLineChars="200"/>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i/>
                <w:color w:val="auto"/>
                <w:szCs w:val="24"/>
                <w:highlight w:val="none"/>
                <w:lang w:val="en-US" w:eastAsia="zh-CN"/>
              </w:rPr>
              <w:t>E</w:t>
            </w:r>
            <w:r>
              <w:rPr>
                <w:rFonts w:hint="default" w:ascii="Times New Roman" w:hAnsi="Times New Roman" w:eastAsia="宋体" w:cs="Times New Roman"/>
                <w:color w:val="auto"/>
                <w:szCs w:val="24"/>
                <w:highlight w:val="none"/>
                <w:lang w:val="en-US" w:eastAsia="zh-CN"/>
              </w:rPr>
              <w:t>——核算时段内脱硫副产物产生量，t；</w:t>
            </w:r>
          </w:p>
          <w:p>
            <w:pPr>
              <w:pStyle w:val="4"/>
              <w:adjustRightInd w:val="0"/>
              <w:snapToGrid w:val="0"/>
              <w:spacing w:line="440" w:lineRule="exact"/>
              <w:ind w:firstLine="480" w:firstLineChars="200"/>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i/>
                <w:color w:val="auto"/>
                <w:szCs w:val="24"/>
                <w:highlight w:val="none"/>
                <w:lang w:val="en-US" w:eastAsia="zh-CN"/>
              </w:rPr>
              <w:t>M</w:t>
            </w:r>
            <w:r>
              <w:rPr>
                <w:rFonts w:hint="default" w:ascii="Times New Roman" w:hAnsi="Times New Roman" w:eastAsia="宋体" w:cs="Times New Roman"/>
                <w:i/>
                <w:color w:val="auto"/>
                <w:szCs w:val="24"/>
                <w:highlight w:val="none"/>
                <w:vertAlign w:val="subscript"/>
                <w:lang w:val="en-US" w:eastAsia="zh-CN"/>
              </w:rPr>
              <w:t>F</w:t>
            </w:r>
            <w:r>
              <w:rPr>
                <w:rFonts w:hint="default" w:ascii="Times New Roman" w:hAnsi="Times New Roman" w:eastAsia="宋体" w:cs="Times New Roman"/>
                <w:color w:val="auto"/>
                <w:szCs w:val="24"/>
                <w:highlight w:val="none"/>
                <w:lang w:val="en-US" w:eastAsia="zh-CN"/>
              </w:rPr>
              <w:t>——脱硫副产物摩尔质量；副产物为</w:t>
            </w:r>
            <w:r>
              <w:rPr>
                <w:rFonts w:hint="eastAsia" w:ascii="Times New Roman" w:hAnsi="Times New Roman" w:eastAsia="宋体" w:cs="Times New Roman"/>
                <w:color w:val="auto"/>
                <w:highlight w:val="none"/>
                <w:lang w:val="en-US" w:eastAsia="zh-CN"/>
              </w:rPr>
              <w:t>Mg</w:t>
            </w:r>
            <w:r>
              <w:rPr>
                <w:rFonts w:hint="default" w:ascii="Times New Roman" w:hAnsi="Times New Roman" w:eastAsia="宋体" w:cs="Times New Roman"/>
                <w:color w:val="auto"/>
                <w:highlight w:val="none"/>
                <w:lang w:val="en-US" w:eastAsia="zh-CN"/>
              </w:rPr>
              <w:t>SO</w:t>
            </w:r>
            <w:r>
              <w:rPr>
                <w:rFonts w:hint="default" w:ascii="Times New Roman" w:hAnsi="Times New Roman" w:eastAsia="宋体" w:cs="Times New Roman"/>
                <w:color w:val="auto"/>
                <w:highlight w:val="none"/>
                <w:vertAlign w:val="subscript"/>
                <w:lang w:val="en-US" w:eastAsia="zh-CN"/>
              </w:rPr>
              <w:t>4</w:t>
            </w:r>
            <w:r>
              <w:rPr>
                <w:rFonts w:hint="default" w:ascii="Times New Roman" w:hAnsi="Times New Roman" w:eastAsia="宋体" w:cs="Times New Roman"/>
                <w:color w:val="auto"/>
                <w:highlight w:val="none"/>
                <w:lang w:val="en-US" w:eastAsia="zh-CN"/>
              </w:rPr>
              <w:t>，取1</w:t>
            </w:r>
            <w:r>
              <w:rPr>
                <w:rFonts w:hint="eastAsia" w:ascii="Times New Roman" w:hAnsi="Times New Roman" w:eastAsia="宋体" w:cs="Times New Roman"/>
                <w:color w:val="auto"/>
                <w:highlight w:val="none"/>
                <w:lang w:val="en-US" w:eastAsia="zh-CN"/>
              </w:rPr>
              <w:t>20</w:t>
            </w:r>
            <w:r>
              <w:rPr>
                <w:rFonts w:hint="default" w:ascii="Times New Roman" w:hAnsi="Times New Roman" w:eastAsia="宋体" w:cs="Times New Roman"/>
                <w:color w:val="auto"/>
                <w:highlight w:val="none"/>
                <w:lang w:val="en-US" w:eastAsia="zh-CN"/>
              </w:rPr>
              <w:t>；</w:t>
            </w:r>
          </w:p>
          <w:p>
            <w:pPr>
              <w:pStyle w:val="4"/>
              <w:adjustRightInd w:val="0"/>
              <w:snapToGrid w:val="0"/>
              <w:spacing w:line="440" w:lineRule="exact"/>
              <w:ind w:firstLine="480" w:firstLineChars="200"/>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i/>
                <w:color w:val="auto"/>
                <w:szCs w:val="24"/>
                <w:highlight w:val="none"/>
                <w:lang w:val="en-US" w:eastAsia="zh-CN"/>
              </w:rPr>
              <w:t>E</w:t>
            </w:r>
            <w:r>
              <w:rPr>
                <w:rFonts w:hint="default" w:ascii="Times New Roman" w:hAnsi="Times New Roman" w:eastAsia="宋体" w:cs="Times New Roman"/>
                <w:i/>
                <w:color w:val="auto"/>
                <w:szCs w:val="24"/>
                <w:highlight w:val="none"/>
                <w:vertAlign w:val="subscript"/>
                <w:lang w:val="en-US" w:eastAsia="zh-CN"/>
              </w:rPr>
              <w:t>S</w:t>
            </w:r>
            <w:r>
              <w:rPr>
                <w:rFonts w:hint="default" w:ascii="Times New Roman" w:hAnsi="Times New Roman" w:eastAsia="宋体" w:cs="Times New Roman"/>
                <w:color w:val="auto"/>
                <w:szCs w:val="24"/>
                <w:highlight w:val="none"/>
                <w:lang w:val="en-US" w:eastAsia="zh-CN"/>
              </w:rPr>
              <w:t>——核算时段内二氧化硫脱除量，t；</w:t>
            </w:r>
            <w:r>
              <w:rPr>
                <w:rFonts w:hint="eastAsia" w:ascii="Times New Roman" w:hAnsi="Times New Roman" w:eastAsia="宋体" w:cs="Times New Roman"/>
                <w:color w:val="auto"/>
                <w:szCs w:val="24"/>
                <w:highlight w:val="none"/>
                <w:lang w:val="en-US" w:eastAsia="zh-CN"/>
              </w:rPr>
              <w:t>3</w:t>
            </w:r>
            <w:r>
              <w:rPr>
                <w:rFonts w:hint="eastAsia" w:ascii="Times New Roman" w:hAnsi="Times New Roman" w:cs="Times New Roman"/>
                <w:color w:val="auto"/>
                <w:szCs w:val="24"/>
                <w:highlight w:val="none"/>
                <w:lang w:val="en-US" w:eastAsia="zh-CN"/>
              </w:rPr>
              <w:t>9.496</w:t>
            </w:r>
          </w:p>
          <w:p>
            <w:pPr>
              <w:pStyle w:val="4"/>
              <w:adjustRightInd w:val="0"/>
              <w:snapToGrid w:val="0"/>
              <w:spacing w:line="440" w:lineRule="exact"/>
              <w:ind w:firstLine="480" w:firstLineChars="200"/>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color w:val="auto"/>
                <w:szCs w:val="24"/>
                <w:highlight w:val="none"/>
                <w:lang w:val="en-US" w:eastAsia="zh-CN"/>
              </w:rPr>
              <w:t>64——二氧化硫摩尔质量；</w:t>
            </w:r>
          </w:p>
          <w:p>
            <w:pPr>
              <w:pStyle w:val="4"/>
              <w:adjustRightInd w:val="0"/>
              <w:snapToGrid w:val="0"/>
              <w:spacing w:line="440" w:lineRule="exact"/>
              <w:ind w:firstLine="480" w:firstLineChars="200"/>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i/>
                <w:color w:val="auto"/>
                <w:szCs w:val="24"/>
                <w:highlight w:val="none"/>
                <w:lang w:val="en-US" w:eastAsia="zh-CN"/>
              </w:rPr>
              <w:t>C</w:t>
            </w:r>
            <w:r>
              <w:rPr>
                <w:rFonts w:hint="default" w:ascii="Times New Roman" w:hAnsi="Times New Roman" w:eastAsia="宋体" w:cs="Times New Roman"/>
                <w:i/>
                <w:color w:val="auto"/>
                <w:szCs w:val="24"/>
                <w:highlight w:val="none"/>
                <w:vertAlign w:val="subscript"/>
                <w:lang w:val="en-US" w:eastAsia="zh-CN"/>
              </w:rPr>
              <w:t>S</w:t>
            </w:r>
            <w:r>
              <w:rPr>
                <w:rFonts w:hint="default" w:ascii="Times New Roman" w:hAnsi="Times New Roman" w:eastAsia="宋体" w:cs="Times New Roman"/>
                <w:color w:val="auto"/>
                <w:szCs w:val="24"/>
                <w:highlight w:val="none"/>
                <w:lang w:val="en-US" w:eastAsia="zh-CN"/>
              </w:rPr>
              <w:t>——脱硫副产物含水率，%；取10%</w:t>
            </w:r>
          </w:p>
          <w:p>
            <w:pPr>
              <w:pStyle w:val="4"/>
              <w:adjustRightInd w:val="0"/>
              <w:snapToGrid w:val="0"/>
              <w:spacing w:line="440" w:lineRule="exact"/>
              <w:ind w:firstLine="480" w:firstLineChars="200"/>
              <w:rPr>
                <w:rFonts w:hint="default" w:ascii="Times New Roman" w:hAnsi="Times New Roman" w:eastAsia="宋体" w:cs="Times New Roman"/>
                <w:color w:val="auto"/>
                <w:szCs w:val="24"/>
                <w:highlight w:val="none"/>
                <w:lang w:val="en-US" w:eastAsia="zh-CN"/>
              </w:rPr>
            </w:pPr>
            <w:r>
              <w:rPr>
                <w:rFonts w:hint="default" w:ascii="Times New Roman" w:hAnsi="Times New Roman" w:eastAsia="宋体" w:cs="Times New Roman"/>
                <w:i/>
                <w:color w:val="auto"/>
                <w:szCs w:val="24"/>
                <w:highlight w:val="none"/>
                <w:lang w:val="en-US" w:eastAsia="zh-CN"/>
              </w:rPr>
              <w:t>C</w:t>
            </w:r>
            <w:r>
              <w:rPr>
                <w:rFonts w:hint="default" w:ascii="Times New Roman" w:hAnsi="Times New Roman" w:eastAsia="宋体" w:cs="Times New Roman"/>
                <w:i/>
                <w:color w:val="auto"/>
                <w:szCs w:val="24"/>
                <w:highlight w:val="none"/>
                <w:vertAlign w:val="subscript"/>
                <w:lang w:val="en-US" w:eastAsia="zh-CN"/>
              </w:rPr>
              <w:t>g</w:t>
            </w:r>
            <w:r>
              <w:rPr>
                <w:rFonts w:hint="default" w:ascii="Times New Roman" w:hAnsi="Times New Roman" w:eastAsia="宋体" w:cs="Times New Roman"/>
                <w:color w:val="auto"/>
                <w:szCs w:val="24"/>
                <w:highlight w:val="none"/>
                <w:lang w:val="en-US" w:eastAsia="zh-CN"/>
              </w:rPr>
              <w:t>——脱硫副产物纯度，%；取90；</w:t>
            </w:r>
          </w:p>
          <w:p>
            <w:pPr>
              <w:pStyle w:val="35"/>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color w:val="auto"/>
                <w:sz w:val="24"/>
                <w:highlight w:val="none"/>
              </w:rPr>
            </w:pPr>
            <w:r>
              <w:rPr>
                <w:rFonts w:hint="default" w:ascii="Times New Roman" w:hAnsi="Times New Roman" w:eastAsia="宋体" w:cs="Times New Roman"/>
                <w:color w:val="auto"/>
                <w:sz w:val="24"/>
                <w:szCs w:val="24"/>
                <w:highlight w:val="none"/>
                <w:lang w:val="en-US" w:eastAsia="zh-CN"/>
              </w:rPr>
              <w:t>则：</w:t>
            </w:r>
            <w:r>
              <w:rPr>
                <w:rFonts w:hint="default" w:ascii="Times New Roman" w:hAnsi="Times New Roman" w:eastAsia="宋体" w:cs="Times New Roman"/>
                <w:i/>
                <w:color w:val="auto"/>
                <w:sz w:val="24"/>
                <w:szCs w:val="24"/>
                <w:highlight w:val="none"/>
                <w:lang w:val="en-US" w:eastAsia="zh-CN"/>
              </w:rPr>
              <w:t>E</w:t>
            </w:r>
            <w:r>
              <w:rPr>
                <w:rFonts w:hint="default" w:ascii="Times New Roman" w:hAnsi="Times New Roman" w:eastAsia="宋体" w:cs="Times New Roman"/>
                <w:color w:val="auto"/>
                <w:sz w:val="24"/>
                <w:szCs w:val="24"/>
                <w:highlight w:val="none"/>
                <w:lang w:val="en-US" w:eastAsia="zh-CN"/>
              </w:rPr>
              <w:t>=1</w:t>
            </w:r>
            <w:r>
              <w:rPr>
                <w:rFonts w:hint="eastAsia" w:eastAsia="宋体"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lang w:val="en-US" w:eastAsia="zh-CN"/>
              </w:rPr>
              <w:t>×</w:t>
            </w:r>
            <w:r>
              <w:rPr>
                <w:rFonts w:hint="eastAsia" w:eastAsia="宋体" w:cs="Times New Roman"/>
                <w:color w:val="auto"/>
                <w:sz w:val="24"/>
                <w:szCs w:val="24"/>
                <w:highlight w:val="none"/>
                <w:lang w:val="en-US" w:eastAsia="zh-CN"/>
              </w:rPr>
              <w:t>3</w:t>
            </w:r>
            <w:r>
              <w:rPr>
                <w:rFonts w:hint="eastAsia" w:cs="Times New Roman"/>
                <w:color w:val="auto"/>
                <w:sz w:val="24"/>
                <w:szCs w:val="24"/>
                <w:highlight w:val="none"/>
                <w:lang w:val="en-US" w:eastAsia="zh-CN"/>
              </w:rPr>
              <w:t>9.496</w:t>
            </w:r>
            <w:r>
              <w:rPr>
                <w:rFonts w:hint="default" w:ascii="Times New Roman" w:hAnsi="Times New Roman" w:eastAsia="宋体" w:cs="Times New Roman"/>
                <w:color w:val="auto"/>
                <w:sz w:val="24"/>
                <w:szCs w:val="24"/>
                <w:highlight w:val="none"/>
                <w:lang w:val="en-US" w:eastAsia="zh-CN"/>
              </w:rPr>
              <w:t>/[64×(1-10%)×90%]=</w:t>
            </w:r>
            <w:r>
              <w:rPr>
                <w:rFonts w:hint="eastAsia" w:cs="Times New Roman"/>
                <w:color w:val="auto"/>
                <w:sz w:val="24"/>
                <w:szCs w:val="24"/>
                <w:highlight w:val="none"/>
                <w:lang w:val="en-US" w:eastAsia="zh-CN"/>
              </w:rPr>
              <w:t>91.43</w:t>
            </w:r>
            <w:r>
              <w:rPr>
                <w:rFonts w:hint="default" w:ascii="Times New Roman" w:hAnsi="Times New Roman" w:eastAsia="宋体" w:cs="Times New Roman"/>
                <w:color w:val="auto"/>
                <w:sz w:val="24"/>
                <w:szCs w:val="24"/>
                <w:highlight w:val="none"/>
                <w:lang w:val="en-US" w:eastAsia="zh-CN"/>
              </w:rPr>
              <w:t>t</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cs="Times New Roman"/>
                <w:color w:val="auto"/>
                <w:sz w:val="24"/>
                <w:szCs w:val="24"/>
                <w:highlight w:val="none"/>
                <w:lang w:eastAsia="zh-CN"/>
              </w:rPr>
              <w:t>脱硫副产物年</w:t>
            </w:r>
            <w:r>
              <w:rPr>
                <w:rFonts w:hint="default" w:ascii="Times New Roman" w:hAnsi="Times New Roman" w:cs="Times New Roman"/>
                <w:color w:val="auto"/>
                <w:sz w:val="24"/>
                <w:szCs w:val="24"/>
                <w:highlight w:val="none"/>
              </w:rPr>
              <w:t>产生量为</w:t>
            </w:r>
            <w:r>
              <w:rPr>
                <w:rFonts w:hint="eastAsia" w:cs="Times New Roman"/>
                <w:color w:val="auto"/>
                <w:sz w:val="24"/>
                <w:szCs w:val="24"/>
                <w:highlight w:val="none"/>
                <w:lang w:val="en-US" w:eastAsia="zh-CN"/>
              </w:rPr>
              <w:t>91.43</w:t>
            </w:r>
            <w:r>
              <w:rPr>
                <w:rFonts w:hint="default" w:ascii="Times New Roman" w:hAnsi="Times New Roman" w:cs="Times New Roman"/>
                <w:color w:val="auto"/>
                <w:sz w:val="24"/>
                <w:szCs w:val="24"/>
                <w:highlight w:val="none"/>
              </w:rPr>
              <w:t>t/a，</w:t>
            </w:r>
            <w:r>
              <w:rPr>
                <w:rFonts w:hint="default" w:ascii="Times New Roman" w:hAnsi="Times New Roman" w:cs="Times New Roman"/>
                <w:color w:val="auto"/>
                <w:sz w:val="24"/>
                <w:szCs w:val="24"/>
                <w:highlight w:val="none"/>
                <w:lang w:eastAsia="zh-CN"/>
              </w:rPr>
              <w:t>集中收集后外售</w:t>
            </w:r>
            <w:r>
              <w:rPr>
                <w:rFonts w:hint="default" w:ascii="Times New Roman" w:hAnsi="Times New Roman" w:cs="Times New Roman"/>
                <w:bCs/>
                <w:color w:val="auto"/>
                <w:sz w:val="24"/>
                <w:szCs w:val="24"/>
                <w:highlight w:val="none"/>
                <w:lang w:eastAsia="zh-CN"/>
              </w:rPr>
              <w:t>，综合利用</w:t>
            </w:r>
            <w:r>
              <w:rPr>
                <w:rFonts w:hint="default" w:ascii="Times New Roman" w:hAnsi="Times New Roman" w:cs="Times New Roman"/>
                <w:color w:val="auto"/>
                <w:sz w:val="24"/>
                <w:szCs w:val="24"/>
                <w:highlight w:val="none"/>
              </w:rPr>
              <w:t>。</w:t>
            </w:r>
            <w:r>
              <w:rPr>
                <w:rFonts w:hint="eastAsia"/>
                <w:color w:val="auto"/>
                <w:sz w:val="24"/>
                <w:highlight w:val="none"/>
              </w:rPr>
              <w:t>固废污染源源强核算结果见表</w:t>
            </w:r>
            <w:r>
              <w:rPr>
                <w:color w:val="auto"/>
                <w:sz w:val="24"/>
                <w:highlight w:val="none"/>
              </w:rPr>
              <w:t>5-</w:t>
            </w:r>
            <w:r>
              <w:rPr>
                <w:rFonts w:hint="eastAsia"/>
                <w:color w:val="auto"/>
                <w:sz w:val="24"/>
                <w:highlight w:val="none"/>
                <w:lang w:val="en-US" w:eastAsia="zh-CN"/>
              </w:rPr>
              <w:t>5</w:t>
            </w:r>
            <w:r>
              <w:rPr>
                <w:rFonts w:hint="eastAsia"/>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leftChars="0" w:firstLine="480" w:firstLineChars="200"/>
              <w:textAlignment w:val="auto"/>
              <w:rPr>
                <w:color w:val="auto"/>
                <w:sz w:val="24"/>
                <w:szCs w:val="24"/>
                <w:highlight w:val="none"/>
              </w:rPr>
            </w:pPr>
          </w:p>
          <w:p>
            <w:pPr>
              <w:autoSpaceDE w:val="0"/>
              <w:autoSpaceDN w:val="0"/>
              <w:adjustRightInd w:val="0"/>
              <w:spacing w:line="500" w:lineRule="exact"/>
              <w:jc w:val="left"/>
              <w:rPr>
                <w:color w:val="auto"/>
                <w:sz w:val="24"/>
                <w:highlight w:val="none"/>
              </w:rPr>
            </w:pPr>
          </w:p>
        </w:tc>
      </w:tr>
    </w:tbl>
    <w:p>
      <w:pPr>
        <w:spacing w:line="480" w:lineRule="exact"/>
        <w:outlineLvl w:val="0"/>
        <w:rPr>
          <w:rFonts w:eastAsia="黑体"/>
          <w:color w:val="auto"/>
          <w:sz w:val="32"/>
          <w:szCs w:val="32"/>
          <w:highlight w:val="none"/>
        </w:rPr>
        <w:sectPr>
          <w:pgSz w:w="11907" w:h="16840"/>
          <w:pgMar w:top="141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jc w:val="center"/>
        <w:textAlignment w:val="center"/>
        <w:rPr>
          <w:b/>
          <w:color w:val="auto"/>
          <w:sz w:val="24"/>
          <w:highlight w:val="none"/>
        </w:rPr>
      </w:pPr>
      <w:r>
        <w:rPr>
          <w:rFonts w:hint="eastAsia"/>
          <w:b/>
          <w:color w:val="auto"/>
          <w:sz w:val="24"/>
          <w:highlight w:val="none"/>
        </w:rPr>
        <w:t>表</w:t>
      </w:r>
      <w:r>
        <w:rPr>
          <w:b/>
          <w:color w:val="auto"/>
          <w:sz w:val="24"/>
          <w:highlight w:val="none"/>
        </w:rPr>
        <w:t>5-</w:t>
      </w:r>
      <w:r>
        <w:rPr>
          <w:rFonts w:hint="eastAsia"/>
          <w:b/>
          <w:color w:val="auto"/>
          <w:sz w:val="24"/>
          <w:highlight w:val="none"/>
          <w:lang w:val="en-US" w:eastAsia="zh-CN"/>
        </w:rPr>
        <w:t>3</w:t>
      </w:r>
      <w:r>
        <w:rPr>
          <w:rFonts w:hint="eastAsia"/>
          <w:b/>
          <w:color w:val="auto"/>
          <w:sz w:val="24"/>
          <w:highlight w:val="none"/>
        </w:rPr>
        <w:t>废气污染源源强核算结果及相关参数一览表</w:t>
      </w:r>
    </w:p>
    <w:tbl>
      <w:tblPr>
        <w:tblStyle w:val="36"/>
        <w:tblW w:w="14220"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52"/>
        <w:gridCol w:w="767"/>
        <w:gridCol w:w="550"/>
        <w:gridCol w:w="933"/>
        <w:gridCol w:w="1234"/>
        <w:gridCol w:w="900"/>
        <w:gridCol w:w="2254"/>
        <w:gridCol w:w="2380"/>
        <w:gridCol w:w="546"/>
        <w:gridCol w:w="1056"/>
        <w:gridCol w:w="877"/>
        <w:gridCol w:w="870"/>
        <w:gridCol w:w="90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52" w:type="dxa"/>
            <w:vMerge w:val="restart"/>
            <w:tcBorders>
              <w:tl2br w:val="nil"/>
              <w:tr2bl w:val="nil"/>
            </w:tcBorders>
            <w:vAlign w:val="center"/>
          </w:tcPr>
          <w:p>
            <w:pPr>
              <w:ind w:left="-42" w:leftChars="-20" w:right="-42" w:rightChars="-20"/>
              <w:jc w:val="center"/>
              <w:rPr>
                <w:color w:val="FF0000"/>
                <w:szCs w:val="21"/>
                <w:highlight w:val="none"/>
              </w:rPr>
            </w:pPr>
            <w:r>
              <w:rPr>
                <w:rFonts w:hint="eastAsia"/>
                <w:color w:val="FF0000"/>
                <w:kern w:val="0"/>
                <w:szCs w:val="21"/>
                <w:highlight w:val="none"/>
              </w:rPr>
              <w:t>污染源</w:t>
            </w:r>
          </w:p>
        </w:tc>
        <w:tc>
          <w:tcPr>
            <w:tcW w:w="767" w:type="dxa"/>
            <w:vMerge w:val="restart"/>
            <w:tcBorders>
              <w:tl2br w:val="nil"/>
              <w:tr2bl w:val="nil"/>
            </w:tcBorders>
            <w:vAlign w:val="center"/>
          </w:tcPr>
          <w:p>
            <w:pPr>
              <w:ind w:left="-42" w:leftChars="-20" w:right="-42" w:rightChars="-20"/>
              <w:jc w:val="center"/>
              <w:rPr>
                <w:color w:val="FF0000"/>
                <w:szCs w:val="21"/>
                <w:highlight w:val="none"/>
              </w:rPr>
            </w:pPr>
            <w:r>
              <w:rPr>
                <w:rFonts w:hint="eastAsia"/>
                <w:color w:val="FF0000"/>
                <w:kern w:val="0"/>
                <w:szCs w:val="21"/>
                <w:highlight w:val="none"/>
              </w:rPr>
              <w:t>污染物</w:t>
            </w:r>
          </w:p>
        </w:tc>
        <w:tc>
          <w:tcPr>
            <w:tcW w:w="3617" w:type="dxa"/>
            <w:gridSpan w:val="4"/>
            <w:tcBorders>
              <w:tl2br w:val="nil"/>
              <w:tr2bl w:val="nil"/>
            </w:tcBorders>
            <w:vAlign w:val="center"/>
          </w:tcPr>
          <w:p>
            <w:pPr>
              <w:ind w:left="-41" w:leftChars="-51" w:right="-42" w:rightChars="-20" w:hanging="66"/>
              <w:jc w:val="center"/>
              <w:rPr>
                <w:color w:val="FF0000"/>
                <w:szCs w:val="21"/>
                <w:highlight w:val="none"/>
              </w:rPr>
            </w:pPr>
            <w:r>
              <w:rPr>
                <w:rFonts w:hint="eastAsia"/>
                <w:color w:val="FF0000"/>
                <w:kern w:val="0"/>
                <w:szCs w:val="21"/>
                <w:highlight w:val="none"/>
              </w:rPr>
              <w:t>污染物产生</w:t>
            </w:r>
          </w:p>
        </w:tc>
        <w:tc>
          <w:tcPr>
            <w:tcW w:w="4634" w:type="dxa"/>
            <w:gridSpan w:val="2"/>
            <w:tcBorders>
              <w:tl2br w:val="nil"/>
              <w:tr2bl w:val="nil"/>
            </w:tcBorders>
            <w:vAlign w:val="center"/>
          </w:tcPr>
          <w:p>
            <w:pPr>
              <w:ind w:left="-42" w:leftChars="-20" w:right="-42" w:rightChars="-20"/>
              <w:jc w:val="center"/>
              <w:rPr>
                <w:color w:val="FF0000"/>
                <w:szCs w:val="21"/>
                <w:highlight w:val="none"/>
              </w:rPr>
            </w:pPr>
            <w:r>
              <w:rPr>
                <w:rFonts w:hint="eastAsia"/>
                <w:color w:val="FF0000"/>
                <w:kern w:val="0"/>
                <w:szCs w:val="21"/>
                <w:highlight w:val="none"/>
              </w:rPr>
              <w:t>治理措施</w:t>
            </w:r>
          </w:p>
        </w:tc>
        <w:tc>
          <w:tcPr>
            <w:tcW w:w="3349" w:type="dxa"/>
            <w:gridSpan w:val="4"/>
            <w:tcBorders>
              <w:tl2br w:val="nil"/>
              <w:tr2bl w:val="nil"/>
            </w:tcBorders>
            <w:vAlign w:val="center"/>
          </w:tcPr>
          <w:p>
            <w:pPr>
              <w:ind w:left="-42" w:leftChars="-20" w:right="-42" w:rightChars="-20"/>
              <w:jc w:val="center"/>
              <w:rPr>
                <w:color w:val="FF0000"/>
                <w:szCs w:val="21"/>
                <w:highlight w:val="none"/>
              </w:rPr>
            </w:pPr>
            <w:r>
              <w:rPr>
                <w:rFonts w:hint="eastAsia"/>
                <w:color w:val="FF0000"/>
                <w:kern w:val="0"/>
                <w:szCs w:val="21"/>
                <w:highlight w:val="none"/>
              </w:rPr>
              <w:t>污染物排放</w:t>
            </w:r>
          </w:p>
        </w:tc>
        <w:tc>
          <w:tcPr>
            <w:tcW w:w="901" w:type="dxa"/>
            <w:vMerge w:val="restart"/>
            <w:tcBorders>
              <w:tl2br w:val="nil"/>
              <w:tr2bl w:val="nil"/>
            </w:tcBorders>
            <w:vAlign w:val="center"/>
          </w:tcPr>
          <w:p>
            <w:pPr>
              <w:ind w:left="-42" w:leftChars="-20" w:right="-42" w:rightChars="-20"/>
              <w:jc w:val="center"/>
              <w:rPr>
                <w:color w:val="FF0000"/>
                <w:kern w:val="0"/>
                <w:szCs w:val="21"/>
                <w:highlight w:val="none"/>
              </w:rPr>
            </w:pPr>
            <w:r>
              <w:rPr>
                <w:rFonts w:hint="eastAsia"/>
                <w:color w:val="FF0000"/>
                <w:kern w:val="0"/>
                <w:szCs w:val="21"/>
                <w:highlight w:val="none"/>
              </w:rPr>
              <w:t>排放时间</w:t>
            </w:r>
            <w:r>
              <w:rPr>
                <w:color w:val="FF0000"/>
                <w:kern w:val="0"/>
                <w:szCs w:val="21"/>
                <w:highlight w:val="none"/>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52" w:type="dxa"/>
            <w:vMerge w:val="continue"/>
            <w:tcBorders>
              <w:tl2br w:val="nil"/>
              <w:tr2bl w:val="nil"/>
            </w:tcBorders>
            <w:vAlign w:val="center"/>
          </w:tcPr>
          <w:p>
            <w:pPr>
              <w:widowControl/>
              <w:jc w:val="center"/>
              <w:rPr>
                <w:color w:val="FF0000"/>
                <w:szCs w:val="21"/>
                <w:highlight w:val="none"/>
              </w:rPr>
            </w:pPr>
          </w:p>
        </w:tc>
        <w:tc>
          <w:tcPr>
            <w:tcW w:w="767" w:type="dxa"/>
            <w:vMerge w:val="continue"/>
            <w:tcBorders>
              <w:tl2br w:val="nil"/>
              <w:tr2bl w:val="nil"/>
            </w:tcBorders>
            <w:vAlign w:val="center"/>
          </w:tcPr>
          <w:p>
            <w:pPr>
              <w:widowControl/>
              <w:jc w:val="center"/>
              <w:rPr>
                <w:color w:val="FF0000"/>
                <w:szCs w:val="21"/>
                <w:highlight w:val="none"/>
              </w:rPr>
            </w:pPr>
          </w:p>
        </w:tc>
        <w:tc>
          <w:tcPr>
            <w:tcW w:w="550" w:type="dxa"/>
            <w:tcBorders>
              <w:tl2br w:val="nil"/>
              <w:tr2bl w:val="nil"/>
            </w:tcBorders>
            <w:vAlign w:val="center"/>
          </w:tcPr>
          <w:p>
            <w:pPr>
              <w:ind w:left="-42" w:leftChars="-20" w:right="-42" w:rightChars="-20"/>
              <w:jc w:val="center"/>
              <w:rPr>
                <w:color w:val="FF0000"/>
                <w:kern w:val="0"/>
                <w:szCs w:val="21"/>
                <w:highlight w:val="none"/>
              </w:rPr>
            </w:pPr>
            <w:r>
              <w:rPr>
                <w:rFonts w:hint="eastAsia"/>
                <w:color w:val="FF0000"/>
                <w:kern w:val="0"/>
                <w:szCs w:val="21"/>
                <w:highlight w:val="none"/>
              </w:rPr>
              <w:t>核算</w:t>
            </w:r>
          </w:p>
          <w:p>
            <w:pPr>
              <w:ind w:left="-42" w:leftChars="-20" w:right="-42" w:rightChars="-20"/>
              <w:jc w:val="center"/>
              <w:rPr>
                <w:color w:val="FF0000"/>
                <w:szCs w:val="21"/>
                <w:highlight w:val="none"/>
              </w:rPr>
            </w:pPr>
            <w:r>
              <w:rPr>
                <w:rFonts w:hint="eastAsia"/>
                <w:color w:val="FF0000"/>
                <w:kern w:val="0"/>
                <w:szCs w:val="21"/>
                <w:highlight w:val="none"/>
              </w:rPr>
              <w:t>方法</w:t>
            </w:r>
          </w:p>
        </w:tc>
        <w:tc>
          <w:tcPr>
            <w:tcW w:w="933" w:type="dxa"/>
            <w:tcBorders>
              <w:tl2br w:val="nil"/>
              <w:tr2bl w:val="nil"/>
            </w:tcBorders>
            <w:vAlign w:val="center"/>
          </w:tcPr>
          <w:p>
            <w:pPr>
              <w:ind w:left="-42" w:leftChars="-20" w:right="-42" w:rightChars="-20"/>
              <w:jc w:val="center"/>
              <w:rPr>
                <w:rFonts w:hint="eastAsia" w:eastAsia="宋体"/>
                <w:color w:val="FF0000"/>
                <w:szCs w:val="21"/>
                <w:highlight w:val="none"/>
                <w:lang w:eastAsia="zh-CN"/>
              </w:rPr>
            </w:pPr>
            <w:r>
              <w:rPr>
                <w:rFonts w:hint="eastAsia"/>
                <w:color w:val="FF0000"/>
                <w:kern w:val="0"/>
                <w:szCs w:val="21"/>
                <w:highlight w:val="none"/>
              </w:rPr>
              <w:t>产生废气量</w:t>
            </w:r>
            <w:r>
              <w:rPr>
                <w:color w:val="FF0000"/>
                <w:kern w:val="0"/>
                <w:szCs w:val="21"/>
                <w:highlight w:val="none"/>
              </w:rPr>
              <w:t>m</w:t>
            </w:r>
            <w:r>
              <w:rPr>
                <w:color w:val="FF0000"/>
                <w:kern w:val="0"/>
                <w:szCs w:val="21"/>
                <w:highlight w:val="none"/>
                <w:vertAlign w:val="superscript"/>
              </w:rPr>
              <w:t>3</w:t>
            </w:r>
            <w:r>
              <w:rPr>
                <w:color w:val="FF0000"/>
                <w:kern w:val="0"/>
                <w:szCs w:val="21"/>
                <w:highlight w:val="none"/>
              </w:rPr>
              <w:t>/</w:t>
            </w:r>
            <w:r>
              <w:rPr>
                <w:rFonts w:hint="eastAsia"/>
                <w:color w:val="FF0000"/>
                <w:kern w:val="0"/>
                <w:szCs w:val="21"/>
                <w:highlight w:val="none"/>
                <w:lang w:val="en-US" w:eastAsia="zh-CN"/>
              </w:rPr>
              <w:t>a</w:t>
            </w:r>
          </w:p>
        </w:tc>
        <w:tc>
          <w:tcPr>
            <w:tcW w:w="1234" w:type="dxa"/>
            <w:tcBorders>
              <w:tl2br w:val="nil"/>
              <w:tr2bl w:val="nil"/>
            </w:tcBorders>
            <w:vAlign w:val="center"/>
          </w:tcPr>
          <w:p>
            <w:pPr>
              <w:ind w:left="-42" w:leftChars="-20" w:right="-42" w:rightChars="-20"/>
              <w:jc w:val="center"/>
              <w:rPr>
                <w:color w:val="FF0000"/>
                <w:szCs w:val="21"/>
                <w:highlight w:val="none"/>
              </w:rPr>
            </w:pPr>
            <w:r>
              <w:rPr>
                <w:rFonts w:hint="eastAsia"/>
                <w:color w:val="FF0000"/>
                <w:kern w:val="0"/>
                <w:szCs w:val="21"/>
                <w:highlight w:val="none"/>
              </w:rPr>
              <w:t>产生浓度</w:t>
            </w:r>
            <w:r>
              <w:rPr>
                <w:color w:val="FF0000"/>
                <w:kern w:val="0"/>
                <w:szCs w:val="21"/>
                <w:highlight w:val="none"/>
              </w:rPr>
              <w:t>mg/m</w:t>
            </w:r>
            <w:r>
              <w:rPr>
                <w:color w:val="FF0000"/>
                <w:kern w:val="0"/>
                <w:szCs w:val="21"/>
                <w:highlight w:val="none"/>
                <w:vertAlign w:val="superscript"/>
              </w:rPr>
              <w:t>3</w:t>
            </w:r>
          </w:p>
        </w:tc>
        <w:tc>
          <w:tcPr>
            <w:tcW w:w="900" w:type="dxa"/>
            <w:tcBorders>
              <w:tl2br w:val="nil"/>
              <w:tr2bl w:val="nil"/>
            </w:tcBorders>
            <w:vAlign w:val="center"/>
          </w:tcPr>
          <w:p>
            <w:pPr>
              <w:ind w:left="-42" w:leftChars="-20" w:right="-42" w:rightChars="-20"/>
              <w:jc w:val="center"/>
              <w:rPr>
                <w:color w:val="FF0000"/>
                <w:szCs w:val="21"/>
                <w:highlight w:val="none"/>
              </w:rPr>
            </w:pPr>
            <w:r>
              <w:rPr>
                <w:rFonts w:hint="eastAsia"/>
                <w:color w:val="FF0000"/>
                <w:kern w:val="0"/>
                <w:szCs w:val="21"/>
                <w:highlight w:val="none"/>
              </w:rPr>
              <w:t>产生量</w:t>
            </w:r>
            <w:r>
              <w:rPr>
                <w:color w:val="FF0000"/>
                <w:kern w:val="0"/>
                <w:szCs w:val="21"/>
                <w:highlight w:val="none"/>
              </w:rPr>
              <w:t>t/a</w:t>
            </w:r>
          </w:p>
        </w:tc>
        <w:tc>
          <w:tcPr>
            <w:tcW w:w="2254" w:type="dxa"/>
            <w:tcBorders>
              <w:tl2br w:val="nil"/>
              <w:tr2bl w:val="nil"/>
            </w:tcBorders>
            <w:vAlign w:val="center"/>
          </w:tcPr>
          <w:p>
            <w:pPr>
              <w:ind w:left="-42" w:leftChars="-20" w:right="-42" w:rightChars="-20"/>
              <w:jc w:val="center"/>
              <w:rPr>
                <w:color w:val="FF0000"/>
                <w:szCs w:val="21"/>
                <w:highlight w:val="none"/>
              </w:rPr>
            </w:pPr>
            <w:r>
              <w:rPr>
                <w:rFonts w:hint="eastAsia"/>
                <w:color w:val="FF0000"/>
                <w:kern w:val="0"/>
                <w:szCs w:val="21"/>
                <w:highlight w:val="none"/>
              </w:rPr>
              <w:t>工艺</w:t>
            </w:r>
          </w:p>
        </w:tc>
        <w:tc>
          <w:tcPr>
            <w:tcW w:w="2380" w:type="dxa"/>
            <w:tcBorders>
              <w:tl2br w:val="nil"/>
              <w:tr2bl w:val="nil"/>
            </w:tcBorders>
            <w:vAlign w:val="center"/>
          </w:tcPr>
          <w:p>
            <w:pPr>
              <w:ind w:left="-42" w:leftChars="-20" w:right="-42" w:rightChars="-20"/>
              <w:jc w:val="center"/>
              <w:rPr>
                <w:color w:val="FF0000"/>
                <w:szCs w:val="21"/>
                <w:highlight w:val="none"/>
              </w:rPr>
            </w:pPr>
            <w:r>
              <w:rPr>
                <w:rFonts w:hint="eastAsia"/>
                <w:color w:val="FF0000"/>
                <w:kern w:val="0"/>
                <w:szCs w:val="21"/>
                <w:highlight w:val="none"/>
              </w:rPr>
              <w:t>效率（</w:t>
            </w:r>
            <w:r>
              <w:rPr>
                <w:color w:val="FF0000"/>
                <w:kern w:val="0"/>
                <w:szCs w:val="21"/>
                <w:highlight w:val="none"/>
              </w:rPr>
              <w:t>%</w:t>
            </w:r>
            <w:r>
              <w:rPr>
                <w:rFonts w:hint="eastAsia"/>
                <w:color w:val="FF0000"/>
                <w:kern w:val="0"/>
                <w:szCs w:val="21"/>
                <w:highlight w:val="none"/>
              </w:rPr>
              <w:t>）</w:t>
            </w:r>
          </w:p>
        </w:tc>
        <w:tc>
          <w:tcPr>
            <w:tcW w:w="546" w:type="dxa"/>
            <w:tcBorders>
              <w:tl2br w:val="nil"/>
              <w:tr2bl w:val="nil"/>
            </w:tcBorders>
            <w:vAlign w:val="center"/>
          </w:tcPr>
          <w:p>
            <w:pPr>
              <w:ind w:left="-42" w:leftChars="-20" w:right="-42" w:rightChars="-20"/>
              <w:jc w:val="center"/>
              <w:rPr>
                <w:color w:val="FF0000"/>
                <w:kern w:val="0"/>
                <w:szCs w:val="21"/>
                <w:highlight w:val="none"/>
              </w:rPr>
            </w:pPr>
            <w:r>
              <w:rPr>
                <w:rFonts w:hint="eastAsia"/>
                <w:color w:val="FF0000"/>
                <w:kern w:val="0"/>
                <w:szCs w:val="21"/>
                <w:highlight w:val="none"/>
              </w:rPr>
              <w:t>核算</w:t>
            </w:r>
          </w:p>
          <w:p>
            <w:pPr>
              <w:ind w:left="-42" w:leftChars="-20" w:right="-42" w:rightChars="-20"/>
              <w:jc w:val="center"/>
              <w:rPr>
                <w:color w:val="FF0000"/>
                <w:szCs w:val="21"/>
                <w:highlight w:val="none"/>
              </w:rPr>
            </w:pPr>
            <w:r>
              <w:rPr>
                <w:rFonts w:hint="eastAsia"/>
                <w:color w:val="FF0000"/>
                <w:kern w:val="0"/>
                <w:szCs w:val="21"/>
                <w:highlight w:val="none"/>
              </w:rPr>
              <w:t>方法</w:t>
            </w:r>
          </w:p>
        </w:tc>
        <w:tc>
          <w:tcPr>
            <w:tcW w:w="1056" w:type="dxa"/>
            <w:tcBorders>
              <w:tl2br w:val="nil"/>
              <w:tr2bl w:val="nil"/>
            </w:tcBorders>
            <w:vAlign w:val="center"/>
          </w:tcPr>
          <w:p>
            <w:pPr>
              <w:ind w:left="-42" w:leftChars="-20" w:right="-42" w:rightChars="-20"/>
              <w:jc w:val="center"/>
              <w:rPr>
                <w:rFonts w:hint="eastAsia" w:eastAsia="宋体"/>
                <w:color w:val="FF0000"/>
                <w:kern w:val="0"/>
                <w:szCs w:val="21"/>
                <w:highlight w:val="none"/>
                <w:lang w:eastAsia="zh-CN"/>
              </w:rPr>
            </w:pPr>
            <w:r>
              <w:rPr>
                <w:rFonts w:hint="eastAsia"/>
                <w:color w:val="FF0000"/>
                <w:kern w:val="0"/>
                <w:szCs w:val="21"/>
                <w:highlight w:val="none"/>
              </w:rPr>
              <w:t>排放废气量</w:t>
            </w:r>
            <w:r>
              <w:rPr>
                <w:color w:val="FF0000"/>
                <w:kern w:val="0"/>
                <w:szCs w:val="21"/>
                <w:highlight w:val="none"/>
              </w:rPr>
              <w:t>m</w:t>
            </w:r>
            <w:r>
              <w:rPr>
                <w:color w:val="FF0000"/>
                <w:kern w:val="0"/>
                <w:szCs w:val="21"/>
                <w:highlight w:val="none"/>
                <w:vertAlign w:val="superscript"/>
              </w:rPr>
              <w:t>3</w:t>
            </w:r>
            <w:r>
              <w:rPr>
                <w:color w:val="FF0000"/>
                <w:kern w:val="0"/>
                <w:szCs w:val="21"/>
                <w:highlight w:val="none"/>
              </w:rPr>
              <w:t>/</w:t>
            </w:r>
            <w:r>
              <w:rPr>
                <w:rFonts w:hint="eastAsia"/>
                <w:color w:val="FF0000"/>
                <w:kern w:val="0"/>
                <w:szCs w:val="21"/>
                <w:highlight w:val="none"/>
                <w:lang w:val="en-US" w:eastAsia="zh-CN"/>
              </w:rPr>
              <w:t>a</w:t>
            </w:r>
          </w:p>
        </w:tc>
        <w:tc>
          <w:tcPr>
            <w:tcW w:w="877" w:type="dxa"/>
            <w:tcBorders>
              <w:tl2br w:val="nil"/>
              <w:tr2bl w:val="nil"/>
            </w:tcBorders>
            <w:vAlign w:val="center"/>
          </w:tcPr>
          <w:p>
            <w:pPr>
              <w:ind w:left="-42" w:leftChars="-20" w:right="-42" w:rightChars="-20"/>
              <w:jc w:val="center"/>
              <w:rPr>
                <w:color w:val="FF0000"/>
                <w:szCs w:val="21"/>
                <w:highlight w:val="none"/>
              </w:rPr>
            </w:pPr>
            <w:r>
              <w:rPr>
                <w:rFonts w:hint="eastAsia"/>
                <w:color w:val="FF0000"/>
                <w:kern w:val="0"/>
                <w:szCs w:val="21"/>
                <w:highlight w:val="none"/>
              </w:rPr>
              <w:t>排放浓度</w:t>
            </w:r>
            <w:r>
              <w:rPr>
                <w:color w:val="FF0000"/>
                <w:kern w:val="0"/>
                <w:szCs w:val="21"/>
                <w:highlight w:val="none"/>
              </w:rPr>
              <w:t>mg/m</w:t>
            </w:r>
            <w:r>
              <w:rPr>
                <w:color w:val="FF0000"/>
                <w:kern w:val="0"/>
                <w:szCs w:val="21"/>
                <w:highlight w:val="none"/>
                <w:vertAlign w:val="superscript"/>
              </w:rPr>
              <w:t>3</w:t>
            </w:r>
          </w:p>
        </w:tc>
        <w:tc>
          <w:tcPr>
            <w:tcW w:w="870" w:type="dxa"/>
            <w:tcBorders>
              <w:tl2br w:val="nil"/>
              <w:tr2bl w:val="nil"/>
            </w:tcBorders>
            <w:vAlign w:val="center"/>
          </w:tcPr>
          <w:p>
            <w:pPr>
              <w:ind w:left="-42" w:leftChars="-20" w:right="-42" w:rightChars="-20"/>
              <w:jc w:val="center"/>
              <w:rPr>
                <w:color w:val="FF0000"/>
                <w:szCs w:val="21"/>
                <w:highlight w:val="none"/>
              </w:rPr>
            </w:pPr>
            <w:r>
              <w:rPr>
                <w:rFonts w:hint="eastAsia"/>
                <w:color w:val="FF0000"/>
                <w:kern w:val="0"/>
                <w:szCs w:val="21"/>
                <w:highlight w:val="none"/>
              </w:rPr>
              <w:t>排放量</w:t>
            </w:r>
            <w:r>
              <w:rPr>
                <w:color w:val="FF0000"/>
                <w:kern w:val="0"/>
                <w:szCs w:val="21"/>
                <w:highlight w:val="none"/>
              </w:rPr>
              <w:t>t/a</w:t>
            </w:r>
          </w:p>
        </w:tc>
        <w:tc>
          <w:tcPr>
            <w:tcW w:w="901" w:type="dxa"/>
            <w:vMerge w:val="continue"/>
            <w:tcBorders>
              <w:tl2br w:val="nil"/>
              <w:tr2bl w:val="nil"/>
            </w:tcBorders>
            <w:vAlign w:val="center"/>
          </w:tcPr>
          <w:p>
            <w:pPr>
              <w:widowControl/>
              <w:jc w:val="center"/>
              <w:rPr>
                <w:color w:val="FF0000"/>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952" w:type="dxa"/>
            <w:vMerge w:val="restart"/>
            <w:tcBorders>
              <w:tl2br w:val="nil"/>
              <w:tr2bl w:val="nil"/>
            </w:tcBorders>
            <w:vAlign w:val="center"/>
          </w:tcPr>
          <w:p>
            <w:pPr>
              <w:ind w:left="-42" w:leftChars="-20" w:right="-42" w:rightChars="-20"/>
              <w:jc w:val="center"/>
              <w:textAlignment w:val="center"/>
              <w:rPr>
                <w:color w:val="FF0000"/>
                <w:szCs w:val="21"/>
                <w:highlight w:val="none"/>
              </w:rPr>
            </w:pPr>
            <w:r>
              <w:rPr>
                <w:rFonts w:hint="eastAsia"/>
                <w:color w:val="FF0000"/>
                <w:szCs w:val="21"/>
                <w:highlight w:val="none"/>
              </w:rPr>
              <w:t>锅炉</w:t>
            </w:r>
          </w:p>
        </w:tc>
        <w:tc>
          <w:tcPr>
            <w:tcW w:w="767" w:type="dxa"/>
            <w:tcBorders>
              <w:tl2br w:val="nil"/>
              <w:tr2bl w:val="nil"/>
            </w:tcBorders>
            <w:vAlign w:val="center"/>
          </w:tcPr>
          <w:p>
            <w:pPr>
              <w:ind w:left="-42" w:leftChars="-20" w:right="-42" w:rightChars="-20"/>
              <w:jc w:val="center"/>
              <w:rPr>
                <w:color w:val="FF0000"/>
                <w:kern w:val="0"/>
                <w:szCs w:val="21"/>
                <w:highlight w:val="none"/>
              </w:rPr>
            </w:pPr>
            <w:r>
              <w:rPr>
                <w:rFonts w:hint="eastAsia"/>
                <w:color w:val="FF0000"/>
                <w:kern w:val="0"/>
                <w:szCs w:val="21"/>
                <w:highlight w:val="none"/>
              </w:rPr>
              <w:t>颗粒物</w:t>
            </w:r>
          </w:p>
        </w:tc>
        <w:tc>
          <w:tcPr>
            <w:tcW w:w="550" w:type="dxa"/>
            <w:vMerge w:val="restart"/>
            <w:tcBorders>
              <w:tl2br w:val="nil"/>
              <w:tr2bl w:val="nil"/>
            </w:tcBorders>
            <w:vAlign w:val="center"/>
          </w:tcPr>
          <w:p>
            <w:pPr>
              <w:ind w:left="-42" w:leftChars="-20" w:right="-42" w:rightChars="-20"/>
              <w:jc w:val="center"/>
              <w:textAlignment w:val="center"/>
              <w:rPr>
                <w:rFonts w:hint="eastAsia" w:eastAsia="宋体"/>
                <w:color w:val="FF0000"/>
                <w:szCs w:val="21"/>
                <w:highlight w:val="none"/>
                <w:lang w:eastAsia="zh-CN"/>
              </w:rPr>
            </w:pPr>
          </w:p>
        </w:tc>
        <w:tc>
          <w:tcPr>
            <w:tcW w:w="933" w:type="dxa"/>
            <w:vMerge w:val="restart"/>
            <w:tcBorders>
              <w:tl2br w:val="nil"/>
              <w:tr2bl w:val="nil"/>
            </w:tcBorders>
            <w:vAlign w:val="center"/>
          </w:tcPr>
          <w:p>
            <w:pPr>
              <w:ind w:left="-42" w:leftChars="-20" w:right="-42" w:rightChars="-20"/>
              <w:jc w:val="center"/>
              <w:textAlignment w:val="center"/>
              <w:rPr>
                <w:rFonts w:hint="default" w:eastAsia="宋体"/>
                <w:color w:val="FF0000"/>
                <w:szCs w:val="21"/>
                <w:highlight w:val="none"/>
                <w:lang w:val="en-US" w:eastAsia="zh-CN"/>
              </w:rPr>
            </w:pPr>
            <w:r>
              <w:rPr>
                <w:rFonts w:hint="eastAsia"/>
                <w:color w:val="FF0000"/>
                <w:szCs w:val="21"/>
                <w:highlight w:val="none"/>
                <w:lang w:val="en-US" w:eastAsia="zh-CN"/>
              </w:rPr>
              <w:t>1.23</w:t>
            </w:r>
            <w:r>
              <w:rPr>
                <w:rFonts w:hint="default" w:ascii="Arial" w:hAnsi="Arial" w:cs="Arial"/>
                <w:color w:val="FF0000"/>
                <w:szCs w:val="21"/>
                <w:highlight w:val="none"/>
                <w:lang w:val="en-US" w:eastAsia="zh-CN"/>
              </w:rPr>
              <w:t>×</w:t>
            </w:r>
            <w:r>
              <w:rPr>
                <w:rFonts w:hint="eastAsia"/>
                <w:color w:val="FF0000"/>
                <w:szCs w:val="21"/>
                <w:highlight w:val="none"/>
                <w:lang w:val="en-US" w:eastAsia="zh-CN"/>
              </w:rPr>
              <w:t>10</w:t>
            </w:r>
            <w:r>
              <w:rPr>
                <w:rFonts w:hint="eastAsia"/>
                <w:color w:val="FF0000"/>
                <w:szCs w:val="21"/>
                <w:highlight w:val="none"/>
                <w:vertAlign w:val="superscript"/>
                <w:lang w:val="en-US" w:eastAsia="zh-CN"/>
              </w:rPr>
              <w:t>8</w:t>
            </w:r>
          </w:p>
        </w:tc>
        <w:tc>
          <w:tcPr>
            <w:tcW w:w="1234" w:type="dxa"/>
            <w:tcBorders>
              <w:tl2br w:val="nil"/>
              <w:tr2bl w:val="nil"/>
            </w:tcBorders>
            <w:vAlign w:val="center"/>
          </w:tcPr>
          <w:p>
            <w:pPr>
              <w:jc w:val="center"/>
              <w:rPr>
                <w:rFonts w:hint="default" w:eastAsia="宋体"/>
                <w:color w:val="FF0000"/>
                <w:szCs w:val="21"/>
                <w:highlight w:val="none"/>
                <w:lang w:val="en-US" w:eastAsia="zh-CN"/>
              </w:rPr>
            </w:pPr>
            <w:r>
              <w:rPr>
                <w:rFonts w:hint="eastAsia" w:cs="Times New Roman"/>
                <w:bCs w:val="0"/>
                <w:color w:val="FF0000"/>
                <w:sz w:val="21"/>
                <w:szCs w:val="21"/>
                <w:highlight w:val="none"/>
                <w:lang w:val="en-US" w:eastAsia="zh-CN"/>
              </w:rPr>
              <w:t>11845.5</w:t>
            </w:r>
          </w:p>
        </w:tc>
        <w:tc>
          <w:tcPr>
            <w:tcW w:w="900" w:type="dxa"/>
            <w:tcBorders>
              <w:tl2br w:val="nil"/>
              <w:tr2bl w:val="nil"/>
            </w:tcBorders>
            <w:vAlign w:val="center"/>
          </w:tcPr>
          <w:p>
            <w:pPr>
              <w:jc w:val="center"/>
              <w:rPr>
                <w:rFonts w:hint="default" w:eastAsia="宋体"/>
                <w:color w:val="FF0000"/>
                <w:kern w:val="0"/>
                <w:szCs w:val="21"/>
                <w:highlight w:val="none"/>
                <w:lang w:val="en-US" w:eastAsia="zh-CN"/>
              </w:rPr>
            </w:pPr>
            <w:r>
              <w:rPr>
                <w:rFonts w:hint="eastAsia" w:cs="Times New Roman"/>
                <w:bCs w:val="0"/>
                <w:color w:val="FF0000"/>
                <w:sz w:val="21"/>
                <w:szCs w:val="21"/>
                <w:highlight w:val="none"/>
                <w:lang w:val="en-US" w:eastAsia="zh-CN"/>
              </w:rPr>
              <w:t>1457</w:t>
            </w:r>
          </w:p>
        </w:tc>
        <w:tc>
          <w:tcPr>
            <w:tcW w:w="2254" w:type="dxa"/>
            <w:vMerge w:val="restart"/>
            <w:tcBorders>
              <w:tl2br w:val="nil"/>
              <w:tr2bl w:val="nil"/>
            </w:tcBorders>
            <w:vAlign w:val="center"/>
          </w:tcPr>
          <w:p>
            <w:pPr>
              <w:ind w:left="-42" w:leftChars="-20" w:right="-42" w:rightChars="-20"/>
              <w:jc w:val="center"/>
              <w:textAlignment w:val="center"/>
              <w:rPr>
                <w:rFonts w:hint="eastAsia" w:eastAsia="宋体"/>
                <w:color w:val="FF0000"/>
                <w:szCs w:val="21"/>
                <w:highlight w:val="none"/>
                <w:lang w:val="en-US" w:eastAsia="zh-CN"/>
              </w:rPr>
            </w:pPr>
            <w:r>
              <w:rPr>
                <w:rFonts w:hint="eastAsia"/>
                <w:color w:val="FF0000"/>
                <w:szCs w:val="21"/>
                <w:highlight w:val="none"/>
              </w:rPr>
              <w:t>本项目锅炉废气通过除尘脱硫脱硝处理后</w:t>
            </w:r>
            <w:r>
              <w:rPr>
                <w:rFonts w:hint="eastAsia"/>
                <w:bCs/>
                <w:color w:val="FF0000"/>
                <w:szCs w:val="21"/>
                <w:highlight w:val="none"/>
              </w:rPr>
              <w:t>通过现有</w:t>
            </w:r>
            <w:r>
              <w:rPr>
                <w:rFonts w:hint="eastAsia"/>
                <w:color w:val="FF0000"/>
                <w:szCs w:val="21"/>
                <w:highlight w:val="none"/>
                <w:lang w:val="en-US" w:eastAsia="zh-CN"/>
              </w:rPr>
              <w:t>60</w:t>
            </w:r>
            <w:r>
              <w:rPr>
                <w:color w:val="FF0000"/>
                <w:szCs w:val="21"/>
                <w:highlight w:val="none"/>
              </w:rPr>
              <w:t>m</w:t>
            </w:r>
            <w:r>
              <w:rPr>
                <w:rFonts w:hint="eastAsia"/>
                <w:color w:val="FF0000"/>
                <w:szCs w:val="21"/>
                <w:highlight w:val="none"/>
              </w:rPr>
              <w:t>高烟囱排放</w:t>
            </w:r>
          </w:p>
        </w:tc>
        <w:tc>
          <w:tcPr>
            <w:tcW w:w="2380" w:type="dxa"/>
            <w:vMerge w:val="restart"/>
            <w:tcBorders>
              <w:tl2br w:val="nil"/>
              <w:tr2bl w:val="nil"/>
            </w:tcBorders>
            <w:vAlign w:val="center"/>
          </w:tcPr>
          <w:p>
            <w:pPr>
              <w:ind w:left="-42" w:leftChars="-20" w:right="-42" w:rightChars="-20"/>
              <w:jc w:val="center"/>
              <w:textAlignment w:val="center"/>
              <w:rPr>
                <w:rFonts w:hint="default" w:eastAsia="宋体"/>
                <w:color w:val="FF0000"/>
                <w:szCs w:val="21"/>
                <w:highlight w:val="none"/>
                <w:lang w:val="en-US" w:eastAsia="zh-CN"/>
              </w:rPr>
            </w:pPr>
            <w:r>
              <w:rPr>
                <w:rFonts w:hint="eastAsia"/>
                <w:color w:val="FF0000"/>
                <w:szCs w:val="21"/>
                <w:highlight w:val="none"/>
              </w:rPr>
              <w:t>除尘效率</w:t>
            </w:r>
            <w:r>
              <w:rPr>
                <w:color w:val="FF0000"/>
                <w:szCs w:val="21"/>
                <w:highlight w:val="none"/>
              </w:rPr>
              <w:t>99</w:t>
            </w:r>
            <w:r>
              <w:rPr>
                <w:rFonts w:hint="eastAsia"/>
                <w:color w:val="FF0000"/>
                <w:szCs w:val="21"/>
                <w:highlight w:val="none"/>
                <w:lang w:val="en-US" w:eastAsia="zh-CN"/>
              </w:rPr>
              <w:t>.9</w:t>
            </w:r>
            <w:r>
              <w:rPr>
                <w:color w:val="FF0000"/>
                <w:szCs w:val="21"/>
                <w:highlight w:val="none"/>
              </w:rPr>
              <w:t>%</w:t>
            </w:r>
            <w:r>
              <w:rPr>
                <w:rFonts w:hint="eastAsia"/>
                <w:color w:val="FF0000"/>
                <w:szCs w:val="21"/>
                <w:highlight w:val="none"/>
              </w:rPr>
              <w:t>、脱硝效率</w:t>
            </w:r>
            <w:r>
              <w:rPr>
                <w:rFonts w:hint="eastAsia"/>
                <w:color w:val="FF0000"/>
                <w:szCs w:val="21"/>
                <w:highlight w:val="none"/>
                <w:lang w:val="en-US" w:eastAsia="zh-CN"/>
              </w:rPr>
              <w:t>5</w:t>
            </w:r>
            <w:r>
              <w:rPr>
                <w:rFonts w:hint="eastAsia"/>
                <w:color w:val="FF0000"/>
                <w:szCs w:val="21"/>
                <w:highlight w:val="none"/>
              </w:rPr>
              <w:t>0</w:t>
            </w:r>
            <w:r>
              <w:rPr>
                <w:color w:val="FF0000"/>
                <w:szCs w:val="21"/>
                <w:highlight w:val="none"/>
              </w:rPr>
              <w:t>%</w:t>
            </w:r>
            <w:r>
              <w:rPr>
                <w:rFonts w:hint="eastAsia"/>
                <w:color w:val="FF0000"/>
                <w:szCs w:val="21"/>
                <w:highlight w:val="none"/>
              </w:rPr>
              <w:t>、脱硫效率</w:t>
            </w:r>
            <w:r>
              <w:rPr>
                <w:rFonts w:hint="eastAsia"/>
                <w:color w:val="FF0000"/>
                <w:szCs w:val="21"/>
                <w:highlight w:val="none"/>
                <w:lang w:val="en-US" w:eastAsia="zh-CN"/>
              </w:rPr>
              <w:t>8</w:t>
            </w:r>
            <w:r>
              <w:rPr>
                <w:rFonts w:hint="eastAsia"/>
                <w:color w:val="FF0000"/>
                <w:szCs w:val="21"/>
                <w:highlight w:val="none"/>
              </w:rPr>
              <w:t>0</w:t>
            </w:r>
            <w:r>
              <w:rPr>
                <w:color w:val="FF0000"/>
                <w:szCs w:val="21"/>
                <w:highlight w:val="none"/>
              </w:rPr>
              <w:t>%</w:t>
            </w:r>
            <w:r>
              <w:rPr>
                <w:rFonts w:hint="eastAsia"/>
                <w:color w:val="FF0000"/>
                <w:szCs w:val="21"/>
                <w:highlight w:val="none"/>
                <w:lang w:eastAsia="zh-CN"/>
              </w:rPr>
              <w:t>、协同效率</w:t>
            </w:r>
            <w:r>
              <w:rPr>
                <w:rFonts w:hint="eastAsia"/>
                <w:color w:val="FF0000"/>
                <w:szCs w:val="21"/>
                <w:highlight w:val="none"/>
                <w:lang w:val="en-US" w:eastAsia="zh-CN"/>
              </w:rPr>
              <w:t>70%</w:t>
            </w:r>
          </w:p>
        </w:tc>
        <w:tc>
          <w:tcPr>
            <w:tcW w:w="546" w:type="dxa"/>
            <w:vMerge w:val="restart"/>
            <w:tcBorders>
              <w:tl2br w:val="nil"/>
              <w:tr2bl w:val="nil"/>
            </w:tcBorders>
            <w:vAlign w:val="center"/>
          </w:tcPr>
          <w:p>
            <w:pPr>
              <w:ind w:left="-107" w:leftChars="-51" w:right="-107" w:rightChars="-51"/>
              <w:jc w:val="center"/>
              <w:textAlignment w:val="center"/>
              <w:rPr>
                <w:color w:val="FF0000"/>
                <w:szCs w:val="21"/>
                <w:highlight w:val="none"/>
              </w:rPr>
            </w:pPr>
          </w:p>
        </w:tc>
        <w:tc>
          <w:tcPr>
            <w:tcW w:w="1056" w:type="dxa"/>
            <w:vMerge w:val="restart"/>
            <w:tcBorders>
              <w:tl2br w:val="nil"/>
              <w:tr2bl w:val="nil"/>
            </w:tcBorders>
            <w:vAlign w:val="center"/>
          </w:tcPr>
          <w:p>
            <w:pPr>
              <w:ind w:left="-42" w:leftChars="-20" w:right="-42" w:rightChars="-20"/>
              <w:jc w:val="center"/>
              <w:textAlignment w:val="center"/>
              <w:rPr>
                <w:rFonts w:hint="default" w:eastAsia="宋体"/>
                <w:color w:val="FF0000"/>
                <w:szCs w:val="21"/>
                <w:highlight w:val="none"/>
                <w:lang w:val="en-US" w:eastAsia="zh-CN"/>
              </w:rPr>
            </w:pPr>
            <w:r>
              <w:rPr>
                <w:rFonts w:hint="eastAsia"/>
                <w:color w:val="FF0000"/>
                <w:szCs w:val="21"/>
                <w:highlight w:val="none"/>
                <w:lang w:val="en-US" w:eastAsia="zh-CN"/>
              </w:rPr>
              <w:t>1.23</w:t>
            </w:r>
            <w:r>
              <w:rPr>
                <w:rFonts w:hint="default" w:ascii="Arial" w:hAnsi="Arial" w:cs="Arial"/>
                <w:color w:val="FF0000"/>
                <w:szCs w:val="21"/>
                <w:highlight w:val="none"/>
                <w:lang w:val="en-US" w:eastAsia="zh-CN"/>
              </w:rPr>
              <w:t>×</w:t>
            </w:r>
            <w:r>
              <w:rPr>
                <w:rFonts w:hint="eastAsia"/>
                <w:color w:val="FF0000"/>
                <w:szCs w:val="21"/>
                <w:highlight w:val="none"/>
                <w:lang w:val="en-US" w:eastAsia="zh-CN"/>
              </w:rPr>
              <w:t>10</w:t>
            </w:r>
            <w:r>
              <w:rPr>
                <w:rFonts w:hint="eastAsia"/>
                <w:color w:val="FF0000"/>
                <w:szCs w:val="21"/>
                <w:highlight w:val="none"/>
                <w:vertAlign w:val="superscript"/>
                <w:lang w:val="en-US" w:eastAsia="zh-CN"/>
              </w:rPr>
              <w:t>8</w:t>
            </w:r>
          </w:p>
        </w:tc>
        <w:tc>
          <w:tcPr>
            <w:tcW w:w="877" w:type="dxa"/>
            <w:tcBorders>
              <w:tl2br w:val="nil"/>
              <w:tr2bl w:val="nil"/>
            </w:tcBorders>
            <w:vAlign w:val="center"/>
          </w:tcPr>
          <w:p>
            <w:pPr>
              <w:jc w:val="center"/>
              <w:rPr>
                <w:rFonts w:hint="default" w:eastAsia="宋体"/>
                <w:color w:val="FF0000"/>
                <w:szCs w:val="21"/>
                <w:highlight w:val="none"/>
                <w:lang w:val="en-US" w:eastAsia="zh-CN"/>
              </w:rPr>
            </w:pPr>
            <w:r>
              <w:rPr>
                <w:rFonts w:hint="eastAsia" w:cs="Times New Roman"/>
                <w:bCs w:val="0"/>
                <w:color w:val="FF0000"/>
                <w:sz w:val="21"/>
                <w:szCs w:val="21"/>
                <w:highlight w:val="none"/>
                <w:lang w:val="en-US" w:eastAsia="zh-CN"/>
              </w:rPr>
              <w:t>11.85</w:t>
            </w:r>
          </w:p>
        </w:tc>
        <w:tc>
          <w:tcPr>
            <w:tcW w:w="870" w:type="dxa"/>
            <w:tcBorders>
              <w:tl2br w:val="nil"/>
              <w:tr2bl w:val="nil"/>
            </w:tcBorders>
            <w:vAlign w:val="center"/>
          </w:tcPr>
          <w:p>
            <w:pPr>
              <w:jc w:val="center"/>
              <w:rPr>
                <w:rFonts w:hint="default" w:eastAsia="宋体"/>
                <w:color w:val="FF0000"/>
                <w:kern w:val="0"/>
                <w:szCs w:val="21"/>
                <w:highlight w:val="none"/>
                <w:lang w:val="en-US" w:eastAsia="zh-CN"/>
              </w:rPr>
            </w:pPr>
            <w:r>
              <w:rPr>
                <w:rFonts w:hint="eastAsia" w:cs="Times New Roman"/>
                <w:bCs w:val="0"/>
                <w:color w:val="FF0000"/>
                <w:sz w:val="21"/>
                <w:szCs w:val="21"/>
                <w:highlight w:val="none"/>
                <w:lang w:val="en-US" w:eastAsia="zh-CN"/>
              </w:rPr>
              <w:t>1.457</w:t>
            </w:r>
          </w:p>
        </w:tc>
        <w:tc>
          <w:tcPr>
            <w:tcW w:w="901" w:type="dxa"/>
            <w:tcBorders>
              <w:tl2br w:val="nil"/>
              <w:tr2bl w:val="nil"/>
            </w:tcBorders>
            <w:vAlign w:val="center"/>
          </w:tcPr>
          <w:p>
            <w:pPr>
              <w:ind w:left="-42" w:leftChars="-20" w:right="-42" w:rightChars="-20"/>
              <w:jc w:val="center"/>
              <w:textAlignment w:val="center"/>
              <w:rPr>
                <w:color w:val="FF0000"/>
                <w:szCs w:val="21"/>
                <w:highlight w:val="none"/>
              </w:rPr>
            </w:pPr>
            <w:r>
              <w:rPr>
                <w:rFonts w:hint="eastAsia"/>
                <w:color w:val="FF0000"/>
                <w:szCs w:val="21"/>
                <w:highlight w:val="none"/>
              </w:rPr>
              <w:t>432</w:t>
            </w:r>
            <w:r>
              <w:rPr>
                <w:color w:val="FF0000"/>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952" w:type="dxa"/>
            <w:vMerge w:val="continue"/>
            <w:tcBorders>
              <w:tl2br w:val="nil"/>
              <w:tr2bl w:val="nil"/>
            </w:tcBorders>
            <w:vAlign w:val="center"/>
          </w:tcPr>
          <w:p>
            <w:pPr>
              <w:ind w:left="-42" w:leftChars="-20" w:right="-42" w:rightChars="-20"/>
              <w:jc w:val="center"/>
              <w:textAlignment w:val="center"/>
              <w:rPr>
                <w:rFonts w:hint="eastAsia"/>
                <w:color w:val="FF0000"/>
                <w:szCs w:val="21"/>
                <w:highlight w:val="none"/>
              </w:rPr>
            </w:pPr>
          </w:p>
        </w:tc>
        <w:tc>
          <w:tcPr>
            <w:tcW w:w="767" w:type="dxa"/>
            <w:tcBorders>
              <w:tl2br w:val="nil"/>
              <w:tr2bl w:val="nil"/>
            </w:tcBorders>
            <w:vAlign w:val="center"/>
          </w:tcPr>
          <w:p>
            <w:pPr>
              <w:ind w:left="-42" w:leftChars="-20" w:right="-42" w:rightChars="-20"/>
              <w:jc w:val="center"/>
              <w:rPr>
                <w:rFonts w:hint="eastAsia"/>
                <w:color w:val="FF0000"/>
                <w:kern w:val="0"/>
                <w:szCs w:val="21"/>
                <w:highlight w:val="none"/>
              </w:rPr>
            </w:pPr>
            <w:r>
              <w:rPr>
                <w:rFonts w:hint="default" w:ascii="Times New Roman" w:hAnsi="Times New Roman" w:cs="Times New Roman"/>
                <w:bCs w:val="0"/>
                <w:color w:val="FF0000"/>
                <w:sz w:val="21"/>
                <w:szCs w:val="21"/>
                <w:highlight w:val="none"/>
                <w:lang w:eastAsia="zh-CN"/>
              </w:rPr>
              <w:t>汞及其化合物</w:t>
            </w:r>
          </w:p>
        </w:tc>
        <w:tc>
          <w:tcPr>
            <w:tcW w:w="550" w:type="dxa"/>
            <w:vMerge w:val="continue"/>
            <w:tcBorders>
              <w:tl2br w:val="nil"/>
              <w:tr2bl w:val="nil"/>
            </w:tcBorders>
            <w:vAlign w:val="center"/>
          </w:tcPr>
          <w:p>
            <w:pPr>
              <w:ind w:left="-42" w:leftChars="-20" w:right="-42" w:rightChars="-20"/>
              <w:jc w:val="center"/>
              <w:textAlignment w:val="center"/>
              <w:rPr>
                <w:rFonts w:hint="eastAsia" w:eastAsia="宋体"/>
                <w:color w:val="FF0000"/>
                <w:szCs w:val="21"/>
                <w:highlight w:val="none"/>
                <w:lang w:eastAsia="zh-CN"/>
              </w:rPr>
            </w:pPr>
          </w:p>
        </w:tc>
        <w:tc>
          <w:tcPr>
            <w:tcW w:w="933" w:type="dxa"/>
            <w:vMerge w:val="continue"/>
            <w:tcBorders>
              <w:tl2br w:val="nil"/>
              <w:tr2bl w:val="nil"/>
            </w:tcBorders>
            <w:vAlign w:val="center"/>
          </w:tcPr>
          <w:p>
            <w:pPr>
              <w:ind w:left="-42" w:leftChars="-20" w:right="-42" w:rightChars="-20"/>
              <w:jc w:val="center"/>
              <w:textAlignment w:val="center"/>
              <w:rPr>
                <w:rFonts w:hint="eastAsia"/>
                <w:color w:val="FF0000"/>
                <w:szCs w:val="21"/>
                <w:highlight w:val="none"/>
                <w:lang w:val="en-US" w:eastAsia="zh-CN"/>
              </w:rPr>
            </w:pPr>
          </w:p>
        </w:tc>
        <w:tc>
          <w:tcPr>
            <w:tcW w:w="1234" w:type="dxa"/>
            <w:tcBorders>
              <w:tl2br w:val="nil"/>
              <w:tr2bl w:val="nil"/>
            </w:tcBorders>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0.011</w:t>
            </w:r>
          </w:p>
        </w:tc>
        <w:tc>
          <w:tcPr>
            <w:tcW w:w="900" w:type="dxa"/>
            <w:tcBorders>
              <w:tl2br w:val="nil"/>
              <w:tr2bl w:val="nil"/>
            </w:tcBorders>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0.0013</w:t>
            </w:r>
          </w:p>
        </w:tc>
        <w:tc>
          <w:tcPr>
            <w:tcW w:w="2254" w:type="dxa"/>
            <w:vMerge w:val="continue"/>
            <w:tcBorders>
              <w:tl2br w:val="nil"/>
              <w:tr2bl w:val="nil"/>
            </w:tcBorders>
            <w:vAlign w:val="center"/>
          </w:tcPr>
          <w:p>
            <w:pPr>
              <w:ind w:left="-42" w:leftChars="-20" w:right="-42" w:rightChars="-20"/>
              <w:jc w:val="center"/>
              <w:textAlignment w:val="center"/>
              <w:rPr>
                <w:rFonts w:hint="eastAsia"/>
                <w:color w:val="FF0000"/>
                <w:szCs w:val="21"/>
                <w:highlight w:val="none"/>
              </w:rPr>
            </w:pPr>
          </w:p>
        </w:tc>
        <w:tc>
          <w:tcPr>
            <w:tcW w:w="2380" w:type="dxa"/>
            <w:vMerge w:val="continue"/>
            <w:tcBorders>
              <w:tl2br w:val="nil"/>
              <w:tr2bl w:val="nil"/>
            </w:tcBorders>
            <w:vAlign w:val="center"/>
          </w:tcPr>
          <w:p>
            <w:pPr>
              <w:ind w:left="-42" w:leftChars="-20" w:right="-42" w:rightChars="-20"/>
              <w:jc w:val="center"/>
              <w:textAlignment w:val="center"/>
              <w:rPr>
                <w:rFonts w:hint="eastAsia"/>
                <w:color w:val="FF0000"/>
                <w:szCs w:val="21"/>
                <w:highlight w:val="none"/>
              </w:rPr>
            </w:pPr>
          </w:p>
        </w:tc>
        <w:tc>
          <w:tcPr>
            <w:tcW w:w="546" w:type="dxa"/>
            <w:vMerge w:val="continue"/>
            <w:tcBorders>
              <w:tl2br w:val="nil"/>
              <w:tr2bl w:val="nil"/>
            </w:tcBorders>
            <w:vAlign w:val="center"/>
          </w:tcPr>
          <w:p>
            <w:pPr>
              <w:ind w:left="-107" w:leftChars="-51" w:right="-107" w:rightChars="-51"/>
              <w:jc w:val="center"/>
              <w:textAlignment w:val="center"/>
              <w:rPr>
                <w:color w:val="FF0000"/>
                <w:szCs w:val="21"/>
                <w:highlight w:val="none"/>
              </w:rPr>
            </w:pPr>
          </w:p>
        </w:tc>
        <w:tc>
          <w:tcPr>
            <w:tcW w:w="1056" w:type="dxa"/>
            <w:vMerge w:val="continue"/>
            <w:tcBorders>
              <w:tl2br w:val="nil"/>
              <w:tr2bl w:val="nil"/>
            </w:tcBorders>
            <w:vAlign w:val="center"/>
          </w:tcPr>
          <w:p>
            <w:pPr>
              <w:ind w:left="-42" w:leftChars="-20" w:right="-42" w:rightChars="-20"/>
              <w:jc w:val="center"/>
              <w:textAlignment w:val="center"/>
              <w:rPr>
                <w:rFonts w:hint="eastAsia"/>
                <w:color w:val="FF0000"/>
                <w:szCs w:val="21"/>
                <w:highlight w:val="none"/>
                <w:lang w:val="en-US" w:eastAsia="zh-CN"/>
              </w:rPr>
            </w:pPr>
          </w:p>
        </w:tc>
        <w:tc>
          <w:tcPr>
            <w:tcW w:w="877" w:type="dxa"/>
            <w:tcBorders>
              <w:tl2br w:val="nil"/>
              <w:tr2bl w:val="nil"/>
            </w:tcBorders>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0.007</w:t>
            </w:r>
          </w:p>
        </w:tc>
        <w:tc>
          <w:tcPr>
            <w:tcW w:w="870" w:type="dxa"/>
            <w:tcBorders>
              <w:tl2br w:val="nil"/>
              <w:tr2bl w:val="nil"/>
            </w:tcBorders>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0.0009</w:t>
            </w:r>
          </w:p>
        </w:tc>
        <w:tc>
          <w:tcPr>
            <w:tcW w:w="901" w:type="dxa"/>
            <w:tcBorders>
              <w:tl2br w:val="nil"/>
              <w:tr2bl w:val="nil"/>
            </w:tcBorders>
            <w:vAlign w:val="center"/>
          </w:tcPr>
          <w:p>
            <w:pPr>
              <w:ind w:left="-42" w:leftChars="-20" w:right="-42" w:rightChars="-20"/>
              <w:jc w:val="center"/>
              <w:textAlignment w:val="center"/>
              <w:rPr>
                <w:rFonts w:hint="default" w:eastAsia="宋体"/>
                <w:color w:val="FF0000"/>
                <w:szCs w:val="21"/>
                <w:highlight w:val="none"/>
                <w:lang w:val="en-US" w:eastAsia="zh-CN"/>
              </w:rPr>
            </w:pPr>
            <w:r>
              <w:rPr>
                <w:rFonts w:hint="eastAsia"/>
                <w:color w:val="FF0000"/>
                <w:szCs w:val="21"/>
                <w:highlight w:val="none"/>
                <w:lang w:val="en-US" w:eastAsia="zh-CN"/>
              </w:rPr>
              <w:t>4320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52" w:type="dxa"/>
            <w:vMerge w:val="continue"/>
            <w:tcBorders>
              <w:tl2br w:val="nil"/>
              <w:tr2bl w:val="nil"/>
            </w:tcBorders>
            <w:vAlign w:val="center"/>
          </w:tcPr>
          <w:p>
            <w:pPr>
              <w:widowControl/>
              <w:jc w:val="center"/>
              <w:rPr>
                <w:color w:val="FF0000"/>
                <w:szCs w:val="21"/>
                <w:highlight w:val="none"/>
              </w:rPr>
            </w:pPr>
          </w:p>
        </w:tc>
        <w:tc>
          <w:tcPr>
            <w:tcW w:w="767" w:type="dxa"/>
            <w:tcBorders>
              <w:tl2br w:val="nil"/>
              <w:tr2bl w:val="nil"/>
            </w:tcBorders>
            <w:vAlign w:val="center"/>
          </w:tcPr>
          <w:p>
            <w:pPr>
              <w:widowControl/>
              <w:ind w:left="-42" w:leftChars="-20" w:right="-42" w:rightChars="-20"/>
              <w:jc w:val="center"/>
              <w:rPr>
                <w:color w:val="FF0000"/>
                <w:kern w:val="0"/>
                <w:szCs w:val="21"/>
                <w:highlight w:val="none"/>
              </w:rPr>
            </w:pPr>
            <w:r>
              <w:rPr>
                <w:color w:val="FF0000"/>
                <w:kern w:val="0"/>
                <w:szCs w:val="21"/>
                <w:highlight w:val="none"/>
              </w:rPr>
              <w:t>SO</w:t>
            </w:r>
            <w:r>
              <w:rPr>
                <w:color w:val="FF0000"/>
                <w:kern w:val="0"/>
                <w:szCs w:val="21"/>
                <w:highlight w:val="none"/>
                <w:vertAlign w:val="subscript"/>
              </w:rPr>
              <w:t>2</w:t>
            </w:r>
          </w:p>
        </w:tc>
        <w:tc>
          <w:tcPr>
            <w:tcW w:w="550" w:type="dxa"/>
            <w:vMerge w:val="continue"/>
            <w:tcBorders>
              <w:tl2br w:val="nil"/>
              <w:tr2bl w:val="nil"/>
            </w:tcBorders>
            <w:vAlign w:val="center"/>
          </w:tcPr>
          <w:p>
            <w:pPr>
              <w:widowControl/>
              <w:jc w:val="center"/>
              <w:rPr>
                <w:color w:val="FF0000"/>
                <w:szCs w:val="21"/>
                <w:highlight w:val="none"/>
              </w:rPr>
            </w:pPr>
          </w:p>
        </w:tc>
        <w:tc>
          <w:tcPr>
            <w:tcW w:w="933" w:type="dxa"/>
            <w:vMerge w:val="continue"/>
            <w:tcBorders>
              <w:tl2br w:val="nil"/>
              <w:tr2bl w:val="nil"/>
            </w:tcBorders>
            <w:vAlign w:val="center"/>
          </w:tcPr>
          <w:p>
            <w:pPr>
              <w:widowControl/>
              <w:jc w:val="center"/>
              <w:rPr>
                <w:color w:val="FF0000"/>
                <w:szCs w:val="21"/>
                <w:highlight w:val="none"/>
              </w:rPr>
            </w:pPr>
          </w:p>
        </w:tc>
        <w:tc>
          <w:tcPr>
            <w:tcW w:w="1234" w:type="dxa"/>
            <w:tcBorders>
              <w:tl2br w:val="nil"/>
              <w:tr2bl w:val="nil"/>
            </w:tcBorders>
            <w:vAlign w:val="center"/>
          </w:tcPr>
          <w:p>
            <w:pPr>
              <w:jc w:val="center"/>
              <w:rPr>
                <w:rFonts w:hint="default" w:eastAsia="宋体"/>
                <w:color w:val="FF0000"/>
                <w:szCs w:val="21"/>
                <w:highlight w:val="none"/>
                <w:lang w:val="en-US" w:eastAsia="zh-CN"/>
              </w:rPr>
            </w:pPr>
            <w:r>
              <w:rPr>
                <w:rFonts w:hint="eastAsia" w:cs="Times New Roman"/>
                <w:bCs w:val="0"/>
                <w:color w:val="FF0000"/>
                <w:sz w:val="21"/>
                <w:szCs w:val="21"/>
                <w:highlight w:val="none"/>
                <w:lang w:val="en-US" w:eastAsia="zh-CN"/>
              </w:rPr>
              <w:t>401.38</w:t>
            </w:r>
          </w:p>
        </w:tc>
        <w:tc>
          <w:tcPr>
            <w:tcW w:w="900" w:type="dxa"/>
            <w:tcBorders>
              <w:tl2br w:val="nil"/>
              <w:tr2bl w:val="nil"/>
            </w:tcBorders>
            <w:vAlign w:val="center"/>
          </w:tcPr>
          <w:p>
            <w:pPr>
              <w:jc w:val="center"/>
              <w:rPr>
                <w:rFonts w:hint="default" w:eastAsia="宋体"/>
                <w:color w:val="FF0000"/>
                <w:kern w:val="0"/>
                <w:szCs w:val="21"/>
                <w:highlight w:val="none"/>
                <w:lang w:val="en-US" w:eastAsia="zh-CN"/>
              </w:rPr>
            </w:pPr>
            <w:r>
              <w:rPr>
                <w:rFonts w:hint="eastAsia" w:cs="Times New Roman"/>
                <w:bCs w:val="0"/>
                <w:color w:val="FF0000"/>
                <w:sz w:val="21"/>
                <w:szCs w:val="21"/>
                <w:highlight w:val="none"/>
                <w:lang w:val="en-US" w:eastAsia="zh-CN"/>
              </w:rPr>
              <w:t>49.37</w:t>
            </w:r>
          </w:p>
        </w:tc>
        <w:tc>
          <w:tcPr>
            <w:tcW w:w="2254" w:type="dxa"/>
            <w:vMerge w:val="continue"/>
            <w:tcBorders>
              <w:tl2br w:val="nil"/>
              <w:tr2bl w:val="nil"/>
            </w:tcBorders>
            <w:vAlign w:val="center"/>
          </w:tcPr>
          <w:p>
            <w:pPr>
              <w:widowControl/>
              <w:jc w:val="center"/>
              <w:rPr>
                <w:color w:val="FF0000"/>
                <w:szCs w:val="21"/>
                <w:highlight w:val="none"/>
              </w:rPr>
            </w:pPr>
          </w:p>
        </w:tc>
        <w:tc>
          <w:tcPr>
            <w:tcW w:w="2380" w:type="dxa"/>
            <w:vMerge w:val="continue"/>
            <w:tcBorders>
              <w:tl2br w:val="nil"/>
              <w:tr2bl w:val="nil"/>
            </w:tcBorders>
            <w:vAlign w:val="center"/>
          </w:tcPr>
          <w:p>
            <w:pPr>
              <w:widowControl/>
              <w:jc w:val="center"/>
              <w:rPr>
                <w:color w:val="FF0000"/>
                <w:szCs w:val="21"/>
                <w:highlight w:val="none"/>
              </w:rPr>
            </w:pPr>
          </w:p>
        </w:tc>
        <w:tc>
          <w:tcPr>
            <w:tcW w:w="546" w:type="dxa"/>
            <w:vMerge w:val="continue"/>
            <w:tcBorders>
              <w:tl2br w:val="nil"/>
              <w:tr2bl w:val="nil"/>
            </w:tcBorders>
            <w:vAlign w:val="center"/>
          </w:tcPr>
          <w:p>
            <w:pPr>
              <w:widowControl/>
              <w:jc w:val="center"/>
              <w:rPr>
                <w:color w:val="FF0000"/>
                <w:szCs w:val="21"/>
                <w:highlight w:val="none"/>
              </w:rPr>
            </w:pPr>
          </w:p>
        </w:tc>
        <w:tc>
          <w:tcPr>
            <w:tcW w:w="1056" w:type="dxa"/>
            <w:vMerge w:val="continue"/>
            <w:tcBorders>
              <w:tl2br w:val="nil"/>
              <w:tr2bl w:val="nil"/>
            </w:tcBorders>
            <w:vAlign w:val="center"/>
          </w:tcPr>
          <w:p>
            <w:pPr>
              <w:widowControl/>
              <w:jc w:val="center"/>
              <w:rPr>
                <w:color w:val="FF0000"/>
                <w:szCs w:val="21"/>
                <w:highlight w:val="none"/>
              </w:rPr>
            </w:pPr>
          </w:p>
        </w:tc>
        <w:tc>
          <w:tcPr>
            <w:tcW w:w="877" w:type="dxa"/>
            <w:tcBorders>
              <w:tl2br w:val="nil"/>
              <w:tr2bl w:val="nil"/>
            </w:tcBorders>
            <w:vAlign w:val="center"/>
          </w:tcPr>
          <w:p>
            <w:pPr>
              <w:jc w:val="center"/>
              <w:rPr>
                <w:rFonts w:hint="default" w:eastAsia="宋体"/>
                <w:color w:val="FF0000"/>
                <w:szCs w:val="21"/>
                <w:highlight w:val="none"/>
                <w:lang w:val="en-US" w:eastAsia="zh-CN"/>
              </w:rPr>
            </w:pPr>
            <w:r>
              <w:rPr>
                <w:rFonts w:hint="eastAsia" w:cs="Times New Roman"/>
                <w:bCs w:val="0"/>
                <w:color w:val="FF0000"/>
                <w:sz w:val="21"/>
                <w:szCs w:val="21"/>
                <w:highlight w:val="none"/>
                <w:lang w:val="en-US" w:eastAsia="zh-CN"/>
              </w:rPr>
              <w:t>80.28</w:t>
            </w:r>
          </w:p>
        </w:tc>
        <w:tc>
          <w:tcPr>
            <w:tcW w:w="870" w:type="dxa"/>
            <w:tcBorders>
              <w:tl2br w:val="nil"/>
              <w:tr2bl w:val="nil"/>
            </w:tcBorders>
            <w:vAlign w:val="center"/>
          </w:tcPr>
          <w:p>
            <w:pPr>
              <w:jc w:val="center"/>
              <w:rPr>
                <w:rFonts w:hint="default" w:eastAsia="宋体"/>
                <w:color w:val="FF0000"/>
                <w:kern w:val="0"/>
                <w:szCs w:val="21"/>
                <w:highlight w:val="none"/>
                <w:lang w:val="en-US" w:eastAsia="zh-CN"/>
              </w:rPr>
            </w:pPr>
            <w:r>
              <w:rPr>
                <w:rFonts w:hint="eastAsia" w:cs="Times New Roman"/>
                <w:bCs w:val="0"/>
                <w:color w:val="FF0000"/>
                <w:sz w:val="21"/>
                <w:szCs w:val="21"/>
                <w:highlight w:val="none"/>
                <w:lang w:val="en-US" w:eastAsia="zh-CN"/>
              </w:rPr>
              <w:t>9.874</w:t>
            </w:r>
          </w:p>
        </w:tc>
        <w:tc>
          <w:tcPr>
            <w:tcW w:w="901" w:type="dxa"/>
            <w:tcBorders>
              <w:tl2br w:val="nil"/>
              <w:tr2bl w:val="nil"/>
            </w:tcBorders>
            <w:vAlign w:val="center"/>
          </w:tcPr>
          <w:p>
            <w:pPr>
              <w:ind w:left="-42" w:leftChars="-20" w:right="-42" w:rightChars="-20"/>
              <w:jc w:val="center"/>
              <w:textAlignment w:val="center"/>
              <w:rPr>
                <w:color w:val="FF0000"/>
                <w:szCs w:val="21"/>
                <w:highlight w:val="none"/>
              </w:rPr>
            </w:pPr>
            <w:r>
              <w:rPr>
                <w:rFonts w:hint="eastAsia"/>
                <w:color w:val="FF0000"/>
                <w:szCs w:val="21"/>
                <w:highlight w:val="none"/>
              </w:rPr>
              <w:t>432</w:t>
            </w:r>
            <w:r>
              <w:rPr>
                <w:color w:val="FF0000"/>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52" w:type="dxa"/>
            <w:vMerge w:val="continue"/>
            <w:tcBorders>
              <w:tl2br w:val="nil"/>
              <w:tr2bl w:val="nil"/>
            </w:tcBorders>
            <w:vAlign w:val="center"/>
          </w:tcPr>
          <w:p>
            <w:pPr>
              <w:widowControl/>
              <w:jc w:val="center"/>
              <w:rPr>
                <w:color w:val="FF0000"/>
                <w:szCs w:val="21"/>
                <w:highlight w:val="none"/>
              </w:rPr>
            </w:pPr>
          </w:p>
        </w:tc>
        <w:tc>
          <w:tcPr>
            <w:tcW w:w="767" w:type="dxa"/>
            <w:tcBorders>
              <w:tl2br w:val="nil"/>
              <w:tr2bl w:val="nil"/>
            </w:tcBorders>
            <w:vAlign w:val="center"/>
          </w:tcPr>
          <w:p>
            <w:pPr>
              <w:widowControl/>
              <w:ind w:left="-42" w:leftChars="-20" w:right="-42" w:rightChars="-20"/>
              <w:jc w:val="center"/>
              <w:rPr>
                <w:color w:val="FF0000"/>
                <w:kern w:val="0"/>
                <w:szCs w:val="21"/>
                <w:highlight w:val="none"/>
              </w:rPr>
            </w:pPr>
            <w:r>
              <w:rPr>
                <w:color w:val="FF0000"/>
                <w:kern w:val="0"/>
                <w:szCs w:val="21"/>
                <w:highlight w:val="none"/>
              </w:rPr>
              <w:t>NO</w:t>
            </w:r>
            <w:r>
              <w:rPr>
                <w:color w:val="FF0000"/>
                <w:kern w:val="0"/>
                <w:szCs w:val="21"/>
                <w:highlight w:val="none"/>
                <w:vertAlign w:val="subscript"/>
              </w:rPr>
              <w:t>x</w:t>
            </w:r>
          </w:p>
        </w:tc>
        <w:tc>
          <w:tcPr>
            <w:tcW w:w="550" w:type="dxa"/>
            <w:vMerge w:val="continue"/>
            <w:tcBorders>
              <w:tl2br w:val="nil"/>
              <w:tr2bl w:val="nil"/>
            </w:tcBorders>
            <w:vAlign w:val="center"/>
          </w:tcPr>
          <w:p>
            <w:pPr>
              <w:widowControl/>
              <w:jc w:val="center"/>
              <w:rPr>
                <w:color w:val="FF0000"/>
                <w:szCs w:val="21"/>
                <w:highlight w:val="none"/>
              </w:rPr>
            </w:pPr>
          </w:p>
        </w:tc>
        <w:tc>
          <w:tcPr>
            <w:tcW w:w="933" w:type="dxa"/>
            <w:vMerge w:val="continue"/>
            <w:tcBorders>
              <w:tl2br w:val="nil"/>
              <w:tr2bl w:val="nil"/>
            </w:tcBorders>
            <w:vAlign w:val="center"/>
          </w:tcPr>
          <w:p>
            <w:pPr>
              <w:widowControl/>
              <w:jc w:val="center"/>
              <w:rPr>
                <w:color w:val="FF0000"/>
                <w:szCs w:val="21"/>
                <w:highlight w:val="none"/>
              </w:rPr>
            </w:pPr>
          </w:p>
        </w:tc>
        <w:tc>
          <w:tcPr>
            <w:tcW w:w="1234" w:type="dxa"/>
            <w:tcBorders>
              <w:tl2br w:val="nil"/>
              <w:tr2bl w:val="nil"/>
            </w:tcBorders>
            <w:vAlign w:val="center"/>
          </w:tcPr>
          <w:p>
            <w:pPr>
              <w:jc w:val="center"/>
              <w:rPr>
                <w:rFonts w:hint="default" w:eastAsia="宋体"/>
                <w:color w:val="FF0000"/>
                <w:szCs w:val="21"/>
                <w:highlight w:val="none"/>
                <w:lang w:val="en-US" w:eastAsia="zh-CN"/>
              </w:rPr>
            </w:pPr>
            <w:r>
              <w:rPr>
                <w:rFonts w:hint="eastAsia" w:cs="Times New Roman"/>
                <w:bCs w:val="0"/>
                <w:color w:val="FF0000"/>
                <w:sz w:val="21"/>
                <w:szCs w:val="21"/>
                <w:highlight w:val="none"/>
                <w:lang w:val="en-US" w:eastAsia="zh-CN"/>
              </w:rPr>
              <w:t>180</w:t>
            </w:r>
          </w:p>
        </w:tc>
        <w:tc>
          <w:tcPr>
            <w:tcW w:w="900" w:type="dxa"/>
            <w:tcBorders>
              <w:tl2br w:val="nil"/>
              <w:tr2bl w:val="nil"/>
            </w:tcBorders>
            <w:vAlign w:val="center"/>
          </w:tcPr>
          <w:p>
            <w:pPr>
              <w:jc w:val="center"/>
              <w:rPr>
                <w:rFonts w:hint="default" w:eastAsia="宋体"/>
                <w:color w:val="FF0000"/>
                <w:kern w:val="0"/>
                <w:szCs w:val="21"/>
                <w:highlight w:val="none"/>
                <w:lang w:val="en-US" w:eastAsia="zh-CN"/>
              </w:rPr>
            </w:pPr>
            <w:r>
              <w:rPr>
                <w:rFonts w:hint="eastAsia" w:cs="Times New Roman"/>
                <w:bCs w:val="0"/>
                <w:color w:val="FF0000"/>
                <w:sz w:val="21"/>
                <w:szCs w:val="21"/>
                <w:highlight w:val="none"/>
                <w:lang w:val="en-US" w:eastAsia="zh-CN"/>
              </w:rPr>
              <w:t>22.14</w:t>
            </w:r>
          </w:p>
        </w:tc>
        <w:tc>
          <w:tcPr>
            <w:tcW w:w="2254" w:type="dxa"/>
            <w:vMerge w:val="continue"/>
            <w:tcBorders>
              <w:tl2br w:val="nil"/>
              <w:tr2bl w:val="nil"/>
            </w:tcBorders>
            <w:vAlign w:val="center"/>
          </w:tcPr>
          <w:p>
            <w:pPr>
              <w:widowControl/>
              <w:jc w:val="center"/>
              <w:rPr>
                <w:color w:val="FF0000"/>
                <w:szCs w:val="21"/>
                <w:highlight w:val="none"/>
              </w:rPr>
            </w:pPr>
          </w:p>
        </w:tc>
        <w:tc>
          <w:tcPr>
            <w:tcW w:w="2380" w:type="dxa"/>
            <w:vMerge w:val="continue"/>
            <w:tcBorders>
              <w:tl2br w:val="nil"/>
              <w:tr2bl w:val="nil"/>
            </w:tcBorders>
            <w:vAlign w:val="center"/>
          </w:tcPr>
          <w:p>
            <w:pPr>
              <w:widowControl/>
              <w:jc w:val="center"/>
              <w:rPr>
                <w:color w:val="FF0000"/>
                <w:szCs w:val="21"/>
                <w:highlight w:val="none"/>
              </w:rPr>
            </w:pPr>
          </w:p>
        </w:tc>
        <w:tc>
          <w:tcPr>
            <w:tcW w:w="546" w:type="dxa"/>
            <w:vMerge w:val="continue"/>
            <w:tcBorders>
              <w:tl2br w:val="nil"/>
              <w:tr2bl w:val="nil"/>
            </w:tcBorders>
            <w:vAlign w:val="center"/>
          </w:tcPr>
          <w:p>
            <w:pPr>
              <w:widowControl/>
              <w:jc w:val="center"/>
              <w:rPr>
                <w:color w:val="FF0000"/>
                <w:szCs w:val="21"/>
                <w:highlight w:val="none"/>
              </w:rPr>
            </w:pPr>
          </w:p>
        </w:tc>
        <w:tc>
          <w:tcPr>
            <w:tcW w:w="1056" w:type="dxa"/>
            <w:vMerge w:val="continue"/>
            <w:tcBorders>
              <w:tl2br w:val="nil"/>
              <w:tr2bl w:val="nil"/>
            </w:tcBorders>
            <w:vAlign w:val="center"/>
          </w:tcPr>
          <w:p>
            <w:pPr>
              <w:widowControl/>
              <w:jc w:val="center"/>
              <w:rPr>
                <w:color w:val="FF0000"/>
                <w:szCs w:val="21"/>
                <w:highlight w:val="none"/>
              </w:rPr>
            </w:pPr>
          </w:p>
        </w:tc>
        <w:tc>
          <w:tcPr>
            <w:tcW w:w="877" w:type="dxa"/>
            <w:tcBorders>
              <w:tl2br w:val="nil"/>
              <w:tr2bl w:val="nil"/>
            </w:tcBorders>
            <w:vAlign w:val="center"/>
          </w:tcPr>
          <w:p>
            <w:pPr>
              <w:jc w:val="center"/>
              <w:rPr>
                <w:rFonts w:hint="default" w:eastAsia="宋体"/>
                <w:color w:val="FF0000"/>
                <w:szCs w:val="21"/>
                <w:highlight w:val="none"/>
                <w:lang w:val="en-US" w:eastAsia="zh-CN"/>
              </w:rPr>
            </w:pPr>
            <w:r>
              <w:rPr>
                <w:rFonts w:hint="eastAsia" w:cs="Times New Roman"/>
                <w:bCs w:val="0"/>
                <w:color w:val="FF0000"/>
                <w:sz w:val="21"/>
                <w:szCs w:val="21"/>
                <w:highlight w:val="none"/>
                <w:lang w:val="en-US" w:eastAsia="zh-CN"/>
              </w:rPr>
              <w:t>90</w:t>
            </w:r>
          </w:p>
        </w:tc>
        <w:tc>
          <w:tcPr>
            <w:tcW w:w="870" w:type="dxa"/>
            <w:tcBorders>
              <w:tl2br w:val="nil"/>
              <w:tr2bl w:val="nil"/>
            </w:tcBorders>
            <w:vAlign w:val="center"/>
          </w:tcPr>
          <w:p>
            <w:pPr>
              <w:jc w:val="center"/>
              <w:rPr>
                <w:rFonts w:hint="default" w:eastAsia="宋体"/>
                <w:color w:val="FF0000"/>
                <w:kern w:val="0"/>
                <w:szCs w:val="21"/>
                <w:highlight w:val="none"/>
                <w:lang w:val="en-US" w:eastAsia="zh-CN"/>
              </w:rPr>
            </w:pPr>
            <w:r>
              <w:rPr>
                <w:rFonts w:hint="eastAsia" w:cs="Times New Roman"/>
                <w:bCs w:val="0"/>
                <w:color w:val="FF0000"/>
                <w:sz w:val="21"/>
                <w:szCs w:val="21"/>
                <w:highlight w:val="none"/>
                <w:lang w:val="en-US" w:eastAsia="zh-CN"/>
              </w:rPr>
              <w:t>11.07</w:t>
            </w:r>
          </w:p>
        </w:tc>
        <w:tc>
          <w:tcPr>
            <w:tcW w:w="901" w:type="dxa"/>
            <w:tcBorders>
              <w:tl2br w:val="nil"/>
              <w:tr2bl w:val="nil"/>
            </w:tcBorders>
            <w:vAlign w:val="center"/>
          </w:tcPr>
          <w:p>
            <w:pPr>
              <w:ind w:left="-42" w:leftChars="-20" w:right="-42" w:rightChars="-20"/>
              <w:jc w:val="center"/>
              <w:textAlignment w:val="center"/>
              <w:rPr>
                <w:color w:val="FF0000"/>
                <w:szCs w:val="21"/>
                <w:highlight w:val="none"/>
              </w:rPr>
            </w:pPr>
            <w:r>
              <w:rPr>
                <w:rFonts w:hint="eastAsia"/>
                <w:color w:val="FF0000"/>
                <w:szCs w:val="21"/>
                <w:highlight w:val="none"/>
              </w:rPr>
              <w:t>432</w:t>
            </w:r>
            <w:r>
              <w:rPr>
                <w:color w:val="FF0000"/>
                <w:szCs w:val="21"/>
                <w:highlight w:val="none"/>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952" w:type="dxa"/>
            <w:tcBorders>
              <w:tl2br w:val="nil"/>
              <w:tr2bl w:val="nil"/>
            </w:tcBorders>
            <w:vAlign w:val="center"/>
          </w:tcPr>
          <w:p>
            <w:pPr>
              <w:widowControl/>
              <w:jc w:val="center"/>
              <w:rPr>
                <w:rFonts w:hint="default" w:eastAsia="宋体"/>
                <w:color w:val="FF0000"/>
                <w:szCs w:val="21"/>
                <w:highlight w:val="none"/>
                <w:lang w:val="en-US" w:eastAsia="zh-CN"/>
              </w:rPr>
            </w:pPr>
            <w:r>
              <w:rPr>
                <w:rFonts w:hint="eastAsia"/>
                <w:color w:val="FF0000"/>
                <w:szCs w:val="21"/>
                <w:highlight w:val="none"/>
                <w:lang w:val="en-US" w:eastAsia="zh-CN"/>
              </w:rPr>
              <w:t>SNCR系统</w:t>
            </w:r>
          </w:p>
        </w:tc>
        <w:tc>
          <w:tcPr>
            <w:tcW w:w="767" w:type="dxa"/>
            <w:tcBorders>
              <w:tl2br w:val="nil"/>
              <w:tr2bl w:val="nil"/>
            </w:tcBorders>
            <w:vAlign w:val="center"/>
          </w:tcPr>
          <w:p>
            <w:pPr>
              <w:widowControl/>
              <w:ind w:left="-42" w:leftChars="-20" w:right="-42" w:rightChars="-20"/>
              <w:jc w:val="center"/>
              <w:rPr>
                <w:rFonts w:hint="eastAsia" w:eastAsia="宋体"/>
                <w:color w:val="FF0000"/>
                <w:kern w:val="0"/>
                <w:szCs w:val="21"/>
                <w:highlight w:val="none"/>
                <w:lang w:eastAsia="zh-CN"/>
              </w:rPr>
            </w:pPr>
            <w:r>
              <w:rPr>
                <w:rFonts w:hint="eastAsia"/>
                <w:color w:val="FF0000"/>
                <w:kern w:val="0"/>
                <w:szCs w:val="21"/>
                <w:highlight w:val="none"/>
                <w:lang w:eastAsia="zh-CN"/>
              </w:rPr>
              <w:t>氨</w:t>
            </w:r>
          </w:p>
        </w:tc>
        <w:tc>
          <w:tcPr>
            <w:tcW w:w="550" w:type="dxa"/>
            <w:tcBorders>
              <w:tl2br w:val="nil"/>
              <w:tr2bl w:val="nil"/>
            </w:tcBorders>
            <w:vAlign w:val="center"/>
          </w:tcPr>
          <w:p>
            <w:pPr>
              <w:widowControl/>
              <w:jc w:val="center"/>
              <w:rPr>
                <w:color w:val="FF0000"/>
                <w:szCs w:val="21"/>
                <w:highlight w:val="none"/>
              </w:rPr>
            </w:pPr>
          </w:p>
        </w:tc>
        <w:tc>
          <w:tcPr>
            <w:tcW w:w="933" w:type="dxa"/>
            <w:tcBorders>
              <w:tl2br w:val="nil"/>
              <w:tr2bl w:val="nil"/>
            </w:tcBorders>
            <w:vAlign w:val="center"/>
          </w:tcPr>
          <w:p>
            <w:pPr>
              <w:widowControl/>
              <w:jc w:val="center"/>
              <w:rPr>
                <w:rFonts w:hint="eastAsia" w:eastAsia="宋体"/>
                <w:color w:val="FF0000"/>
                <w:szCs w:val="21"/>
                <w:highlight w:val="none"/>
                <w:lang w:val="en-US" w:eastAsia="zh-CN"/>
              </w:rPr>
            </w:pPr>
            <w:r>
              <w:rPr>
                <w:rFonts w:hint="eastAsia"/>
                <w:color w:val="FF0000"/>
                <w:szCs w:val="21"/>
                <w:highlight w:val="none"/>
                <w:lang w:val="en-US" w:eastAsia="zh-CN"/>
              </w:rPr>
              <w:t>-</w:t>
            </w:r>
          </w:p>
        </w:tc>
        <w:tc>
          <w:tcPr>
            <w:tcW w:w="1234" w:type="dxa"/>
            <w:tcBorders>
              <w:tl2br w:val="nil"/>
              <w:tr2bl w:val="nil"/>
            </w:tcBorders>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2.28</w:t>
            </w:r>
          </w:p>
        </w:tc>
        <w:tc>
          <w:tcPr>
            <w:tcW w:w="900" w:type="dxa"/>
            <w:tcBorders>
              <w:tl2br w:val="nil"/>
              <w:tr2bl w:val="nil"/>
            </w:tcBorders>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w:t>
            </w:r>
          </w:p>
        </w:tc>
        <w:tc>
          <w:tcPr>
            <w:tcW w:w="2254" w:type="dxa"/>
            <w:vMerge w:val="continue"/>
            <w:tcBorders>
              <w:tl2br w:val="nil"/>
              <w:tr2bl w:val="nil"/>
            </w:tcBorders>
            <w:vAlign w:val="center"/>
          </w:tcPr>
          <w:p>
            <w:pPr>
              <w:widowControl/>
              <w:jc w:val="center"/>
              <w:rPr>
                <w:rFonts w:hint="eastAsia" w:eastAsia="宋体"/>
                <w:color w:val="FF0000"/>
                <w:szCs w:val="21"/>
                <w:highlight w:val="none"/>
                <w:lang w:val="en-US" w:eastAsia="zh-CN"/>
              </w:rPr>
            </w:pPr>
          </w:p>
        </w:tc>
        <w:tc>
          <w:tcPr>
            <w:tcW w:w="2380" w:type="dxa"/>
            <w:tcBorders>
              <w:tl2br w:val="nil"/>
              <w:tr2bl w:val="nil"/>
            </w:tcBorders>
            <w:vAlign w:val="center"/>
          </w:tcPr>
          <w:p>
            <w:pPr>
              <w:widowControl/>
              <w:jc w:val="center"/>
              <w:rPr>
                <w:rFonts w:hint="eastAsia" w:eastAsia="宋体"/>
                <w:color w:val="FF0000"/>
                <w:szCs w:val="21"/>
                <w:highlight w:val="none"/>
                <w:lang w:val="en-US" w:eastAsia="zh-CN"/>
              </w:rPr>
            </w:pPr>
            <w:r>
              <w:rPr>
                <w:rFonts w:hint="eastAsia"/>
                <w:color w:val="FF0000"/>
                <w:szCs w:val="21"/>
                <w:highlight w:val="none"/>
                <w:lang w:val="en-US" w:eastAsia="zh-CN"/>
              </w:rPr>
              <w:t>-</w:t>
            </w:r>
          </w:p>
        </w:tc>
        <w:tc>
          <w:tcPr>
            <w:tcW w:w="546" w:type="dxa"/>
            <w:tcBorders>
              <w:tl2br w:val="nil"/>
              <w:tr2bl w:val="nil"/>
            </w:tcBorders>
            <w:vAlign w:val="center"/>
          </w:tcPr>
          <w:p>
            <w:pPr>
              <w:widowControl/>
              <w:jc w:val="center"/>
              <w:rPr>
                <w:color w:val="FF0000"/>
                <w:szCs w:val="21"/>
                <w:highlight w:val="none"/>
              </w:rPr>
            </w:pPr>
          </w:p>
        </w:tc>
        <w:tc>
          <w:tcPr>
            <w:tcW w:w="1056" w:type="dxa"/>
            <w:tcBorders>
              <w:tl2br w:val="nil"/>
              <w:tr2bl w:val="nil"/>
            </w:tcBorders>
            <w:vAlign w:val="center"/>
          </w:tcPr>
          <w:p>
            <w:pPr>
              <w:widowControl/>
              <w:jc w:val="center"/>
              <w:rPr>
                <w:rFonts w:hint="eastAsia" w:eastAsia="宋体"/>
                <w:color w:val="FF0000"/>
                <w:szCs w:val="21"/>
                <w:highlight w:val="none"/>
                <w:lang w:val="en-US" w:eastAsia="zh-CN"/>
              </w:rPr>
            </w:pPr>
            <w:r>
              <w:rPr>
                <w:rFonts w:hint="eastAsia"/>
                <w:color w:val="FF0000"/>
                <w:szCs w:val="21"/>
                <w:highlight w:val="none"/>
                <w:lang w:val="en-US" w:eastAsia="zh-CN"/>
              </w:rPr>
              <w:t>-</w:t>
            </w:r>
          </w:p>
        </w:tc>
        <w:tc>
          <w:tcPr>
            <w:tcW w:w="877" w:type="dxa"/>
            <w:tcBorders>
              <w:tl2br w:val="nil"/>
              <w:tr2bl w:val="nil"/>
            </w:tcBorders>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2.28</w:t>
            </w:r>
          </w:p>
        </w:tc>
        <w:tc>
          <w:tcPr>
            <w:tcW w:w="870" w:type="dxa"/>
            <w:tcBorders>
              <w:tl2br w:val="nil"/>
              <w:tr2bl w:val="nil"/>
            </w:tcBorders>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w:t>
            </w:r>
          </w:p>
        </w:tc>
        <w:tc>
          <w:tcPr>
            <w:tcW w:w="901" w:type="dxa"/>
            <w:tcBorders>
              <w:tl2br w:val="nil"/>
              <w:tr2bl w:val="nil"/>
            </w:tcBorders>
            <w:vAlign w:val="center"/>
          </w:tcPr>
          <w:p>
            <w:pPr>
              <w:ind w:left="-42" w:leftChars="-20" w:right="-42" w:rightChars="-20"/>
              <w:jc w:val="center"/>
              <w:textAlignment w:val="center"/>
              <w:rPr>
                <w:rFonts w:hint="default" w:eastAsia="宋体"/>
                <w:color w:val="FF0000"/>
                <w:szCs w:val="21"/>
                <w:highlight w:val="none"/>
                <w:lang w:val="en-US" w:eastAsia="zh-CN"/>
              </w:rPr>
            </w:pPr>
            <w:r>
              <w:rPr>
                <w:rFonts w:hint="eastAsia"/>
                <w:color w:val="FF0000"/>
                <w:szCs w:val="21"/>
                <w:highlight w:val="none"/>
                <w:lang w:val="en-US" w:eastAsia="zh-CN"/>
              </w:rPr>
              <w:t>4320</w:t>
            </w:r>
          </w:p>
        </w:tc>
      </w:tr>
    </w:tbl>
    <w:p>
      <w:pPr>
        <w:jc w:val="center"/>
        <w:textAlignment w:val="center"/>
        <w:rPr>
          <w:b/>
          <w:color w:val="auto"/>
          <w:sz w:val="24"/>
          <w:highlight w:val="none"/>
        </w:rPr>
      </w:pPr>
      <w:r>
        <w:rPr>
          <w:rFonts w:hint="eastAsia"/>
          <w:b/>
          <w:color w:val="auto"/>
          <w:sz w:val="24"/>
          <w:highlight w:val="none"/>
        </w:rPr>
        <w:t>表</w:t>
      </w:r>
      <w:r>
        <w:rPr>
          <w:b/>
          <w:color w:val="auto"/>
          <w:sz w:val="24"/>
          <w:highlight w:val="none"/>
        </w:rPr>
        <w:t>5-</w:t>
      </w:r>
      <w:r>
        <w:rPr>
          <w:rFonts w:hint="eastAsia"/>
          <w:b/>
          <w:color w:val="auto"/>
          <w:sz w:val="24"/>
          <w:highlight w:val="none"/>
          <w:lang w:val="en-US" w:eastAsia="zh-CN"/>
        </w:rPr>
        <w:t>4</w:t>
      </w:r>
      <w:r>
        <w:rPr>
          <w:rFonts w:hint="eastAsia"/>
          <w:b/>
          <w:color w:val="auto"/>
          <w:sz w:val="24"/>
          <w:highlight w:val="none"/>
        </w:rPr>
        <w:t>噪声污染源源强核算结果及相关参数一览表</w:t>
      </w:r>
    </w:p>
    <w:tbl>
      <w:tblPr>
        <w:tblStyle w:val="36"/>
        <w:tblW w:w="141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36"/>
        <w:gridCol w:w="1119"/>
        <w:gridCol w:w="1559"/>
        <w:gridCol w:w="1086"/>
        <w:gridCol w:w="1391"/>
        <w:gridCol w:w="1224"/>
        <w:gridCol w:w="1418"/>
        <w:gridCol w:w="1577"/>
        <w:gridCol w:w="1392"/>
        <w:gridCol w:w="1407"/>
        <w:gridCol w:w="966"/>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6" w:type="dxa"/>
            <w:vMerge w:val="restart"/>
            <w:tcBorders>
              <w:top w:val="single" w:color="auto" w:sz="12" w:space="0"/>
              <w:left w:val="nil"/>
              <w:bottom w:val="single" w:color="auto" w:sz="4" w:space="0"/>
              <w:right w:val="single" w:color="auto" w:sz="4" w:space="0"/>
            </w:tcBorders>
            <w:vAlign w:val="center"/>
          </w:tcPr>
          <w:p>
            <w:pPr>
              <w:ind w:left="-42" w:leftChars="-20" w:right="-42" w:rightChars="-20"/>
              <w:jc w:val="center"/>
              <w:rPr>
                <w:color w:val="auto"/>
                <w:szCs w:val="21"/>
                <w:highlight w:val="none"/>
              </w:rPr>
            </w:pPr>
            <w:r>
              <w:rPr>
                <w:rFonts w:hint="eastAsia"/>
                <w:color w:val="auto"/>
                <w:kern w:val="0"/>
                <w:szCs w:val="21"/>
                <w:highlight w:val="none"/>
              </w:rPr>
              <w:t>工序</w:t>
            </w:r>
          </w:p>
        </w:tc>
        <w:tc>
          <w:tcPr>
            <w:tcW w:w="1119" w:type="dxa"/>
            <w:vMerge w:val="restart"/>
            <w:tcBorders>
              <w:top w:val="single" w:color="auto" w:sz="12" w:space="0"/>
              <w:left w:val="single" w:color="auto" w:sz="4" w:space="0"/>
              <w:bottom w:val="single" w:color="auto" w:sz="4" w:space="0"/>
              <w:right w:val="single" w:color="auto" w:sz="4" w:space="0"/>
            </w:tcBorders>
            <w:vAlign w:val="center"/>
          </w:tcPr>
          <w:p>
            <w:pPr>
              <w:ind w:left="-42" w:leftChars="-20" w:right="-42" w:rightChars="-20"/>
              <w:jc w:val="center"/>
              <w:rPr>
                <w:color w:val="auto"/>
                <w:szCs w:val="21"/>
                <w:highlight w:val="none"/>
              </w:rPr>
            </w:pPr>
            <w:r>
              <w:rPr>
                <w:rFonts w:hint="eastAsia"/>
                <w:color w:val="auto"/>
                <w:szCs w:val="21"/>
                <w:highlight w:val="none"/>
              </w:rPr>
              <w:t>装置</w:t>
            </w:r>
          </w:p>
        </w:tc>
        <w:tc>
          <w:tcPr>
            <w:tcW w:w="1559" w:type="dxa"/>
            <w:vMerge w:val="restart"/>
            <w:tcBorders>
              <w:top w:val="single" w:color="auto" w:sz="12" w:space="0"/>
              <w:left w:val="single" w:color="auto" w:sz="4" w:space="0"/>
              <w:bottom w:val="single" w:color="auto" w:sz="4" w:space="0"/>
              <w:right w:val="single" w:color="auto" w:sz="4" w:space="0"/>
            </w:tcBorders>
            <w:vAlign w:val="center"/>
          </w:tcPr>
          <w:p>
            <w:pPr>
              <w:ind w:left="-42" w:leftChars="-20" w:right="-42" w:rightChars="-20"/>
              <w:jc w:val="center"/>
              <w:rPr>
                <w:color w:val="auto"/>
                <w:szCs w:val="21"/>
                <w:highlight w:val="none"/>
              </w:rPr>
            </w:pPr>
            <w:r>
              <w:rPr>
                <w:rFonts w:hint="eastAsia"/>
                <w:color w:val="auto"/>
                <w:szCs w:val="21"/>
                <w:highlight w:val="none"/>
              </w:rPr>
              <w:t>噪声源</w:t>
            </w:r>
          </w:p>
        </w:tc>
        <w:tc>
          <w:tcPr>
            <w:tcW w:w="1086" w:type="dxa"/>
            <w:vMerge w:val="restart"/>
            <w:tcBorders>
              <w:top w:val="single" w:color="auto" w:sz="12" w:space="0"/>
              <w:left w:val="single" w:color="auto" w:sz="4" w:space="0"/>
              <w:bottom w:val="single" w:color="auto" w:sz="4" w:space="0"/>
              <w:right w:val="single" w:color="auto" w:sz="4" w:space="0"/>
            </w:tcBorders>
            <w:vAlign w:val="center"/>
          </w:tcPr>
          <w:p>
            <w:pPr>
              <w:ind w:left="-42" w:leftChars="-20" w:right="-42" w:rightChars="-20"/>
              <w:jc w:val="center"/>
              <w:rPr>
                <w:color w:val="auto"/>
                <w:szCs w:val="21"/>
                <w:highlight w:val="none"/>
              </w:rPr>
            </w:pPr>
            <w:r>
              <w:rPr>
                <w:rFonts w:hint="eastAsia"/>
                <w:color w:val="auto"/>
                <w:kern w:val="0"/>
                <w:szCs w:val="21"/>
                <w:highlight w:val="none"/>
              </w:rPr>
              <w:t>声源类型</w:t>
            </w:r>
          </w:p>
        </w:tc>
        <w:tc>
          <w:tcPr>
            <w:tcW w:w="2615" w:type="dxa"/>
            <w:gridSpan w:val="2"/>
            <w:tcBorders>
              <w:top w:val="single" w:color="auto" w:sz="12" w:space="0"/>
              <w:left w:val="single" w:color="auto" w:sz="4" w:space="0"/>
              <w:bottom w:val="single" w:color="auto" w:sz="4" w:space="0"/>
              <w:right w:val="single" w:color="auto" w:sz="4" w:space="0"/>
            </w:tcBorders>
            <w:vAlign w:val="center"/>
          </w:tcPr>
          <w:p>
            <w:pPr>
              <w:ind w:left="-41" w:leftChars="-51" w:right="-42" w:rightChars="-20" w:hanging="66"/>
              <w:jc w:val="center"/>
              <w:rPr>
                <w:color w:val="auto"/>
                <w:szCs w:val="21"/>
                <w:highlight w:val="none"/>
              </w:rPr>
            </w:pPr>
            <w:r>
              <w:rPr>
                <w:rFonts w:hint="eastAsia"/>
                <w:color w:val="auto"/>
                <w:kern w:val="0"/>
                <w:szCs w:val="21"/>
                <w:highlight w:val="none"/>
              </w:rPr>
              <w:t>噪声源强</w:t>
            </w:r>
          </w:p>
        </w:tc>
        <w:tc>
          <w:tcPr>
            <w:tcW w:w="2995" w:type="dxa"/>
            <w:gridSpan w:val="2"/>
            <w:tcBorders>
              <w:top w:val="single" w:color="auto" w:sz="12" w:space="0"/>
              <w:left w:val="single" w:color="auto" w:sz="4" w:space="0"/>
              <w:bottom w:val="single" w:color="auto" w:sz="4" w:space="0"/>
              <w:right w:val="single" w:color="auto" w:sz="4" w:space="0"/>
            </w:tcBorders>
            <w:vAlign w:val="center"/>
          </w:tcPr>
          <w:p>
            <w:pPr>
              <w:ind w:left="-42" w:leftChars="-20" w:right="-42" w:rightChars="-20"/>
              <w:jc w:val="center"/>
              <w:rPr>
                <w:color w:val="auto"/>
                <w:szCs w:val="21"/>
                <w:highlight w:val="none"/>
              </w:rPr>
            </w:pPr>
            <w:r>
              <w:rPr>
                <w:rFonts w:hint="eastAsia"/>
                <w:color w:val="auto"/>
                <w:kern w:val="0"/>
                <w:szCs w:val="21"/>
                <w:highlight w:val="none"/>
              </w:rPr>
              <w:t>降噪措施</w:t>
            </w:r>
          </w:p>
        </w:tc>
        <w:tc>
          <w:tcPr>
            <w:tcW w:w="2799" w:type="dxa"/>
            <w:gridSpan w:val="2"/>
            <w:tcBorders>
              <w:top w:val="single" w:color="auto" w:sz="12" w:space="0"/>
              <w:left w:val="single" w:color="auto" w:sz="4" w:space="0"/>
              <w:bottom w:val="single" w:color="auto" w:sz="4" w:space="0"/>
              <w:right w:val="single" w:color="auto" w:sz="4" w:space="0"/>
            </w:tcBorders>
            <w:vAlign w:val="center"/>
          </w:tcPr>
          <w:p>
            <w:pPr>
              <w:ind w:left="-42" w:leftChars="-20" w:right="-42" w:rightChars="-20"/>
              <w:jc w:val="center"/>
              <w:rPr>
                <w:color w:val="auto"/>
                <w:szCs w:val="21"/>
                <w:highlight w:val="none"/>
              </w:rPr>
            </w:pPr>
            <w:r>
              <w:rPr>
                <w:rFonts w:hint="eastAsia"/>
                <w:color w:val="auto"/>
                <w:kern w:val="0"/>
                <w:szCs w:val="21"/>
                <w:highlight w:val="none"/>
              </w:rPr>
              <w:t>噪声排放值</w:t>
            </w:r>
          </w:p>
        </w:tc>
        <w:tc>
          <w:tcPr>
            <w:tcW w:w="966" w:type="dxa"/>
            <w:vMerge w:val="restart"/>
            <w:tcBorders>
              <w:top w:val="single" w:color="auto" w:sz="12" w:space="0"/>
              <w:left w:val="single" w:color="auto" w:sz="4" w:space="0"/>
              <w:bottom w:val="single" w:color="auto" w:sz="4" w:space="0"/>
              <w:right w:val="nil"/>
            </w:tcBorders>
            <w:vAlign w:val="center"/>
          </w:tcPr>
          <w:p>
            <w:pPr>
              <w:ind w:left="-42" w:leftChars="-20" w:right="-42" w:rightChars="-20"/>
              <w:jc w:val="center"/>
              <w:rPr>
                <w:color w:val="auto"/>
                <w:kern w:val="0"/>
                <w:szCs w:val="21"/>
                <w:highlight w:val="none"/>
              </w:rPr>
            </w:pPr>
            <w:r>
              <w:rPr>
                <w:rFonts w:hint="eastAsia"/>
                <w:color w:val="auto"/>
                <w:kern w:val="0"/>
                <w:szCs w:val="21"/>
                <w:highlight w:val="none"/>
              </w:rPr>
              <w:t>持续时间</w:t>
            </w:r>
            <w:r>
              <w:rPr>
                <w:color w:val="auto"/>
                <w:kern w:val="0"/>
                <w:szCs w:val="21"/>
                <w:highlight w:val="none"/>
              </w:rPr>
              <w:t>/h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6" w:type="dxa"/>
            <w:vMerge w:val="continue"/>
            <w:tcBorders>
              <w:top w:val="single" w:color="auto" w:sz="12" w:space="0"/>
              <w:left w:val="nil"/>
              <w:bottom w:val="single" w:color="auto" w:sz="4" w:space="0"/>
              <w:right w:val="single" w:color="auto" w:sz="4" w:space="0"/>
            </w:tcBorders>
            <w:vAlign w:val="center"/>
          </w:tcPr>
          <w:p>
            <w:pPr>
              <w:widowControl/>
              <w:jc w:val="center"/>
              <w:rPr>
                <w:color w:val="auto"/>
                <w:szCs w:val="21"/>
                <w:highlight w:val="none"/>
              </w:rPr>
            </w:pPr>
          </w:p>
        </w:tc>
        <w:tc>
          <w:tcPr>
            <w:tcW w:w="1119" w:type="dxa"/>
            <w:vMerge w:val="continue"/>
            <w:tcBorders>
              <w:top w:val="single" w:color="auto" w:sz="12" w:space="0"/>
              <w:left w:val="single" w:color="auto" w:sz="4" w:space="0"/>
              <w:bottom w:val="single" w:color="auto" w:sz="4" w:space="0"/>
              <w:right w:val="single" w:color="auto" w:sz="4" w:space="0"/>
            </w:tcBorders>
            <w:vAlign w:val="center"/>
          </w:tcPr>
          <w:p>
            <w:pPr>
              <w:widowControl/>
              <w:jc w:val="center"/>
              <w:rPr>
                <w:color w:val="auto"/>
                <w:szCs w:val="21"/>
                <w:highlight w:val="none"/>
              </w:rPr>
            </w:pPr>
          </w:p>
        </w:tc>
        <w:tc>
          <w:tcPr>
            <w:tcW w:w="1559" w:type="dxa"/>
            <w:vMerge w:val="continue"/>
            <w:tcBorders>
              <w:top w:val="single" w:color="auto" w:sz="12" w:space="0"/>
              <w:left w:val="single" w:color="auto" w:sz="4" w:space="0"/>
              <w:bottom w:val="single" w:color="auto" w:sz="4" w:space="0"/>
              <w:right w:val="single" w:color="auto" w:sz="4" w:space="0"/>
            </w:tcBorders>
            <w:vAlign w:val="center"/>
          </w:tcPr>
          <w:p>
            <w:pPr>
              <w:widowControl/>
              <w:jc w:val="center"/>
              <w:rPr>
                <w:color w:val="auto"/>
                <w:szCs w:val="21"/>
                <w:highlight w:val="none"/>
              </w:rPr>
            </w:pPr>
          </w:p>
        </w:tc>
        <w:tc>
          <w:tcPr>
            <w:tcW w:w="1086" w:type="dxa"/>
            <w:vMerge w:val="continue"/>
            <w:tcBorders>
              <w:top w:val="single" w:color="auto" w:sz="12" w:space="0"/>
              <w:left w:val="single" w:color="auto" w:sz="4" w:space="0"/>
              <w:bottom w:val="single" w:color="auto" w:sz="4" w:space="0"/>
              <w:right w:val="single" w:color="auto" w:sz="4" w:space="0"/>
            </w:tcBorders>
            <w:vAlign w:val="center"/>
          </w:tcPr>
          <w:p>
            <w:pPr>
              <w:widowControl/>
              <w:jc w:val="center"/>
              <w:rPr>
                <w:color w:val="auto"/>
                <w:szCs w:val="21"/>
                <w:highlight w:val="none"/>
              </w:rPr>
            </w:pPr>
          </w:p>
        </w:tc>
        <w:tc>
          <w:tcPr>
            <w:tcW w:w="1391"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rPr>
                <w:color w:val="auto"/>
                <w:szCs w:val="21"/>
                <w:highlight w:val="none"/>
              </w:rPr>
            </w:pPr>
            <w:r>
              <w:rPr>
                <w:rFonts w:hint="eastAsia"/>
                <w:color w:val="auto"/>
                <w:kern w:val="0"/>
                <w:szCs w:val="21"/>
                <w:highlight w:val="none"/>
              </w:rPr>
              <w:t>核算方法</w:t>
            </w:r>
          </w:p>
        </w:tc>
        <w:tc>
          <w:tcPr>
            <w:tcW w:w="1224"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rPr>
                <w:color w:val="auto"/>
                <w:szCs w:val="21"/>
                <w:highlight w:val="none"/>
              </w:rPr>
            </w:pPr>
            <w:r>
              <w:rPr>
                <w:rFonts w:hint="eastAsia"/>
                <w:color w:val="auto"/>
                <w:szCs w:val="21"/>
                <w:highlight w:val="none"/>
              </w:rPr>
              <w:t>噪声值</w:t>
            </w:r>
            <w:r>
              <w:rPr>
                <w:color w:val="auto"/>
                <w:szCs w:val="21"/>
                <w:highlight w:val="none"/>
              </w:rPr>
              <w:t>/(dB)</w:t>
            </w:r>
          </w:p>
        </w:tc>
        <w:tc>
          <w:tcPr>
            <w:tcW w:w="1418"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rPr>
                <w:color w:val="auto"/>
                <w:szCs w:val="21"/>
                <w:highlight w:val="none"/>
              </w:rPr>
            </w:pPr>
            <w:r>
              <w:rPr>
                <w:rFonts w:hint="eastAsia"/>
                <w:color w:val="auto"/>
                <w:kern w:val="0"/>
                <w:szCs w:val="21"/>
                <w:highlight w:val="none"/>
              </w:rPr>
              <w:t>工艺</w:t>
            </w:r>
          </w:p>
        </w:tc>
        <w:tc>
          <w:tcPr>
            <w:tcW w:w="1577"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rPr>
                <w:color w:val="auto"/>
                <w:kern w:val="0"/>
                <w:szCs w:val="21"/>
                <w:highlight w:val="none"/>
              </w:rPr>
            </w:pPr>
            <w:r>
              <w:rPr>
                <w:rFonts w:hint="eastAsia"/>
                <w:color w:val="auto"/>
                <w:kern w:val="0"/>
                <w:szCs w:val="21"/>
                <w:highlight w:val="none"/>
              </w:rPr>
              <w:t>降噪效果</w:t>
            </w:r>
            <w:r>
              <w:rPr>
                <w:color w:val="auto"/>
                <w:kern w:val="0"/>
                <w:szCs w:val="21"/>
                <w:highlight w:val="none"/>
              </w:rPr>
              <w:t>/</w:t>
            </w:r>
          </w:p>
          <w:p>
            <w:pPr>
              <w:ind w:left="-42" w:leftChars="-20" w:right="-42" w:rightChars="-20"/>
              <w:jc w:val="center"/>
              <w:rPr>
                <w:color w:val="auto"/>
                <w:szCs w:val="21"/>
                <w:highlight w:val="none"/>
              </w:rPr>
            </w:pPr>
            <w:r>
              <w:rPr>
                <w:color w:val="auto"/>
                <w:kern w:val="0"/>
                <w:szCs w:val="21"/>
                <w:highlight w:val="none"/>
              </w:rPr>
              <w:t>(dB</w:t>
            </w:r>
            <w:r>
              <w:rPr>
                <w:rFonts w:hint="eastAsia"/>
                <w:color w:val="auto"/>
                <w:kern w:val="0"/>
                <w:szCs w:val="21"/>
                <w:highlight w:val="none"/>
              </w:rPr>
              <w:t>（A）</w:t>
            </w:r>
            <w:r>
              <w:rPr>
                <w:color w:val="auto"/>
                <w:kern w:val="0"/>
                <w:szCs w:val="21"/>
                <w:highlight w:val="none"/>
              </w:rPr>
              <w:t>)</w:t>
            </w:r>
          </w:p>
        </w:tc>
        <w:tc>
          <w:tcPr>
            <w:tcW w:w="1392"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rPr>
                <w:color w:val="auto"/>
                <w:szCs w:val="21"/>
                <w:highlight w:val="none"/>
              </w:rPr>
            </w:pPr>
            <w:r>
              <w:rPr>
                <w:color w:val="auto"/>
                <w:kern w:val="0"/>
                <w:szCs w:val="21"/>
                <w:highlight w:val="none"/>
              </w:rPr>
              <w:t>--</w:t>
            </w:r>
          </w:p>
        </w:tc>
        <w:tc>
          <w:tcPr>
            <w:tcW w:w="1407"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rPr>
                <w:color w:val="auto"/>
                <w:szCs w:val="21"/>
                <w:highlight w:val="none"/>
              </w:rPr>
            </w:pPr>
            <w:r>
              <w:rPr>
                <w:rFonts w:hint="eastAsia"/>
                <w:color w:val="auto"/>
                <w:szCs w:val="21"/>
                <w:highlight w:val="none"/>
              </w:rPr>
              <w:t>噪声值</w:t>
            </w:r>
            <w:r>
              <w:rPr>
                <w:color w:val="auto"/>
                <w:szCs w:val="21"/>
                <w:highlight w:val="none"/>
              </w:rPr>
              <w:t>/</w:t>
            </w:r>
          </w:p>
          <w:p>
            <w:pPr>
              <w:ind w:left="-42" w:leftChars="-20" w:right="-42" w:rightChars="-20"/>
              <w:jc w:val="center"/>
              <w:rPr>
                <w:color w:val="auto"/>
                <w:szCs w:val="21"/>
                <w:highlight w:val="none"/>
              </w:rPr>
            </w:pPr>
            <w:r>
              <w:rPr>
                <w:color w:val="auto"/>
                <w:kern w:val="0"/>
                <w:szCs w:val="21"/>
                <w:highlight w:val="none"/>
              </w:rPr>
              <w:t>(dB</w:t>
            </w:r>
            <w:r>
              <w:rPr>
                <w:rFonts w:hint="eastAsia"/>
                <w:color w:val="auto"/>
                <w:kern w:val="0"/>
                <w:szCs w:val="21"/>
                <w:highlight w:val="none"/>
              </w:rPr>
              <w:t>（A）</w:t>
            </w:r>
            <w:r>
              <w:rPr>
                <w:color w:val="auto"/>
                <w:kern w:val="0"/>
                <w:szCs w:val="21"/>
                <w:highlight w:val="none"/>
              </w:rPr>
              <w:t>)</w:t>
            </w:r>
          </w:p>
        </w:tc>
        <w:tc>
          <w:tcPr>
            <w:tcW w:w="966" w:type="dxa"/>
            <w:vMerge w:val="continue"/>
            <w:tcBorders>
              <w:top w:val="single" w:color="auto" w:sz="12" w:space="0"/>
              <w:left w:val="single" w:color="auto" w:sz="4" w:space="0"/>
              <w:bottom w:val="single" w:color="auto" w:sz="4" w:space="0"/>
              <w:right w:val="nil"/>
            </w:tcBorders>
            <w:vAlign w:val="center"/>
          </w:tcPr>
          <w:p>
            <w:pPr>
              <w:widowControl/>
              <w:jc w:val="center"/>
              <w:rPr>
                <w:color w:val="auto"/>
                <w:kern w:val="0"/>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6" w:type="dxa"/>
            <w:vMerge w:val="restart"/>
            <w:tcBorders>
              <w:top w:val="single" w:color="auto" w:sz="4" w:space="0"/>
              <w:left w:val="nil"/>
              <w:right w:val="single" w:color="auto" w:sz="4" w:space="0"/>
            </w:tcBorders>
            <w:vAlign w:val="center"/>
          </w:tcPr>
          <w:p>
            <w:pPr>
              <w:ind w:left="-42" w:leftChars="-20" w:right="-42" w:rightChars="-20"/>
              <w:jc w:val="center"/>
              <w:textAlignment w:val="center"/>
              <w:rPr>
                <w:color w:val="auto"/>
                <w:szCs w:val="21"/>
                <w:highlight w:val="none"/>
              </w:rPr>
            </w:pPr>
            <w:r>
              <w:rPr>
                <w:rFonts w:hint="eastAsia"/>
                <w:color w:val="auto"/>
                <w:szCs w:val="21"/>
                <w:highlight w:val="none"/>
              </w:rPr>
              <w:t>生产过程</w:t>
            </w:r>
          </w:p>
        </w:tc>
        <w:tc>
          <w:tcPr>
            <w:tcW w:w="1119" w:type="dxa"/>
            <w:vMerge w:val="restart"/>
            <w:tcBorders>
              <w:top w:val="single" w:color="auto" w:sz="4" w:space="0"/>
              <w:left w:val="single" w:color="auto" w:sz="4" w:space="0"/>
              <w:right w:val="single" w:color="auto" w:sz="4" w:space="0"/>
            </w:tcBorders>
            <w:vAlign w:val="center"/>
          </w:tcPr>
          <w:p>
            <w:pPr>
              <w:ind w:left="-42" w:leftChars="-20" w:right="-42" w:rightChars="-20"/>
              <w:jc w:val="center"/>
              <w:textAlignment w:val="center"/>
              <w:rPr>
                <w:color w:val="auto"/>
                <w:szCs w:val="21"/>
                <w:highlight w:val="none"/>
              </w:rPr>
            </w:pPr>
            <w:r>
              <w:rPr>
                <w:rFonts w:hint="eastAsia"/>
                <w:color w:val="auto"/>
                <w:szCs w:val="21"/>
                <w:highlight w:val="none"/>
              </w:rPr>
              <w:t>生产设备</w:t>
            </w:r>
          </w:p>
        </w:tc>
        <w:tc>
          <w:tcPr>
            <w:tcW w:w="1559"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textAlignment w:val="center"/>
              <w:rPr>
                <w:color w:val="auto"/>
                <w:szCs w:val="21"/>
                <w:highlight w:val="none"/>
              </w:rPr>
            </w:pPr>
            <w:r>
              <w:rPr>
                <w:rFonts w:hint="eastAsia"/>
                <w:color w:val="auto"/>
                <w:szCs w:val="21"/>
                <w:highlight w:val="none"/>
              </w:rPr>
              <w:t>引风机</w:t>
            </w:r>
          </w:p>
        </w:tc>
        <w:tc>
          <w:tcPr>
            <w:tcW w:w="1086"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rPr>
                <w:color w:val="auto"/>
                <w:kern w:val="0"/>
                <w:szCs w:val="21"/>
                <w:highlight w:val="none"/>
              </w:rPr>
            </w:pPr>
            <w:r>
              <w:rPr>
                <w:rFonts w:hint="eastAsia"/>
                <w:color w:val="auto"/>
                <w:kern w:val="0"/>
                <w:szCs w:val="21"/>
                <w:highlight w:val="none"/>
              </w:rPr>
              <w:t>频发</w:t>
            </w:r>
          </w:p>
        </w:tc>
        <w:tc>
          <w:tcPr>
            <w:tcW w:w="1391" w:type="dxa"/>
            <w:vMerge w:val="restart"/>
            <w:tcBorders>
              <w:top w:val="single" w:color="auto" w:sz="4" w:space="0"/>
              <w:left w:val="single" w:color="auto" w:sz="4" w:space="0"/>
              <w:right w:val="single" w:color="auto" w:sz="4" w:space="0"/>
            </w:tcBorders>
            <w:vAlign w:val="center"/>
          </w:tcPr>
          <w:p>
            <w:pPr>
              <w:ind w:left="-42" w:leftChars="-20" w:right="-42" w:rightChars="-20"/>
              <w:jc w:val="center"/>
              <w:textAlignment w:val="center"/>
              <w:rPr>
                <w:color w:val="auto"/>
                <w:szCs w:val="21"/>
                <w:highlight w:val="none"/>
              </w:rPr>
            </w:pPr>
            <w:r>
              <w:rPr>
                <w:rFonts w:hint="eastAsia"/>
                <w:color w:val="auto"/>
                <w:szCs w:val="21"/>
                <w:highlight w:val="none"/>
              </w:rPr>
              <w:t>类比法</w:t>
            </w:r>
          </w:p>
        </w:tc>
        <w:tc>
          <w:tcPr>
            <w:tcW w:w="1224" w:type="dxa"/>
            <w:tcBorders>
              <w:top w:val="single" w:color="auto" w:sz="4" w:space="0"/>
              <w:left w:val="single" w:color="auto" w:sz="4" w:space="0"/>
              <w:bottom w:val="single" w:color="auto" w:sz="4" w:space="0"/>
              <w:right w:val="single" w:color="auto" w:sz="4" w:space="0"/>
            </w:tcBorders>
            <w:vAlign w:val="center"/>
          </w:tcPr>
          <w:p>
            <w:pPr>
              <w:adjustRightInd w:val="0"/>
              <w:jc w:val="center"/>
              <w:rPr>
                <w:snapToGrid w:val="0"/>
                <w:color w:val="auto"/>
                <w:szCs w:val="21"/>
                <w:highlight w:val="none"/>
              </w:rPr>
            </w:pPr>
            <w:r>
              <w:rPr>
                <w:snapToGrid w:val="0"/>
                <w:color w:val="auto"/>
                <w:szCs w:val="21"/>
                <w:highlight w:val="none"/>
              </w:rPr>
              <w:t>85</w:t>
            </w:r>
          </w:p>
        </w:tc>
        <w:tc>
          <w:tcPr>
            <w:tcW w:w="1418" w:type="dxa"/>
            <w:vMerge w:val="restart"/>
            <w:tcBorders>
              <w:top w:val="single" w:color="auto" w:sz="4" w:space="0"/>
              <w:left w:val="single" w:color="auto" w:sz="4" w:space="0"/>
              <w:right w:val="single" w:color="auto" w:sz="4" w:space="0"/>
            </w:tcBorders>
            <w:vAlign w:val="center"/>
          </w:tcPr>
          <w:p>
            <w:pPr>
              <w:ind w:left="-42" w:leftChars="-20" w:right="-42" w:rightChars="-20"/>
              <w:jc w:val="center"/>
              <w:textAlignment w:val="center"/>
              <w:rPr>
                <w:color w:val="auto"/>
                <w:szCs w:val="21"/>
                <w:highlight w:val="none"/>
              </w:rPr>
            </w:pPr>
            <w:r>
              <w:rPr>
                <w:rFonts w:hint="eastAsia"/>
                <w:color w:val="auto"/>
                <w:szCs w:val="21"/>
                <w:highlight w:val="none"/>
              </w:rPr>
              <w:t>隔声、减振</w:t>
            </w:r>
          </w:p>
        </w:tc>
        <w:tc>
          <w:tcPr>
            <w:tcW w:w="1577"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textAlignment w:val="center"/>
              <w:rPr>
                <w:color w:val="auto"/>
                <w:szCs w:val="21"/>
                <w:highlight w:val="none"/>
              </w:rPr>
            </w:pPr>
            <w:r>
              <w:rPr>
                <w:color w:val="auto"/>
                <w:szCs w:val="21"/>
                <w:highlight w:val="none"/>
              </w:rPr>
              <w:t>20</w:t>
            </w:r>
          </w:p>
        </w:tc>
        <w:tc>
          <w:tcPr>
            <w:tcW w:w="1392" w:type="dxa"/>
            <w:vMerge w:val="restart"/>
            <w:tcBorders>
              <w:top w:val="single" w:color="auto" w:sz="4" w:space="0"/>
              <w:left w:val="single" w:color="auto" w:sz="4" w:space="0"/>
              <w:right w:val="single" w:color="auto" w:sz="4" w:space="0"/>
            </w:tcBorders>
            <w:vAlign w:val="center"/>
          </w:tcPr>
          <w:p>
            <w:pPr>
              <w:ind w:left="-42" w:leftChars="-20" w:right="-42" w:rightChars="-20"/>
              <w:jc w:val="center"/>
              <w:textAlignment w:val="center"/>
              <w:rPr>
                <w:color w:val="auto"/>
                <w:szCs w:val="21"/>
                <w:highlight w:val="none"/>
              </w:rPr>
            </w:pPr>
            <w:r>
              <w:rPr>
                <w:color w:val="auto"/>
                <w:szCs w:val="21"/>
                <w:highlight w:val="none"/>
              </w:rPr>
              <w:t>---</w:t>
            </w:r>
          </w:p>
        </w:tc>
        <w:tc>
          <w:tcPr>
            <w:tcW w:w="1407"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textAlignment w:val="center"/>
              <w:rPr>
                <w:color w:val="auto"/>
                <w:szCs w:val="21"/>
                <w:highlight w:val="none"/>
              </w:rPr>
            </w:pPr>
            <w:r>
              <w:rPr>
                <w:color w:val="auto"/>
                <w:szCs w:val="21"/>
                <w:highlight w:val="none"/>
              </w:rPr>
              <w:t>65</w:t>
            </w:r>
          </w:p>
        </w:tc>
        <w:tc>
          <w:tcPr>
            <w:tcW w:w="966" w:type="dxa"/>
            <w:tcBorders>
              <w:top w:val="single" w:color="auto" w:sz="4" w:space="0"/>
              <w:left w:val="single" w:color="auto" w:sz="4" w:space="0"/>
              <w:bottom w:val="single" w:color="auto" w:sz="4" w:space="0"/>
              <w:right w:val="nil"/>
            </w:tcBorders>
            <w:vAlign w:val="center"/>
          </w:tcPr>
          <w:p>
            <w:pPr>
              <w:ind w:left="-42" w:leftChars="-20" w:right="-42" w:rightChars="-20"/>
              <w:jc w:val="center"/>
              <w:textAlignment w:val="center"/>
              <w:rPr>
                <w:color w:val="auto"/>
                <w:szCs w:val="21"/>
                <w:highlight w:val="none"/>
              </w:rPr>
            </w:pPr>
            <w:r>
              <w:rPr>
                <w:rFonts w:hint="eastAsia"/>
                <w:color w:val="auto"/>
                <w:szCs w:val="21"/>
                <w:highlight w:val="none"/>
              </w:rPr>
              <w:t>4320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036" w:type="dxa"/>
            <w:vMerge w:val="continue"/>
            <w:tcBorders>
              <w:left w:val="nil"/>
              <w:right w:val="single" w:color="auto" w:sz="4" w:space="0"/>
            </w:tcBorders>
            <w:vAlign w:val="center"/>
          </w:tcPr>
          <w:p>
            <w:pPr>
              <w:widowControl/>
              <w:jc w:val="center"/>
              <w:rPr>
                <w:color w:val="auto"/>
                <w:szCs w:val="21"/>
                <w:highlight w:val="none"/>
              </w:rPr>
            </w:pPr>
          </w:p>
        </w:tc>
        <w:tc>
          <w:tcPr>
            <w:tcW w:w="1119" w:type="dxa"/>
            <w:vMerge w:val="continue"/>
            <w:tcBorders>
              <w:left w:val="single" w:color="auto" w:sz="4" w:space="0"/>
              <w:right w:val="single" w:color="auto" w:sz="4" w:space="0"/>
            </w:tcBorders>
            <w:vAlign w:val="center"/>
          </w:tcPr>
          <w:p>
            <w:pPr>
              <w:widowControl/>
              <w:jc w:val="center"/>
              <w:rPr>
                <w:color w:val="auto"/>
                <w:szCs w:val="21"/>
                <w:highlight w:val="none"/>
              </w:rPr>
            </w:pPr>
          </w:p>
        </w:tc>
        <w:tc>
          <w:tcPr>
            <w:tcW w:w="1559"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textAlignment w:val="center"/>
              <w:rPr>
                <w:color w:val="auto"/>
                <w:szCs w:val="21"/>
                <w:highlight w:val="none"/>
              </w:rPr>
            </w:pPr>
            <w:r>
              <w:rPr>
                <w:rFonts w:hint="eastAsia"/>
                <w:color w:val="auto"/>
                <w:szCs w:val="21"/>
                <w:highlight w:val="none"/>
              </w:rPr>
              <w:t>鼓风机</w:t>
            </w:r>
          </w:p>
        </w:tc>
        <w:tc>
          <w:tcPr>
            <w:tcW w:w="1086" w:type="dxa"/>
            <w:tcBorders>
              <w:top w:val="single" w:color="auto" w:sz="4" w:space="0"/>
              <w:left w:val="single" w:color="auto" w:sz="4" w:space="0"/>
              <w:bottom w:val="single" w:color="auto" w:sz="4" w:space="0"/>
              <w:right w:val="single" w:color="auto" w:sz="4" w:space="0"/>
            </w:tcBorders>
            <w:vAlign w:val="center"/>
          </w:tcPr>
          <w:p>
            <w:pPr>
              <w:widowControl/>
              <w:ind w:left="-42" w:leftChars="-20" w:right="-42" w:rightChars="-20"/>
              <w:jc w:val="center"/>
              <w:rPr>
                <w:color w:val="auto"/>
                <w:kern w:val="0"/>
                <w:szCs w:val="21"/>
                <w:highlight w:val="none"/>
              </w:rPr>
            </w:pPr>
            <w:r>
              <w:rPr>
                <w:rFonts w:hint="eastAsia"/>
                <w:color w:val="auto"/>
                <w:kern w:val="0"/>
                <w:szCs w:val="21"/>
                <w:highlight w:val="none"/>
              </w:rPr>
              <w:t>频发</w:t>
            </w:r>
          </w:p>
        </w:tc>
        <w:tc>
          <w:tcPr>
            <w:tcW w:w="1391" w:type="dxa"/>
            <w:vMerge w:val="continue"/>
            <w:tcBorders>
              <w:left w:val="single" w:color="auto" w:sz="4" w:space="0"/>
              <w:right w:val="single" w:color="auto" w:sz="4" w:space="0"/>
            </w:tcBorders>
            <w:vAlign w:val="center"/>
          </w:tcPr>
          <w:p>
            <w:pPr>
              <w:widowControl/>
              <w:jc w:val="center"/>
              <w:rPr>
                <w:color w:val="auto"/>
                <w:szCs w:val="21"/>
                <w:highlight w:val="none"/>
              </w:rPr>
            </w:pPr>
          </w:p>
        </w:tc>
        <w:tc>
          <w:tcPr>
            <w:tcW w:w="1224" w:type="dxa"/>
            <w:tcBorders>
              <w:top w:val="single" w:color="auto" w:sz="4" w:space="0"/>
              <w:left w:val="single" w:color="auto" w:sz="4" w:space="0"/>
              <w:bottom w:val="single" w:color="auto" w:sz="4" w:space="0"/>
              <w:right w:val="single" w:color="auto" w:sz="4" w:space="0"/>
            </w:tcBorders>
            <w:vAlign w:val="center"/>
          </w:tcPr>
          <w:p>
            <w:pPr>
              <w:adjustRightInd w:val="0"/>
              <w:jc w:val="center"/>
              <w:rPr>
                <w:rFonts w:hint="default" w:eastAsia="宋体"/>
                <w:snapToGrid w:val="0"/>
                <w:color w:val="auto"/>
                <w:szCs w:val="21"/>
                <w:highlight w:val="none"/>
                <w:lang w:val="en-US" w:eastAsia="zh-CN"/>
              </w:rPr>
            </w:pPr>
            <w:r>
              <w:rPr>
                <w:rFonts w:hint="eastAsia"/>
                <w:snapToGrid w:val="0"/>
                <w:color w:val="auto"/>
                <w:szCs w:val="21"/>
                <w:highlight w:val="none"/>
                <w:lang w:val="en-US" w:eastAsia="zh-CN"/>
              </w:rPr>
              <w:t>70</w:t>
            </w:r>
          </w:p>
        </w:tc>
        <w:tc>
          <w:tcPr>
            <w:tcW w:w="1418" w:type="dxa"/>
            <w:vMerge w:val="continue"/>
            <w:tcBorders>
              <w:left w:val="single" w:color="auto" w:sz="4" w:space="0"/>
              <w:right w:val="single" w:color="auto" w:sz="4" w:space="0"/>
            </w:tcBorders>
            <w:vAlign w:val="center"/>
          </w:tcPr>
          <w:p>
            <w:pPr>
              <w:widowControl/>
              <w:jc w:val="center"/>
              <w:rPr>
                <w:color w:val="auto"/>
                <w:szCs w:val="21"/>
                <w:highlight w:val="none"/>
              </w:rPr>
            </w:pPr>
          </w:p>
        </w:tc>
        <w:tc>
          <w:tcPr>
            <w:tcW w:w="1577"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textAlignment w:val="center"/>
              <w:rPr>
                <w:color w:val="auto"/>
                <w:szCs w:val="21"/>
                <w:highlight w:val="none"/>
              </w:rPr>
            </w:pPr>
            <w:r>
              <w:rPr>
                <w:color w:val="auto"/>
                <w:szCs w:val="21"/>
                <w:highlight w:val="none"/>
              </w:rPr>
              <w:t>20</w:t>
            </w:r>
          </w:p>
        </w:tc>
        <w:tc>
          <w:tcPr>
            <w:tcW w:w="1392" w:type="dxa"/>
            <w:vMerge w:val="continue"/>
            <w:tcBorders>
              <w:left w:val="single" w:color="auto" w:sz="4" w:space="0"/>
              <w:right w:val="single" w:color="auto" w:sz="4" w:space="0"/>
            </w:tcBorders>
            <w:vAlign w:val="center"/>
          </w:tcPr>
          <w:p>
            <w:pPr>
              <w:widowControl/>
              <w:jc w:val="center"/>
              <w:rPr>
                <w:color w:val="auto"/>
                <w:szCs w:val="21"/>
                <w:highlight w:val="none"/>
              </w:rPr>
            </w:pPr>
          </w:p>
        </w:tc>
        <w:tc>
          <w:tcPr>
            <w:tcW w:w="1407"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50</w:t>
            </w:r>
          </w:p>
        </w:tc>
        <w:tc>
          <w:tcPr>
            <w:tcW w:w="966" w:type="dxa"/>
            <w:tcBorders>
              <w:top w:val="single" w:color="auto" w:sz="4" w:space="0"/>
              <w:left w:val="single" w:color="auto" w:sz="4" w:space="0"/>
              <w:bottom w:val="single" w:color="auto" w:sz="4" w:space="0"/>
              <w:right w:val="nil"/>
            </w:tcBorders>
            <w:vAlign w:val="center"/>
          </w:tcPr>
          <w:p>
            <w:pPr>
              <w:jc w:val="center"/>
              <w:rPr>
                <w:color w:val="auto"/>
                <w:highlight w:val="none"/>
              </w:rPr>
            </w:pPr>
            <w:r>
              <w:rPr>
                <w:rFonts w:hint="eastAsia"/>
                <w:color w:val="auto"/>
                <w:szCs w:val="21"/>
                <w:highlight w:val="none"/>
              </w:rPr>
              <w:t>4320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036" w:type="dxa"/>
            <w:vMerge w:val="continue"/>
            <w:tcBorders>
              <w:left w:val="nil"/>
              <w:right w:val="single" w:color="auto" w:sz="4" w:space="0"/>
            </w:tcBorders>
            <w:vAlign w:val="center"/>
          </w:tcPr>
          <w:p>
            <w:pPr>
              <w:widowControl/>
              <w:jc w:val="center"/>
              <w:rPr>
                <w:color w:val="auto"/>
                <w:szCs w:val="21"/>
                <w:highlight w:val="none"/>
              </w:rPr>
            </w:pPr>
          </w:p>
        </w:tc>
        <w:tc>
          <w:tcPr>
            <w:tcW w:w="1119" w:type="dxa"/>
            <w:vMerge w:val="continue"/>
            <w:tcBorders>
              <w:left w:val="single" w:color="auto" w:sz="4" w:space="0"/>
              <w:right w:val="single" w:color="auto" w:sz="4" w:space="0"/>
            </w:tcBorders>
            <w:vAlign w:val="center"/>
          </w:tcPr>
          <w:p>
            <w:pPr>
              <w:widowControl/>
              <w:jc w:val="center"/>
              <w:rPr>
                <w:color w:val="auto"/>
                <w:szCs w:val="21"/>
                <w:highlight w:val="none"/>
              </w:rPr>
            </w:pPr>
          </w:p>
        </w:tc>
        <w:tc>
          <w:tcPr>
            <w:tcW w:w="1559"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textAlignment w:val="center"/>
              <w:rPr>
                <w:color w:val="auto"/>
                <w:szCs w:val="21"/>
                <w:highlight w:val="none"/>
              </w:rPr>
            </w:pPr>
            <w:r>
              <w:rPr>
                <w:rFonts w:hint="eastAsia"/>
                <w:color w:val="auto"/>
                <w:szCs w:val="21"/>
                <w:highlight w:val="none"/>
              </w:rPr>
              <w:t>水泵</w:t>
            </w:r>
          </w:p>
        </w:tc>
        <w:tc>
          <w:tcPr>
            <w:tcW w:w="1086" w:type="dxa"/>
            <w:tcBorders>
              <w:top w:val="single" w:color="auto" w:sz="4" w:space="0"/>
              <w:left w:val="single" w:color="auto" w:sz="4" w:space="0"/>
              <w:bottom w:val="single" w:color="auto" w:sz="4" w:space="0"/>
              <w:right w:val="single" w:color="auto" w:sz="4" w:space="0"/>
            </w:tcBorders>
            <w:vAlign w:val="center"/>
          </w:tcPr>
          <w:p>
            <w:pPr>
              <w:widowControl/>
              <w:ind w:left="-42" w:leftChars="-20" w:right="-42" w:rightChars="-20"/>
              <w:jc w:val="center"/>
              <w:rPr>
                <w:color w:val="auto"/>
                <w:kern w:val="0"/>
                <w:szCs w:val="21"/>
                <w:highlight w:val="none"/>
              </w:rPr>
            </w:pPr>
            <w:r>
              <w:rPr>
                <w:rFonts w:hint="eastAsia"/>
                <w:color w:val="auto"/>
                <w:kern w:val="0"/>
                <w:szCs w:val="21"/>
                <w:highlight w:val="none"/>
              </w:rPr>
              <w:t>频发</w:t>
            </w:r>
          </w:p>
        </w:tc>
        <w:tc>
          <w:tcPr>
            <w:tcW w:w="1391" w:type="dxa"/>
            <w:vMerge w:val="continue"/>
            <w:tcBorders>
              <w:left w:val="single" w:color="auto" w:sz="4" w:space="0"/>
              <w:right w:val="single" w:color="auto" w:sz="4" w:space="0"/>
            </w:tcBorders>
            <w:vAlign w:val="center"/>
          </w:tcPr>
          <w:p>
            <w:pPr>
              <w:widowControl/>
              <w:jc w:val="center"/>
              <w:rPr>
                <w:color w:val="auto"/>
                <w:szCs w:val="21"/>
                <w:highlight w:val="none"/>
              </w:rPr>
            </w:pPr>
          </w:p>
        </w:tc>
        <w:tc>
          <w:tcPr>
            <w:tcW w:w="1224" w:type="dxa"/>
            <w:tcBorders>
              <w:top w:val="single" w:color="auto" w:sz="4" w:space="0"/>
              <w:left w:val="single" w:color="auto" w:sz="4" w:space="0"/>
              <w:bottom w:val="single" w:color="auto" w:sz="4" w:space="0"/>
              <w:right w:val="single" w:color="auto" w:sz="4" w:space="0"/>
            </w:tcBorders>
            <w:vAlign w:val="center"/>
          </w:tcPr>
          <w:p>
            <w:pPr>
              <w:adjustRightInd w:val="0"/>
              <w:jc w:val="center"/>
              <w:rPr>
                <w:rFonts w:hint="eastAsia" w:eastAsia="宋体"/>
                <w:snapToGrid w:val="0"/>
                <w:color w:val="auto"/>
                <w:szCs w:val="21"/>
                <w:highlight w:val="none"/>
                <w:lang w:eastAsia="zh-CN"/>
              </w:rPr>
            </w:pPr>
            <w:r>
              <w:rPr>
                <w:snapToGrid w:val="0"/>
                <w:color w:val="auto"/>
                <w:szCs w:val="21"/>
                <w:highlight w:val="none"/>
              </w:rPr>
              <w:t>7</w:t>
            </w:r>
            <w:r>
              <w:rPr>
                <w:rFonts w:hint="eastAsia"/>
                <w:snapToGrid w:val="0"/>
                <w:color w:val="auto"/>
                <w:szCs w:val="21"/>
                <w:highlight w:val="none"/>
                <w:lang w:val="en-US" w:eastAsia="zh-CN"/>
              </w:rPr>
              <w:t>5</w:t>
            </w:r>
          </w:p>
        </w:tc>
        <w:tc>
          <w:tcPr>
            <w:tcW w:w="1418" w:type="dxa"/>
            <w:vMerge w:val="continue"/>
            <w:tcBorders>
              <w:left w:val="single" w:color="auto" w:sz="4" w:space="0"/>
              <w:right w:val="single" w:color="auto" w:sz="4" w:space="0"/>
            </w:tcBorders>
            <w:vAlign w:val="center"/>
          </w:tcPr>
          <w:p>
            <w:pPr>
              <w:widowControl/>
              <w:jc w:val="center"/>
              <w:rPr>
                <w:color w:val="auto"/>
                <w:szCs w:val="21"/>
                <w:highlight w:val="none"/>
              </w:rPr>
            </w:pPr>
          </w:p>
        </w:tc>
        <w:tc>
          <w:tcPr>
            <w:tcW w:w="1577"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textAlignment w:val="center"/>
              <w:rPr>
                <w:color w:val="auto"/>
                <w:szCs w:val="21"/>
                <w:highlight w:val="none"/>
              </w:rPr>
            </w:pPr>
            <w:r>
              <w:rPr>
                <w:color w:val="auto"/>
                <w:szCs w:val="21"/>
                <w:highlight w:val="none"/>
              </w:rPr>
              <w:t>20</w:t>
            </w:r>
          </w:p>
        </w:tc>
        <w:tc>
          <w:tcPr>
            <w:tcW w:w="1392" w:type="dxa"/>
            <w:vMerge w:val="continue"/>
            <w:tcBorders>
              <w:left w:val="single" w:color="auto" w:sz="4" w:space="0"/>
              <w:right w:val="single" w:color="auto" w:sz="4" w:space="0"/>
            </w:tcBorders>
            <w:vAlign w:val="center"/>
          </w:tcPr>
          <w:p>
            <w:pPr>
              <w:widowControl/>
              <w:jc w:val="center"/>
              <w:rPr>
                <w:color w:val="auto"/>
                <w:szCs w:val="21"/>
                <w:highlight w:val="none"/>
              </w:rPr>
            </w:pPr>
          </w:p>
        </w:tc>
        <w:tc>
          <w:tcPr>
            <w:tcW w:w="1407" w:type="dxa"/>
            <w:tcBorders>
              <w:top w:val="single" w:color="auto" w:sz="4" w:space="0"/>
              <w:left w:val="single" w:color="auto" w:sz="4" w:space="0"/>
              <w:bottom w:val="single" w:color="auto" w:sz="4" w:space="0"/>
              <w:right w:val="single" w:color="auto" w:sz="4" w:space="0"/>
            </w:tcBorders>
            <w:vAlign w:val="center"/>
          </w:tcPr>
          <w:p>
            <w:pPr>
              <w:ind w:left="-42" w:leftChars="-20" w:right="-42" w:rightChars="-20"/>
              <w:jc w:val="center"/>
              <w:textAlignment w:val="center"/>
              <w:rPr>
                <w:rFonts w:hint="eastAsia" w:eastAsia="宋体"/>
                <w:color w:val="auto"/>
                <w:szCs w:val="21"/>
                <w:highlight w:val="none"/>
                <w:lang w:eastAsia="zh-CN"/>
              </w:rPr>
            </w:pPr>
            <w:r>
              <w:rPr>
                <w:color w:val="auto"/>
                <w:szCs w:val="21"/>
                <w:highlight w:val="none"/>
              </w:rPr>
              <w:t>5</w:t>
            </w:r>
            <w:r>
              <w:rPr>
                <w:rFonts w:hint="eastAsia"/>
                <w:color w:val="auto"/>
                <w:szCs w:val="21"/>
                <w:highlight w:val="none"/>
                <w:lang w:val="en-US" w:eastAsia="zh-CN"/>
              </w:rPr>
              <w:t>5</w:t>
            </w:r>
          </w:p>
        </w:tc>
        <w:tc>
          <w:tcPr>
            <w:tcW w:w="966" w:type="dxa"/>
            <w:tcBorders>
              <w:top w:val="single" w:color="auto" w:sz="4" w:space="0"/>
              <w:left w:val="single" w:color="auto" w:sz="4" w:space="0"/>
              <w:bottom w:val="single" w:color="auto" w:sz="4" w:space="0"/>
              <w:right w:val="nil"/>
            </w:tcBorders>
            <w:vAlign w:val="center"/>
          </w:tcPr>
          <w:p>
            <w:pPr>
              <w:jc w:val="center"/>
              <w:rPr>
                <w:color w:val="auto"/>
                <w:highlight w:val="none"/>
              </w:rPr>
            </w:pPr>
            <w:r>
              <w:rPr>
                <w:rFonts w:hint="eastAsia"/>
                <w:color w:val="auto"/>
                <w:szCs w:val="21"/>
                <w:highlight w:val="none"/>
              </w:rPr>
              <w:t>4320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1036" w:type="dxa"/>
            <w:vMerge w:val="continue"/>
            <w:tcBorders>
              <w:left w:val="nil"/>
              <w:bottom w:val="single" w:color="auto" w:sz="12" w:space="0"/>
              <w:right w:val="single" w:color="auto" w:sz="4" w:space="0"/>
            </w:tcBorders>
            <w:vAlign w:val="center"/>
          </w:tcPr>
          <w:p>
            <w:pPr>
              <w:widowControl/>
              <w:jc w:val="center"/>
              <w:rPr>
                <w:color w:val="auto"/>
                <w:szCs w:val="21"/>
                <w:highlight w:val="none"/>
              </w:rPr>
            </w:pPr>
          </w:p>
        </w:tc>
        <w:tc>
          <w:tcPr>
            <w:tcW w:w="1119" w:type="dxa"/>
            <w:vMerge w:val="continue"/>
            <w:tcBorders>
              <w:left w:val="single" w:color="auto" w:sz="4" w:space="0"/>
              <w:bottom w:val="single" w:color="auto" w:sz="12" w:space="0"/>
              <w:right w:val="single" w:color="auto" w:sz="4" w:space="0"/>
            </w:tcBorders>
            <w:vAlign w:val="center"/>
          </w:tcPr>
          <w:p>
            <w:pPr>
              <w:widowControl/>
              <w:jc w:val="center"/>
              <w:rPr>
                <w:color w:val="auto"/>
                <w:szCs w:val="21"/>
                <w:highlight w:val="none"/>
              </w:rPr>
            </w:pPr>
          </w:p>
        </w:tc>
        <w:tc>
          <w:tcPr>
            <w:tcW w:w="1559" w:type="dxa"/>
            <w:tcBorders>
              <w:top w:val="single" w:color="auto" w:sz="4" w:space="0"/>
              <w:left w:val="single" w:color="auto" w:sz="4" w:space="0"/>
              <w:bottom w:val="single" w:color="auto" w:sz="12" w:space="0"/>
              <w:right w:val="single" w:color="auto" w:sz="4" w:space="0"/>
            </w:tcBorders>
            <w:vAlign w:val="center"/>
          </w:tcPr>
          <w:p>
            <w:pPr>
              <w:ind w:left="-42" w:leftChars="-20" w:right="-42" w:rightChars="-20"/>
              <w:jc w:val="center"/>
              <w:textAlignment w:val="center"/>
              <w:rPr>
                <w:rFonts w:hint="eastAsia" w:eastAsia="宋体"/>
                <w:color w:val="auto"/>
                <w:szCs w:val="21"/>
                <w:highlight w:val="none"/>
                <w:lang w:eastAsia="zh-CN"/>
              </w:rPr>
            </w:pPr>
            <w:r>
              <w:rPr>
                <w:rFonts w:hint="eastAsia"/>
                <w:color w:val="auto"/>
                <w:szCs w:val="21"/>
                <w:highlight w:val="none"/>
                <w:lang w:eastAsia="zh-CN"/>
              </w:rPr>
              <w:t>循环水泵</w:t>
            </w:r>
          </w:p>
        </w:tc>
        <w:tc>
          <w:tcPr>
            <w:tcW w:w="1086" w:type="dxa"/>
            <w:tcBorders>
              <w:top w:val="single" w:color="auto" w:sz="4" w:space="0"/>
              <w:left w:val="single" w:color="auto" w:sz="4" w:space="0"/>
              <w:bottom w:val="single" w:color="auto" w:sz="12" w:space="0"/>
              <w:right w:val="single" w:color="auto" w:sz="4" w:space="0"/>
            </w:tcBorders>
            <w:vAlign w:val="center"/>
          </w:tcPr>
          <w:p>
            <w:pPr>
              <w:widowControl/>
              <w:ind w:left="-42" w:leftChars="-20" w:right="-42" w:rightChars="-20"/>
              <w:jc w:val="center"/>
              <w:rPr>
                <w:rFonts w:hint="eastAsia" w:eastAsia="宋体"/>
                <w:color w:val="auto"/>
                <w:kern w:val="0"/>
                <w:szCs w:val="21"/>
                <w:highlight w:val="none"/>
                <w:lang w:eastAsia="zh-CN"/>
              </w:rPr>
            </w:pPr>
            <w:r>
              <w:rPr>
                <w:rFonts w:hint="eastAsia"/>
                <w:color w:val="auto"/>
                <w:kern w:val="0"/>
                <w:szCs w:val="21"/>
                <w:highlight w:val="none"/>
                <w:lang w:eastAsia="zh-CN"/>
              </w:rPr>
              <w:t>频发</w:t>
            </w:r>
          </w:p>
        </w:tc>
        <w:tc>
          <w:tcPr>
            <w:tcW w:w="1391" w:type="dxa"/>
            <w:vMerge w:val="continue"/>
            <w:tcBorders>
              <w:left w:val="single" w:color="auto" w:sz="4" w:space="0"/>
              <w:bottom w:val="single" w:color="auto" w:sz="12" w:space="0"/>
              <w:right w:val="single" w:color="auto" w:sz="4" w:space="0"/>
            </w:tcBorders>
            <w:vAlign w:val="center"/>
          </w:tcPr>
          <w:p>
            <w:pPr>
              <w:widowControl/>
              <w:jc w:val="center"/>
              <w:rPr>
                <w:color w:val="auto"/>
                <w:szCs w:val="21"/>
                <w:highlight w:val="none"/>
              </w:rPr>
            </w:pPr>
          </w:p>
        </w:tc>
        <w:tc>
          <w:tcPr>
            <w:tcW w:w="1224" w:type="dxa"/>
            <w:tcBorders>
              <w:top w:val="single" w:color="auto" w:sz="4" w:space="0"/>
              <w:left w:val="single" w:color="auto" w:sz="4" w:space="0"/>
              <w:bottom w:val="single" w:color="auto" w:sz="12" w:space="0"/>
              <w:right w:val="single" w:color="auto" w:sz="4" w:space="0"/>
            </w:tcBorders>
            <w:vAlign w:val="center"/>
          </w:tcPr>
          <w:p>
            <w:pPr>
              <w:adjustRightInd w:val="0"/>
              <w:jc w:val="center"/>
              <w:rPr>
                <w:rFonts w:hint="default" w:eastAsia="宋体"/>
                <w:snapToGrid w:val="0"/>
                <w:color w:val="auto"/>
                <w:szCs w:val="21"/>
                <w:highlight w:val="none"/>
                <w:lang w:val="en-US" w:eastAsia="zh-CN"/>
              </w:rPr>
            </w:pPr>
            <w:r>
              <w:rPr>
                <w:rFonts w:hint="eastAsia"/>
                <w:snapToGrid w:val="0"/>
                <w:color w:val="auto"/>
                <w:szCs w:val="21"/>
                <w:highlight w:val="none"/>
                <w:lang w:val="en-US" w:eastAsia="zh-CN"/>
              </w:rPr>
              <w:t>75</w:t>
            </w:r>
          </w:p>
        </w:tc>
        <w:tc>
          <w:tcPr>
            <w:tcW w:w="1418" w:type="dxa"/>
            <w:vMerge w:val="continue"/>
            <w:tcBorders>
              <w:left w:val="single" w:color="auto" w:sz="4" w:space="0"/>
              <w:bottom w:val="single" w:color="auto" w:sz="12" w:space="0"/>
              <w:right w:val="single" w:color="auto" w:sz="4" w:space="0"/>
            </w:tcBorders>
            <w:vAlign w:val="center"/>
          </w:tcPr>
          <w:p>
            <w:pPr>
              <w:widowControl/>
              <w:jc w:val="center"/>
              <w:rPr>
                <w:color w:val="auto"/>
                <w:szCs w:val="21"/>
                <w:highlight w:val="none"/>
              </w:rPr>
            </w:pPr>
          </w:p>
        </w:tc>
        <w:tc>
          <w:tcPr>
            <w:tcW w:w="1577" w:type="dxa"/>
            <w:tcBorders>
              <w:top w:val="single" w:color="auto" w:sz="4" w:space="0"/>
              <w:left w:val="single" w:color="auto" w:sz="4" w:space="0"/>
              <w:bottom w:val="single" w:color="auto" w:sz="12" w:space="0"/>
              <w:right w:val="single" w:color="auto" w:sz="4" w:space="0"/>
            </w:tcBorders>
            <w:vAlign w:val="center"/>
          </w:tcPr>
          <w:p>
            <w:pPr>
              <w:ind w:left="-42" w:leftChars="-20" w:right="-42" w:rightChars="-20"/>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20</w:t>
            </w:r>
          </w:p>
        </w:tc>
        <w:tc>
          <w:tcPr>
            <w:tcW w:w="1392" w:type="dxa"/>
            <w:vMerge w:val="continue"/>
            <w:tcBorders>
              <w:left w:val="single" w:color="auto" w:sz="4" w:space="0"/>
              <w:bottom w:val="single" w:color="auto" w:sz="12" w:space="0"/>
              <w:right w:val="single" w:color="auto" w:sz="4" w:space="0"/>
            </w:tcBorders>
            <w:vAlign w:val="center"/>
          </w:tcPr>
          <w:p>
            <w:pPr>
              <w:widowControl/>
              <w:jc w:val="center"/>
              <w:rPr>
                <w:color w:val="auto"/>
                <w:szCs w:val="21"/>
                <w:highlight w:val="none"/>
              </w:rPr>
            </w:pPr>
          </w:p>
        </w:tc>
        <w:tc>
          <w:tcPr>
            <w:tcW w:w="1407" w:type="dxa"/>
            <w:tcBorders>
              <w:top w:val="single" w:color="auto" w:sz="4" w:space="0"/>
              <w:left w:val="single" w:color="auto" w:sz="4" w:space="0"/>
              <w:bottom w:val="single" w:color="auto" w:sz="12" w:space="0"/>
              <w:right w:val="single" w:color="auto" w:sz="4" w:space="0"/>
            </w:tcBorders>
            <w:vAlign w:val="center"/>
          </w:tcPr>
          <w:p>
            <w:pPr>
              <w:ind w:left="-42" w:leftChars="-20" w:right="-42" w:rightChars="-20"/>
              <w:jc w:val="center"/>
              <w:textAlignment w:val="center"/>
              <w:rPr>
                <w:rFonts w:hint="default" w:eastAsia="宋体"/>
                <w:color w:val="auto"/>
                <w:szCs w:val="21"/>
                <w:highlight w:val="none"/>
                <w:lang w:val="en-US" w:eastAsia="zh-CN"/>
              </w:rPr>
            </w:pPr>
            <w:r>
              <w:rPr>
                <w:rFonts w:hint="eastAsia"/>
                <w:color w:val="auto"/>
                <w:szCs w:val="21"/>
                <w:highlight w:val="none"/>
                <w:lang w:val="en-US" w:eastAsia="zh-CN"/>
              </w:rPr>
              <w:t>55</w:t>
            </w:r>
          </w:p>
        </w:tc>
        <w:tc>
          <w:tcPr>
            <w:tcW w:w="966" w:type="dxa"/>
            <w:tcBorders>
              <w:top w:val="single" w:color="auto" w:sz="4" w:space="0"/>
              <w:left w:val="single" w:color="auto" w:sz="4" w:space="0"/>
              <w:bottom w:val="single" w:color="auto" w:sz="12"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4320</w:t>
            </w:r>
          </w:p>
        </w:tc>
      </w:tr>
    </w:tbl>
    <w:p>
      <w:pPr>
        <w:jc w:val="center"/>
        <w:textAlignment w:val="center"/>
        <w:rPr>
          <w:b/>
          <w:color w:val="auto"/>
          <w:sz w:val="24"/>
          <w:highlight w:val="none"/>
        </w:rPr>
      </w:pPr>
      <w:r>
        <w:rPr>
          <w:rFonts w:hint="eastAsia"/>
          <w:b/>
          <w:color w:val="auto"/>
          <w:sz w:val="24"/>
          <w:highlight w:val="none"/>
        </w:rPr>
        <w:t>表</w:t>
      </w:r>
      <w:r>
        <w:rPr>
          <w:b/>
          <w:color w:val="auto"/>
          <w:sz w:val="24"/>
          <w:highlight w:val="none"/>
        </w:rPr>
        <w:t>5-</w:t>
      </w:r>
      <w:r>
        <w:rPr>
          <w:rFonts w:hint="eastAsia"/>
          <w:b/>
          <w:color w:val="auto"/>
          <w:sz w:val="24"/>
          <w:highlight w:val="none"/>
          <w:lang w:val="en-US" w:eastAsia="zh-CN"/>
        </w:rPr>
        <w:t>5</w:t>
      </w:r>
      <w:r>
        <w:rPr>
          <w:b/>
          <w:color w:val="auto"/>
          <w:sz w:val="24"/>
          <w:highlight w:val="none"/>
        </w:rPr>
        <w:t xml:space="preserve"> </w:t>
      </w:r>
      <w:r>
        <w:rPr>
          <w:rFonts w:hint="eastAsia"/>
          <w:b/>
          <w:color w:val="auto"/>
          <w:sz w:val="24"/>
          <w:highlight w:val="none"/>
        </w:rPr>
        <w:t>固体废物污染源源强核算结果及相关参数一览表</w:t>
      </w:r>
    </w:p>
    <w:tbl>
      <w:tblPr>
        <w:tblStyle w:val="36"/>
        <w:tblW w:w="1417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23"/>
        <w:gridCol w:w="1499"/>
        <w:gridCol w:w="1858"/>
        <w:gridCol w:w="1162"/>
        <w:gridCol w:w="1390"/>
        <w:gridCol w:w="1353"/>
        <w:gridCol w:w="3069"/>
        <w:gridCol w:w="26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23" w:type="dxa"/>
            <w:vMerge w:val="restart"/>
            <w:vAlign w:val="center"/>
          </w:tcPr>
          <w:p>
            <w:pPr>
              <w:ind w:left="-42" w:leftChars="-20" w:right="-42" w:rightChars="-20"/>
              <w:jc w:val="center"/>
              <w:rPr>
                <w:color w:val="auto"/>
                <w:szCs w:val="21"/>
                <w:highlight w:val="none"/>
              </w:rPr>
            </w:pPr>
            <w:r>
              <w:rPr>
                <w:rFonts w:hint="eastAsia"/>
                <w:color w:val="auto"/>
                <w:kern w:val="0"/>
                <w:szCs w:val="21"/>
                <w:highlight w:val="none"/>
              </w:rPr>
              <w:t>工序</w:t>
            </w:r>
          </w:p>
        </w:tc>
        <w:tc>
          <w:tcPr>
            <w:tcW w:w="1499" w:type="dxa"/>
            <w:vMerge w:val="restart"/>
            <w:vAlign w:val="center"/>
          </w:tcPr>
          <w:p>
            <w:pPr>
              <w:ind w:left="-42" w:leftChars="-20" w:right="-42" w:rightChars="-20"/>
              <w:jc w:val="center"/>
              <w:rPr>
                <w:color w:val="auto"/>
                <w:szCs w:val="21"/>
                <w:highlight w:val="none"/>
              </w:rPr>
            </w:pPr>
            <w:r>
              <w:rPr>
                <w:rFonts w:hint="eastAsia"/>
                <w:color w:val="auto"/>
                <w:szCs w:val="21"/>
                <w:highlight w:val="none"/>
              </w:rPr>
              <w:t>装置</w:t>
            </w:r>
          </w:p>
        </w:tc>
        <w:tc>
          <w:tcPr>
            <w:tcW w:w="1858" w:type="dxa"/>
            <w:vMerge w:val="restart"/>
            <w:vAlign w:val="center"/>
          </w:tcPr>
          <w:p>
            <w:pPr>
              <w:jc w:val="center"/>
              <w:rPr>
                <w:color w:val="auto"/>
                <w:szCs w:val="21"/>
                <w:highlight w:val="none"/>
              </w:rPr>
            </w:pPr>
            <w:r>
              <w:rPr>
                <w:rFonts w:hint="eastAsia"/>
                <w:color w:val="auto"/>
                <w:szCs w:val="21"/>
                <w:highlight w:val="none"/>
              </w:rPr>
              <w:t>固体废物名称</w:t>
            </w:r>
          </w:p>
        </w:tc>
        <w:tc>
          <w:tcPr>
            <w:tcW w:w="1162" w:type="dxa"/>
            <w:vMerge w:val="restart"/>
            <w:vAlign w:val="center"/>
          </w:tcPr>
          <w:p>
            <w:pPr>
              <w:jc w:val="center"/>
              <w:rPr>
                <w:color w:val="auto"/>
                <w:szCs w:val="21"/>
                <w:highlight w:val="none"/>
              </w:rPr>
            </w:pPr>
            <w:r>
              <w:rPr>
                <w:rFonts w:hint="eastAsia"/>
                <w:color w:val="auto"/>
                <w:szCs w:val="21"/>
                <w:highlight w:val="none"/>
              </w:rPr>
              <w:t>固废属性</w:t>
            </w:r>
          </w:p>
        </w:tc>
        <w:tc>
          <w:tcPr>
            <w:tcW w:w="2743" w:type="dxa"/>
            <w:gridSpan w:val="2"/>
            <w:vAlign w:val="center"/>
          </w:tcPr>
          <w:p>
            <w:pPr>
              <w:jc w:val="center"/>
              <w:rPr>
                <w:color w:val="auto"/>
                <w:szCs w:val="21"/>
                <w:highlight w:val="none"/>
              </w:rPr>
            </w:pPr>
            <w:r>
              <w:rPr>
                <w:rFonts w:hint="eastAsia"/>
                <w:color w:val="auto"/>
                <w:szCs w:val="21"/>
                <w:highlight w:val="none"/>
              </w:rPr>
              <w:t>产生量</w:t>
            </w:r>
          </w:p>
        </w:tc>
        <w:tc>
          <w:tcPr>
            <w:tcW w:w="3069" w:type="dxa"/>
            <w:vAlign w:val="center"/>
          </w:tcPr>
          <w:p>
            <w:pPr>
              <w:jc w:val="center"/>
              <w:rPr>
                <w:color w:val="auto"/>
                <w:szCs w:val="21"/>
                <w:highlight w:val="none"/>
              </w:rPr>
            </w:pPr>
            <w:r>
              <w:rPr>
                <w:rFonts w:hint="eastAsia"/>
                <w:color w:val="auto"/>
                <w:szCs w:val="21"/>
                <w:highlight w:val="none"/>
              </w:rPr>
              <w:t>处置措施</w:t>
            </w:r>
          </w:p>
        </w:tc>
        <w:tc>
          <w:tcPr>
            <w:tcW w:w="2621" w:type="dxa"/>
            <w:vMerge w:val="restart"/>
            <w:vAlign w:val="center"/>
          </w:tcPr>
          <w:p>
            <w:pPr>
              <w:jc w:val="center"/>
              <w:rPr>
                <w:color w:val="auto"/>
                <w:szCs w:val="21"/>
                <w:highlight w:val="none"/>
              </w:rPr>
            </w:pPr>
            <w:r>
              <w:rPr>
                <w:rFonts w:hint="eastAsia"/>
                <w:color w:val="auto"/>
                <w:szCs w:val="21"/>
                <w:highlight w:val="none"/>
              </w:rPr>
              <w:t>最终去向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23" w:type="dxa"/>
            <w:vMerge w:val="continue"/>
            <w:vAlign w:val="center"/>
          </w:tcPr>
          <w:p>
            <w:pPr>
              <w:widowControl/>
              <w:jc w:val="left"/>
              <w:rPr>
                <w:color w:val="auto"/>
                <w:szCs w:val="21"/>
                <w:highlight w:val="none"/>
              </w:rPr>
            </w:pPr>
          </w:p>
        </w:tc>
        <w:tc>
          <w:tcPr>
            <w:tcW w:w="1499" w:type="dxa"/>
            <w:vMerge w:val="continue"/>
            <w:vAlign w:val="center"/>
          </w:tcPr>
          <w:p>
            <w:pPr>
              <w:widowControl/>
              <w:jc w:val="left"/>
              <w:rPr>
                <w:color w:val="auto"/>
                <w:szCs w:val="21"/>
                <w:highlight w:val="none"/>
              </w:rPr>
            </w:pPr>
          </w:p>
        </w:tc>
        <w:tc>
          <w:tcPr>
            <w:tcW w:w="1858" w:type="dxa"/>
            <w:vMerge w:val="continue"/>
            <w:vAlign w:val="center"/>
          </w:tcPr>
          <w:p>
            <w:pPr>
              <w:widowControl/>
              <w:jc w:val="left"/>
              <w:rPr>
                <w:color w:val="auto"/>
                <w:szCs w:val="21"/>
                <w:highlight w:val="none"/>
              </w:rPr>
            </w:pPr>
          </w:p>
        </w:tc>
        <w:tc>
          <w:tcPr>
            <w:tcW w:w="1162" w:type="dxa"/>
            <w:vMerge w:val="continue"/>
            <w:vAlign w:val="center"/>
          </w:tcPr>
          <w:p>
            <w:pPr>
              <w:widowControl/>
              <w:jc w:val="left"/>
              <w:rPr>
                <w:color w:val="auto"/>
                <w:szCs w:val="21"/>
                <w:highlight w:val="none"/>
              </w:rPr>
            </w:pPr>
          </w:p>
        </w:tc>
        <w:tc>
          <w:tcPr>
            <w:tcW w:w="1390" w:type="dxa"/>
            <w:vAlign w:val="center"/>
          </w:tcPr>
          <w:p>
            <w:pPr>
              <w:jc w:val="center"/>
              <w:rPr>
                <w:color w:val="auto"/>
                <w:szCs w:val="21"/>
                <w:highlight w:val="none"/>
              </w:rPr>
            </w:pPr>
            <w:r>
              <w:rPr>
                <w:rFonts w:hint="eastAsia"/>
                <w:color w:val="auto"/>
                <w:szCs w:val="21"/>
                <w:highlight w:val="none"/>
              </w:rPr>
              <w:t>核算方法</w:t>
            </w:r>
          </w:p>
        </w:tc>
        <w:tc>
          <w:tcPr>
            <w:tcW w:w="1353" w:type="dxa"/>
            <w:vAlign w:val="center"/>
          </w:tcPr>
          <w:p>
            <w:pPr>
              <w:jc w:val="center"/>
              <w:rPr>
                <w:color w:val="auto"/>
                <w:szCs w:val="21"/>
                <w:highlight w:val="none"/>
              </w:rPr>
            </w:pPr>
            <w:r>
              <w:rPr>
                <w:rFonts w:hint="eastAsia"/>
                <w:color w:val="auto"/>
                <w:szCs w:val="21"/>
                <w:highlight w:val="none"/>
              </w:rPr>
              <w:t>产生量（</w:t>
            </w:r>
            <w:r>
              <w:rPr>
                <w:color w:val="auto"/>
                <w:szCs w:val="21"/>
                <w:highlight w:val="none"/>
              </w:rPr>
              <w:t>t/a</w:t>
            </w:r>
            <w:r>
              <w:rPr>
                <w:rFonts w:hint="eastAsia"/>
                <w:color w:val="auto"/>
                <w:szCs w:val="21"/>
                <w:highlight w:val="none"/>
              </w:rPr>
              <w:t>）</w:t>
            </w:r>
          </w:p>
        </w:tc>
        <w:tc>
          <w:tcPr>
            <w:tcW w:w="3069" w:type="dxa"/>
            <w:vAlign w:val="center"/>
          </w:tcPr>
          <w:p>
            <w:pPr>
              <w:jc w:val="center"/>
              <w:rPr>
                <w:color w:val="auto"/>
                <w:szCs w:val="21"/>
                <w:highlight w:val="none"/>
              </w:rPr>
            </w:pPr>
            <w:r>
              <w:rPr>
                <w:rFonts w:hint="eastAsia"/>
                <w:color w:val="auto"/>
                <w:szCs w:val="21"/>
                <w:highlight w:val="none"/>
              </w:rPr>
              <w:t>工艺</w:t>
            </w:r>
          </w:p>
        </w:tc>
        <w:tc>
          <w:tcPr>
            <w:tcW w:w="2621" w:type="dxa"/>
            <w:vMerge w:val="continue"/>
            <w:vAlign w:val="center"/>
          </w:tcPr>
          <w:p>
            <w:pPr>
              <w:widowControl/>
              <w:jc w:val="left"/>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1223" w:type="dxa"/>
            <w:vMerge w:val="restart"/>
            <w:vAlign w:val="center"/>
          </w:tcPr>
          <w:p>
            <w:pPr>
              <w:ind w:left="-42" w:leftChars="-20" w:right="-42" w:rightChars="-20"/>
              <w:jc w:val="center"/>
              <w:textAlignment w:val="center"/>
              <w:rPr>
                <w:color w:val="auto"/>
                <w:szCs w:val="21"/>
                <w:highlight w:val="none"/>
              </w:rPr>
            </w:pPr>
            <w:r>
              <w:rPr>
                <w:rFonts w:hint="eastAsia"/>
                <w:color w:val="auto"/>
                <w:szCs w:val="21"/>
                <w:highlight w:val="none"/>
              </w:rPr>
              <w:t>生产工艺</w:t>
            </w:r>
          </w:p>
        </w:tc>
        <w:tc>
          <w:tcPr>
            <w:tcW w:w="1499" w:type="dxa"/>
            <w:vMerge w:val="restart"/>
            <w:vAlign w:val="center"/>
          </w:tcPr>
          <w:p>
            <w:pPr>
              <w:ind w:left="-42" w:leftChars="-20" w:right="-42" w:rightChars="-20"/>
              <w:jc w:val="center"/>
              <w:textAlignment w:val="center"/>
              <w:rPr>
                <w:color w:val="auto"/>
                <w:szCs w:val="21"/>
                <w:highlight w:val="none"/>
              </w:rPr>
            </w:pPr>
            <w:r>
              <w:rPr>
                <w:rFonts w:hint="eastAsia"/>
                <w:color w:val="auto"/>
                <w:szCs w:val="21"/>
                <w:highlight w:val="none"/>
              </w:rPr>
              <w:t>锅炉</w:t>
            </w:r>
          </w:p>
        </w:tc>
        <w:tc>
          <w:tcPr>
            <w:tcW w:w="1858" w:type="dxa"/>
            <w:vAlign w:val="center"/>
          </w:tcPr>
          <w:p>
            <w:pPr>
              <w:jc w:val="center"/>
              <w:rPr>
                <w:rFonts w:hint="eastAsia" w:eastAsia="宋体"/>
                <w:color w:val="auto"/>
                <w:szCs w:val="21"/>
                <w:highlight w:val="none"/>
                <w:lang w:eastAsia="zh-CN"/>
              </w:rPr>
            </w:pPr>
            <w:r>
              <w:rPr>
                <w:rFonts w:hint="eastAsia" w:eastAsia="宋体"/>
                <w:color w:val="auto"/>
                <w:szCs w:val="21"/>
                <w:highlight w:val="none"/>
                <w:lang w:eastAsia="zh-CN"/>
              </w:rPr>
              <w:t>除尘器回收粉尘</w:t>
            </w:r>
          </w:p>
        </w:tc>
        <w:tc>
          <w:tcPr>
            <w:tcW w:w="1162" w:type="dxa"/>
            <w:vMerge w:val="restart"/>
            <w:vAlign w:val="center"/>
          </w:tcPr>
          <w:p>
            <w:pPr>
              <w:jc w:val="center"/>
              <w:rPr>
                <w:color w:val="auto"/>
                <w:szCs w:val="21"/>
                <w:highlight w:val="none"/>
              </w:rPr>
            </w:pPr>
            <w:r>
              <w:rPr>
                <w:rFonts w:hint="eastAsia"/>
                <w:color w:val="auto"/>
                <w:szCs w:val="21"/>
                <w:highlight w:val="none"/>
              </w:rPr>
              <w:t>一般废物</w:t>
            </w:r>
          </w:p>
        </w:tc>
        <w:tc>
          <w:tcPr>
            <w:tcW w:w="1390" w:type="dxa"/>
            <w:vMerge w:val="restart"/>
            <w:vAlign w:val="center"/>
          </w:tcPr>
          <w:p>
            <w:pPr>
              <w:jc w:val="center"/>
              <w:rPr>
                <w:color w:val="auto"/>
                <w:szCs w:val="21"/>
                <w:highlight w:val="none"/>
              </w:rPr>
            </w:pPr>
            <w:r>
              <w:rPr>
                <w:rFonts w:hint="eastAsia"/>
                <w:color w:val="auto"/>
                <w:szCs w:val="21"/>
                <w:highlight w:val="none"/>
              </w:rPr>
              <w:t>产污系数法</w:t>
            </w:r>
          </w:p>
        </w:tc>
        <w:tc>
          <w:tcPr>
            <w:tcW w:w="1353" w:type="dxa"/>
            <w:vAlign w:val="center"/>
          </w:tcPr>
          <w:p>
            <w:pPr>
              <w:jc w:val="center"/>
              <w:rPr>
                <w:rFonts w:hint="default" w:eastAsia="宋体"/>
                <w:color w:val="auto"/>
                <w:szCs w:val="21"/>
                <w:highlight w:val="none"/>
                <w:lang w:val="en-US" w:eastAsia="zh-CN"/>
              </w:rPr>
            </w:pPr>
            <w:r>
              <w:rPr>
                <w:rFonts w:hint="eastAsia" w:cs="Times New Roman"/>
                <w:bCs w:val="0"/>
                <w:color w:val="auto"/>
                <w:sz w:val="21"/>
                <w:szCs w:val="21"/>
                <w:highlight w:val="none"/>
                <w:lang w:val="en-US" w:eastAsia="zh-CN"/>
              </w:rPr>
              <w:t>1455.543</w:t>
            </w:r>
          </w:p>
        </w:tc>
        <w:tc>
          <w:tcPr>
            <w:tcW w:w="3069" w:type="dxa"/>
            <w:vAlign w:val="center"/>
          </w:tcPr>
          <w:p>
            <w:pPr>
              <w:jc w:val="center"/>
              <w:rPr>
                <w:color w:val="auto"/>
                <w:sz w:val="21"/>
                <w:szCs w:val="21"/>
                <w:highlight w:val="none"/>
              </w:rPr>
            </w:pPr>
            <w:r>
              <w:rPr>
                <w:rFonts w:hint="default" w:ascii="Times New Roman" w:hAnsi="Times New Roman" w:cs="Times New Roman"/>
                <w:color w:val="auto"/>
                <w:sz w:val="21"/>
                <w:szCs w:val="21"/>
                <w:highlight w:val="none"/>
                <w:lang w:eastAsia="zh-CN"/>
              </w:rPr>
              <w:t>集中收集后</w:t>
            </w:r>
            <w:r>
              <w:rPr>
                <w:rFonts w:hint="eastAsia" w:cs="Times New Roman"/>
                <w:color w:val="auto"/>
                <w:sz w:val="21"/>
                <w:szCs w:val="21"/>
                <w:highlight w:val="none"/>
                <w:lang w:eastAsia="zh-CN"/>
              </w:rPr>
              <w:t>暂存于灰场后</w:t>
            </w:r>
            <w:r>
              <w:rPr>
                <w:rFonts w:hint="default" w:ascii="Times New Roman" w:hAnsi="Times New Roman" w:cs="Times New Roman"/>
                <w:color w:val="auto"/>
                <w:sz w:val="21"/>
                <w:szCs w:val="21"/>
                <w:highlight w:val="none"/>
                <w:lang w:eastAsia="zh-CN"/>
              </w:rPr>
              <w:t>外售</w:t>
            </w:r>
          </w:p>
        </w:tc>
        <w:tc>
          <w:tcPr>
            <w:tcW w:w="2621" w:type="dxa"/>
            <w:vAlign w:val="center"/>
          </w:tcPr>
          <w:p>
            <w:pPr>
              <w:jc w:val="center"/>
              <w:rPr>
                <w:color w:val="auto"/>
                <w:sz w:val="21"/>
                <w:szCs w:val="21"/>
                <w:highlight w:val="none"/>
              </w:rPr>
            </w:pPr>
            <w:r>
              <w:rPr>
                <w:rFonts w:hint="default" w:ascii="Times New Roman" w:hAnsi="Times New Roman" w:cs="Times New Roman"/>
                <w:color w:val="auto"/>
                <w:sz w:val="21"/>
                <w:szCs w:val="21"/>
                <w:highlight w:val="none"/>
                <w:lang w:eastAsia="zh-CN"/>
              </w:rPr>
              <w:t>外售</w:t>
            </w:r>
            <w:r>
              <w:rPr>
                <w:rFonts w:hint="default" w:ascii="Times New Roman" w:hAnsi="Times New Roman" w:cs="Times New Roman"/>
                <w:bCs/>
                <w:color w:val="auto"/>
                <w:sz w:val="21"/>
                <w:szCs w:val="21"/>
                <w:highlight w:val="none"/>
                <w:lang w:eastAsia="zh-CN"/>
              </w:rPr>
              <w:t>，综合利用</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23" w:type="dxa"/>
            <w:vMerge w:val="continue"/>
            <w:vAlign w:val="center"/>
          </w:tcPr>
          <w:p>
            <w:pPr>
              <w:widowControl/>
              <w:jc w:val="left"/>
              <w:rPr>
                <w:color w:val="auto"/>
                <w:szCs w:val="21"/>
                <w:highlight w:val="none"/>
              </w:rPr>
            </w:pPr>
          </w:p>
        </w:tc>
        <w:tc>
          <w:tcPr>
            <w:tcW w:w="1499" w:type="dxa"/>
            <w:vMerge w:val="continue"/>
            <w:vAlign w:val="center"/>
          </w:tcPr>
          <w:p>
            <w:pPr>
              <w:widowControl/>
              <w:jc w:val="left"/>
              <w:rPr>
                <w:color w:val="auto"/>
                <w:szCs w:val="21"/>
                <w:highlight w:val="none"/>
              </w:rPr>
            </w:pPr>
          </w:p>
        </w:tc>
        <w:tc>
          <w:tcPr>
            <w:tcW w:w="1858" w:type="dxa"/>
            <w:vAlign w:val="center"/>
          </w:tcPr>
          <w:p>
            <w:pPr>
              <w:jc w:val="center"/>
              <w:rPr>
                <w:color w:val="auto"/>
                <w:szCs w:val="21"/>
                <w:highlight w:val="none"/>
              </w:rPr>
            </w:pPr>
            <w:r>
              <w:rPr>
                <w:rFonts w:hint="eastAsia"/>
                <w:color w:val="auto"/>
                <w:szCs w:val="21"/>
                <w:highlight w:val="none"/>
              </w:rPr>
              <w:t>脱硫副产物</w:t>
            </w:r>
          </w:p>
        </w:tc>
        <w:tc>
          <w:tcPr>
            <w:tcW w:w="1162" w:type="dxa"/>
            <w:vMerge w:val="continue"/>
            <w:vAlign w:val="center"/>
          </w:tcPr>
          <w:p>
            <w:pPr>
              <w:widowControl/>
              <w:jc w:val="left"/>
              <w:rPr>
                <w:color w:val="auto"/>
                <w:szCs w:val="21"/>
                <w:highlight w:val="none"/>
              </w:rPr>
            </w:pPr>
          </w:p>
        </w:tc>
        <w:tc>
          <w:tcPr>
            <w:tcW w:w="1390" w:type="dxa"/>
            <w:vMerge w:val="continue"/>
            <w:vAlign w:val="center"/>
          </w:tcPr>
          <w:p>
            <w:pPr>
              <w:widowControl/>
              <w:jc w:val="left"/>
              <w:rPr>
                <w:color w:val="auto"/>
                <w:szCs w:val="21"/>
                <w:highlight w:val="none"/>
              </w:rPr>
            </w:pPr>
          </w:p>
        </w:tc>
        <w:tc>
          <w:tcPr>
            <w:tcW w:w="1353" w:type="dxa"/>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91.43</w:t>
            </w:r>
          </w:p>
        </w:tc>
        <w:tc>
          <w:tcPr>
            <w:tcW w:w="3069" w:type="dxa"/>
            <w:vAlign w:val="center"/>
          </w:tcPr>
          <w:p>
            <w:pPr>
              <w:widowControl/>
              <w:jc w:val="center"/>
              <w:rPr>
                <w:rFonts w:hint="eastAsia" w:eastAsia="宋体"/>
                <w:color w:val="auto"/>
                <w:sz w:val="21"/>
                <w:szCs w:val="21"/>
                <w:highlight w:val="none"/>
                <w:lang w:eastAsia="zh-CN"/>
              </w:rPr>
            </w:pPr>
            <w:r>
              <w:rPr>
                <w:rFonts w:hint="eastAsia"/>
                <w:color w:val="auto"/>
                <w:sz w:val="21"/>
                <w:szCs w:val="21"/>
                <w:highlight w:val="none"/>
                <w:lang w:eastAsia="zh-CN"/>
              </w:rPr>
              <w:t>定期收集后外售，不在厂区内储存</w:t>
            </w:r>
          </w:p>
        </w:tc>
        <w:tc>
          <w:tcPr>
            <w:tcW w:w="2621" w:type="dxa"/>
            <w:vAlign w:val="center"/>
          </w:tcPr>
          <w:p>
            <w:pPr>
              <w:widowControl/>
              <w:jc w:val="center"/>
              <w:rPr>
                <w:color w:val="auto"/>
                <w:sz w:val="21"/>
                <w:szCs w:val="21"/>
                <w:highlight w:val="none"/>
              </w:rPr>
            </w:pPr>
            <w:r>
              <w:rPr>
                <w:rFonts w:hint="default" w:ascii="Times New Roman" w:hAnsi="Times New Roman" w:cs="Times New Roman"/>
                <w:color w:val="auto"/>
                <w:sz w:val="21"/>
                <w:szCs w:val="21"/>
                <w:highlight w:val="none"/>
                <w:lang w:eastAsia="zh-CN"/>
              </w:rPr>
              <w:t>外售</w:t>
            </w:r>
            <w:r>
              <w:rPr>
                <w:rFonts w:hint="default" w:ascii="Times New Roman" w:hAnsi="Times New Roman" w:cs="Times New Roman"/>
                <w:bCs/>
                <w:color w:val="auto"/>
                <w:sz w:val="21"/>
                <w:szCs w:val="21"/>
                <w:highlight w:val="none"/>
                <w:lang w:eastAsia="zh-CN"/>
              </w:rPr>
              <w:t>，综合利用</w:t>
            </w:r>
          </w:p>
        </w:tc>
      </w:tr>
    </w:tbl>
    <w:p>
      <w:pPr>
        <w:spacing w:line="480" w:lineRule="exact"/>
        <w:outlineLvl w:val="0"/>
        <w:rPr>
          <w:rFonts w:eastAsia="黑体"/>
          <w:color w:val="auto"/>
          <w:sz w:val="32"/>
          <w:szCs w:val="32"/>
          <w:highlight w:val="none"/>
        </w:rPr>
        <w:sectPr>
          <w:pgSz w:w="16840" w:h="11907" w:orient="landscape"/>
          <w:pgMar w:top="141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spacing w:line="480" w:lineRule="exact"/>
        <w:outlineLvl w:val="0"/>
        <w:rPr>
          <w:rFonts w:eastAsia="黑体"/>
          <w:color w:val="auto"/>
          <w:sz w:val="32"/>
          <w:szCs w:val="32"/>
          <w:highlight w:val="none"/>
        </w:rPr>
      </w:pPr>
      <w:bookmarkStart w:id="35" w:name="_Toc6141"/>
      <w:r>
        <w:rPr>
          <w:rFonts w:hint="eastAsia" w:eastAsia="黑体"/>
          <w:color w:val="auto"/>
          <w:sz w:val="32"/>
          <w:szCs w:val="32"/>
          <w:highlight w:val="none"/>
          <w:lang w:eastAsia="zh-CN"/>
        </w:rPr>
        <w:t>六、</w:t>
      </w:r>
      <w:r>
        <w:rPr>
          <w:rFonts w:eastAsia="黑体"/>
          <w:color w:val="auto"/>
          <w:sz w:val="32"/>
          <w:szCs w:val="32"/>
          <w:highlight w:val="none"/>
        </w:rPr>
        <w:t>项目主要污染物及预计排放情况</w:t>
      </w:r>
      <w:bookmarkEnd w:id="35"/>
    </w:p>
    <w:tbl>
      <w:tblPr>
        <w:tblStyle w:val="36"/>
        <w:tblpPr w:leftFromText="180" w:rightFromText="180" w:vertAnchor="text" w:horzAnchor="margin" w:tblpY="129"/>
        <w:tblOverlap w:val="never"/>
        <w:tblW w:w="960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5"/>
        <w:gridCol w:w="1500"/>
        <w:gridCol w:w="1420"/>
        <w:gridCol w:w="1705"/>
        <w:gridCol w:w="1286"/>
        <w:gridCol w:w="1509"/>
        <w:gridCol w:w="11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 w:hRule="atLeast"/>
        </w:trPr>
        <w:tc>
          <w:tcPr>
            <w:tcW w:w="1055" w:type="dxa"/>
            <w:tcBorders>
              <w:tl2br w:val="single" w:color="auto" w:sz="4" w:space="0"/>
            </w:tcBorders>
          </w:tcPr>
          <w:p>
            <w:pPr>
              <w:spacing w:line="500" w:lineRule="exact"/>
              <w:jc w:val="righ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mc:AlternateContent>
                <mc:Choice Requires="wps">
                  <w:drawing>
                    <wp:anchor distT="0" distB="0" distL="114300" distR="114300" simplePos="0" relativeHeight="251654144" behindDoc="0" locked="0" layoutInCell="0" allowOverlap="1">
                      <wp:simplePos x="0" y="0"/>
                      <wp:positionH relativeFrom="column">
                        <wp:posOffset>-65405</wp:posOffset>
                      </wp:positionH>
                      <wp:positionV relativeFrom="paragraph">
                        <wp:posOffset>-3175</wp:posOffset>
                      </wp:positionV>
                      <wp:extent cx="8255" cy="3175"/>
                      <wp:effectExtent l="0" t="0" r="0" b="0"/>
                      <wp:wrapNone/>
                      <wp:docPr id="13" name="Line 3"/>
                      <wp:cNvGraphicFramePr/>
                      <a:graphic xmlns:a="http://schemas.openxmlformats.org/drawingml/2006/main">
                        <a:graphicData uri="http://schemas.microsoft.com/office/word/2010/wordprocessingShape">
                          <wps:wsp>
                            <wps:cNvCnPr/>
                            <wps:spPr>
                              <a:xfrm>
                                <a:off x="0" y="0"/>
                                <a:ext cx="8255" cy="317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Line 3" o:spid="_x0000_s1026" o:spt="20" style="position:absolute;left:0pt;margin-left:-5.15pt;margin-top:-0.25pt;height:0.25pt;width:0.65pt;z-index:251654144;mso-width-relative:page;mso-height-relative:page;" filled="f" stroked="t" coordsize="21600,21600" o:allowincell="f" o:gfxdata="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CzckuN0wAAAAUBAAAPAAAAAAAAAAEAIAAAACIAAABkcnMvZG93bnJldi54bWxQSwEC&#10;FAAUAAAACACHTuJAFOuXv8ABAACMAwAADgAAAAAAAAABACAAAAAiAQAAZHJzL2Uyb0RvYy54bWxQ&#10;SwUGAAAAAAYABgBZAQAAVAUAAAAA&#10;">
                      <v:fill on="f" focussize="0,0"/>
                      <v:stroke color="#000000" joinstyle="round"/>
                      <v:imagedata o:title=""/>
                      <o:lock v:ext="edit" aspectratio="f"/>
                    </v:line>
                  </w:pict>
                </mc:Fallback>
              </mc:AlternateContent>
            </w:r>
            <w:r>
              <w:rPr>
                <w:rFonts w:hint="default" w:ascii="Times New Roman" w:hAnsi="Times New Roman" w:cs="Times New Roman"/>
                <w:color w:val="auto"/>
                <w:sz w:val="24"/>
                <w:szCs w:val="24"/>
                <w:highlight w:val="none"/>
              </w:rPr>
              <w:t>内容</w:t>
            </w:r>
          </w:p>
          <w:p>
            <w:pPr>
              <w:spacing w:line="50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类型</w:t>
            </w:r>
          </w:p>
        </w:tc>
        <w:tc>
          <w:tcPr>
            <w:tcW w:w="1500" w:type="dxa"/>
            <w:vAlign w:val="center"/>
          </w:tcPr>
          <w:p>
            <w:pPr>
              <w:spacing w:line="50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排放源</w:t>
            </w:r>
          </w:p>
        </w:tc>
        <w:tc>
          <w:tcPr>
            <w:tcW w:w="1420" w:type="dxa"/>
            <w:vAlign w:val="center"/>
          </w:tcPr>
          <w:p>
            <w:pPr>
              <w:spacing w:line="50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污染物名称</w:t>
            </w:r>
          </w:p>
        </w:tc>
        <w:tc>
          <w:tcPr>
            <w:tcW w:w="2991" w:type="dxa"/>
            <w:gridSpan w:val="2"/>
          </w:tcPr>
          <w:p>
            <w:pPr>
              <w:spacing w:line="50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处理前产生浓度及产生量(单位)</w:t>
            </w:r>
          </w:p>
        </w:tc>
        <w:tc>
          <w:tcPr>
            <w:tcW w:w="2637" w:type="dxa"/>
            <w:gridSpan w:val="2"/>
          </w:tcPr>
          <w:p>
            <w:pPr>
              <w:spacing w:line="500" w:lineRule="exac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处理后排放浓度及排放量(单位)</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45" w:hRule="atLeast"/>
        </w:trPr>
        <w:tc>
          <w:tcPr>
            <w:tcW w:w="1055" w:type="dxa"/>
            <w:vMerge w:val="restart"/>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大</w:t>
            </w:r>
          </w:p>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气</w:t>
            </w:r>
          </w:p>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污</w:t>
            </w:r>
          </w:p>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染</w:t>
            </w:r>
          </w:p>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物</w:t>
            </w:r>
          </w:p>
        </w:tc>
        <w:tc>
          <w:tcPr>
            <w:tcW w:w="1500" w:type="dxa"/>
            <w:vMerge w:val="restart"/>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锅炉废气</w:t>
            </w:r>
          </w:p>
        </w:tc>
        <w:tc>
          <w:tcPr>
            <w:tcW w:w="1420" w:type="dxa"/>
            <w:vAlign w:val="center"/>
          </w:tcPr>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SO</w:t>
            </w:r>
            <w:r>
              <w:rPr>
                <w:rFonts w:hint="default" w:ascii="Times New Roman" w:hAnsi="Times New Roman" w:cs="Times New Roman"/>
                <w:color w:val="auto"/>
                <w:sz w:val="24"/>
                <w:szCs w:val="24"/>
                <w:highlight w:val="none"/>
                <w:vertAlign w:val="subscript"/>
              </w:rPr>
              <w:t>2</w:t>
            </w:r>
          </w:p>
        </w:tc>
        <w:tc>
          <w:tcPr>
            <w:tcW w:w="1705"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401.38</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p>
        </w:tc>
        <w:tc>
          <w:tcPr>
            <w:tcW w:w="1286"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49.37</w:t>
            </w:r>
            <w:r>
              <w:rPr>
                <w:rFonts w:hint="default" w:ascii="Times New Roman" w:hAnsi="Times New Roman" w:cs="Times New Roman"/>
                <w:color w:val="auto"/>
                <w:sz w:val="24"/>
                <w:szCs w:val="24"/>
                <w:highlight w:val="none"/>
              </w:rPr>
              <w:t>t/a</w:t>
            </w:r>
          </w:p>
        </w:tc>
        <w:tc>
          <w:tcPr>
            <w:tcW w:w="1509"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80.28</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p>
        </w:tc>
        <w:tc>
          <w:tcPr>
            <w:tcW w:w="1128"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9.874</w:t>
            </w:r>
            <w:r>
              <w:rPr>
                <w:rFonts w:hint="default" w:ascii="Times New Roman" w:hAnsi="Times New Roman" w:cs="Times New Roman"/>
                <w:color w:val="auto"/>
                <w:sz w:val="24"/>
                <w:szCs w:val="24"/>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3" w:hRule="atLeast"/>
        </w:trPr>
        <w:tc>
          <w:tcPr>
            <w:tcW w:w="1055" w:type="dxa"/>
            <w:vMerge w:val="continue"/>
            <w:vAlign w:val="center"/>
          </w:tcPr>
          <w:p>
            <w:pPr>
              <w:spacing w:line="100" w:lineRule="atLeast"/>
              <w:jc w:val="center"/>
              <w:rPr>
                <w:rFonts w:hint="default" w:ascii="Times New Roman" w:hAnsi="Times New Roman" w:cs="Times New Roman"/>
                <w:color w:val="auto"/>
                <w:sz w:val="24"/>
                <w:szCs w:val="24"/>
                <w:highlight w:val="none"/>
              </w:rPr>
            </w:pPr>
          </w:p>
        </w:tc>
        <w:tc>
          <w:tcPr>
            <w:tcW w:w="1500" w:type="dxa"/>
            <w:vMerge w:val="continue"/>
            <w:vAlign w:val="center"/>
          </w:tcPr>
          <w:p>
            <w:pPr>
              <w:spacing w:line="100" w:lineRule="atLeast"/>
              <w:jc w:val="center"/>
              <w:rPr>
                <w:rFonts w:hint="default" w:ascii="Times New Roman" w:hAnsi="Times New Roman" w:cs="Times New Roman"/>
                <w:color w:val="auto"/>
                <w:sz w:val="24"/>
                <w:szCs w:val="24"/>
                <w:highlight w:val="none"/>
              </w:rPr>
            </w:pPr>
          </w:p>
        </w:tc>
        <w:tc>
          <w:tcPr>
            <w:tcW w:w="1420" w:type="dxa"/>
            <w:vAlign w:val="center"/>
          </w:tcPr>
          <w:p>
            <w:pPr>
              <w:jc w:val="center"/>
              <w:rPr>
                <w:rFonts w:hint="default" w:ascii="Times New Roman" w:hAnsi="Times New Roman" w:cs="Times New Roman"/>
                <w:color w:val="FF0000"/>
                <w:sz w:val="24"/>
                <w:szCs w:val="24"/>
                <w:highlight w:val="none"/>
              </w:rPr>
            </w:pPr>
            <w:r>
              <w:rPr>
                <w:rFonts w:hint="default" w:ascii="Times New Roman" w:hAnsi="Times New Roman" w:cs="Times New Roman"/>
                <w:color w:val="FF0000"/>
                <w:sz w:val="24"/>
                <w:szCs w:val="24"/>
                <w:highlight w:val="none"/>
                <w:lang w:eastAsia="zh-CN"/>
              </w:rPr>
              <w:t>汞及其化合物</w:t>
            </w:r>
          </w:p>
        </w:tc>
        <w:tc>
          <w:tcPr>
            <w:tcW w:w="1705" w:type="dxa"/>
            <w:vAlign w:val="center"/>
          </w:tcPr>
          <w:p>
            <w:pPr>
              <w:jc w:val="center"/>
              <w:rPr>
                <w:rFonts w:hint="eastAsia" w:cs="Times New Roman"/>
                <w:bCs w:val="0"/>
                <w:color w:val="FF0000"/>
                <w:sz w:val="24"/>
                <w:szCs w:val="24"/>
                <w:highlight w:val="none"/>
                <w:lang w:val="en-US" w:eastAsia="zh-CN"/>
              </w:rPr>
            </w:pPr>
            <w:r>
              <w:rPr>
                <w:rFonts w:hint="eastAsia" w:cs="Times New Roman"/>
                <w:bCs w:val="0"/>
                <w:color w:val="FF0000"/>
                <w:sz w:val="24"/>
                <w:szCs w:val="24"/>
                <w:highlight w:val="none"/>
                <w:lang w:val="en-US" w:eastAsia="zh-CN"/>
              </w:rPr>
              <w:t>0.011</w:t>
            </w:r>
            <w:r>
              <w:rPr>
                <w:rFonts w:hint="default" w:ascii="Times New Roman" w:hAnsi="Times New Roman" w:cs="Times New Roman"/>
                <w:color w:val="FF0000"/>
                <w:sz w:val="24"/>
                <w:szCs w:val="24"/>
                <w:highlight w:val="none"/>
              </w:rPr>
              <w:t>mg/m</w:t>
            </w:r>
            <w:r>
              <w:rPr>
                <w:rFonts w:hint="default" w:ascii="Times New Roman" w:hAnsi="Times New Roman" w:cs="Times New Roman"/>
                <w:color w:val="FF0000"/>
                <w:sz w:val="24"/>
                <w:szCs w:val="24"/>
                <w:highlight w:val="none"/>
                <w:vertAlign w:val="superscript"/>
              </w:rPr>
              <w:t>3</w:t>
            </w:r>
          </w:p>
        </w:tc>
        <w:tc>
          <w:tcPr>
            <w:tcW w:w="1286" w:type="dxa"/>
            <w:vAlign w:val="center"/>
          </w:tcPr>
          <w:p>
            <w:pPr>
              <w:jc w:val="center"/>
              <w:rPr>
                <w:rFonts w:hint="eastAsia" w:cs="Times New Roman"/>
                <w:bCs w:val="0"/>
                <w:color w:val="FF0000"/>
                <w:sz w:val="24"/>
                <w:szCs w:val="24"/>
                <w:highlight w:val="none"/>
                <w:lang w:val="en-US" w:eastAsia="zh-CN"/>
              </w:rPr>
            </w:pPr>
            <w:r>
              <w:rPr>
                <w:rFonts w:hint="eastAsia" w:cs="Times New Roman"/>
                <w:bCs w:val="0"/>
                <w:color w:val="FF0000"/>
                <w:sz w:val="24"/>
                <w:szCs w:val="24"/>
                <w:highlight w:val="none"/>
                <w:lang w:val="en-US" w:eastAsia="zh-CN"/>
              </w:rPr>
              <w:t>0.0013</w:t>
            </w:r>
            <w:r>
              <w:rPr>
                <w:rFonts w:hint="default" w:ascii="Times New Roman" w:hAnsi="Times New Roman" w:cs="Times New Roman"/>
                <w:color w:val="FF0000"/>
                <w:sz w:val="24"/>
                <w:szCs w:val="24"/>
                <w:highlight w:val="none"/>
              </w:rPr>
              <w:t>t/a</w:t>
            </w:r>
          </w:p>
        </w:tc>
        <w:tc>
          <w:tcPr>
            <w:tcW w:w="1509" w:type="dxa"/>
            <w:vAlign w:val="center"/>
          </w:tcPr>
          <w:p>
            <w:pPr>
              <w:jc w:val="center"/>
              <w:rPr>
                <w:rFonts w:hint="eastAsia" w:cs="Times New Roman"/>
                <w:bCs w:val="0"/>
                <w:color w:val="FF0000"/>
                <w:sz w:val="24"/>
                <w:szCs w:val="24"/>
                <w:highlight w:val="none"/>
                <w:lang w:val="en-US" w:eastAsia="zh-CN"/>
              </w:rPr>
            </w:pPr>
            <w:r>
              <w:rPr>
                <w:rFonts w:hint="eastAsia" w:cs="Times New Roman"/>
                <w:bCs w:val="0"/>
                <w:color w:val="FF0000"/>
                <w:sz w:val="24"/>
                <w:szCs w:val="24"/>
                <w:highlight w:val="none"/>
                <w:lang w:val="en-US" w:eastAsia="zh-CN"/>
              </w:rPr>
              <w:t>0.007</w:t>
            </w:r>
            <w:r>
              <w:rPr>
                <w:rFonts w:hint="default" w:ascii="Times New Roman" w:hAnsi="Times New Roman" w:cs="Times New Roman"/>
                <w:color w:val="FF0000"/>
                <w:sz w:val="24"/>
                <w:szCs w:val="24"/>
                <w:highlight w:val="none"/>
              </w:rPr>
              <w:t>mg/m</w:t>
            </w:r>
            <w:r>
              <w:rPr>
                <w:rFonts w:hint="default" w:ascii="Times New Roman" w:hAnsi="Times New Roman" w:cs="Times New Roman"/>
                <w:color w:val="FF0000"/>
                <w:sz w:val="24"/>
                <w:szCs w:val="24"/>
                <w:highlight w:val="none"/>
                <w:vertAlign w:val="superscript"/>
              </w:rPr>
              <w:t>3</w:t>
            </w:r>
          </w:p>
        </w:tc>
        <w:tc>
          <w:tcPr>
            <w:tcW w:w="1128" w:type="dxa"/>
            <w:vAlign w:val="center"/>
          </w:tcPr>
          <w:p>
            <w:pPr>
              <w:jc w:val="center"/>
              <w:rPr>
                <w:rFonts w:hint="eastAsia" w:cs="Times New Roman"/>
                <w:bCs w:val="0"/>
                <w:color w:val="FF0000"/>
                <w:sz w:val="24"/>
                <w:szCs w:val="24"/>
                <w:highlight w:val="none"/>
                <w:lang w:val="en-US" w:eastAsia="zh-CN"/>
              </w:rPr>
            </w:pPr>
            <w:r>
              <w:rPr>
                <w:rFonts w:hint="eastAsia" w:cs="Times New Roman"/>
                <w:bCs w:val="0"/>
                <w:color w:val="FF0000"/>
                <w:sz w:val="24"/>
                <w:szCs w:val="24"/>
                <w:highlight w:val="none"/>
                <w:lang w:val="en-US" w:eastAsia="zh-CN"/>
              </w:rPr>
              <w:t>0.0009</w:t>
            </w:r>
            <w:r>
              <w:rPr>
                <w:rFonts w:hint="default" w:ascii="Times New Roman" w:hAnsi="Times New Roman" w:cs="Times New Roman"/>
                <w:color w:val="FF0000"/>
                <w:sz w:val="24"/>
                <w:szCs w:val="24"/>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3" w:hRule="atLeast"/>
        </w:trPr>
        <w:tc>
          <w:tcPr>
            <w:tcW w:w="1055" w:type="dxa"/>
            <w:vMerge w:val="continue"/>
            <w:vAlign w:val="center"/>
          </w:tcPr>
          <w:p>
            <w:pPr>
              <w:spacing w:line="100" w:lineRule="atLeast"/>
              <w:jc w:val="center"/>
              <w:rPr>
                <w:rFonts w:hint="default" w:ascii="Times New Roman" w:hAnsi="Times New Roman" w:cs="Times New Roman"/>
                <w:color w:val="auto"/>
                <w:sz w:val="24"/>
                <w:szCs w:val="24"/>
                <w:highlight w:val="none"/>
              </w:rPr>
            </w:pPr>
          </w:p>
        </w:tc>
        <w:tc>
          <w:tcPr>
            <w:tcW w:w="1500" w:type="dxa"/>
            <w:vMerge w:val="continue"/>
            <w:vAlign w:val="center"/>
          </w:tcPr>
          <w:p>
            <w:pPr>
              <w:spacing w:line="100" w:lineRule="atLeast"/>
              <w:jc w:val="center"/>
              <w:rPr>
                <w:rFonts w:hint="default" w:ascii="Times New Roman" w:hAnsi="Times New Roman" w:cs="Times New Roman"/>
                <w:color w:val="auto"/>
                <w:sz w:val="24"/>
                <w:szCs w:val="24"/>
                <w:highlight w:val="none"/>
              </w:rPr>
            </w:pPr>
          </w:p>
        </w:tc>
        <w:tc>
          <w:tcPr>
            <w:tcW w:w="1420" w:type="dxa"/>
            <w:vAlign w:val="center"/>
          </w:tcPr>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NO</w:t>
            </w:r>
            <w:r>
              <w:rPr>
                <w:rFonts w:hint="default" w:ascii="Times New Roman" w:hAnsi="Times New Roman" w:cs="Times New Roman"/>
                <w:color w:val="auto"/>
                <w:sz w:val="24"/>
                <w:szCs w:val="24"/>
                <w:highlight w:val="none"/>
                <w:vertAlign w:val="subscript"/>
              </w:rPr>
              <w:t>x</w:t>
            </w:r>
          </w:p>
        </w:tc>
        <w:tc>
          <w:tcPr>
            <w:tcW w:w="1705"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180</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p>
        </w:tc>
        <w:tc>
          <w:tcPr>
            <w:tcW w:w="1286"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22.14</w:t>
            </w:r>
            <w:r>
              <w:rPr>
                <w:rFonts w:hint="default" w:ascii="Times New Roman" w:hAnsi="Times New Roman" w:cs="Times New Roman"/>
                <w:color w:val="auto"/>
                <w:sz w:val="24"/>
                <w:szCs w:val="24"/>
                <w:highlight w:val="none"/>
              </w:rPr>
              <w:t>t/a</w:t>
            </w:r>
          </w:p>
        </w:tc>
        <w:tc>
          <w:tcPr>
            <w:tcW w:w="1509"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90</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p>
        </w:tc>
        <w:tc>
          <w:tcPr>
            <w:tcW w:w="1128"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11.07</w:t>
            </w:r>
            <w:r>
              <w:rPr>
                <w:rFonts w:hint="default" w:ascii="Times New Roman" w:hAnsi="Times New Roman" w:cs="Times New Roman"/>
                <w:color w:val="auto"/>
                <w:sz w:val="24"/>
                <w:szCs w:val="24"/>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055" w:type="dxa"/>
            <w:vMerge w:val="continue"/>
            <w:vAlign w:val="center"/>
          </w:tcPr>
          <w:p>
            <w:pPr>
              <w:spacing w:line="100" w:lineRule="atLeast"/>
              <w:jc w:val="center"/>
              <w:rPr>
                <w:rFonts w:hint="default" w:ascii="Times New Roman" w:hAnsi="Times New Roman" w:cs="Times New Roman"/>
                <w:color w:val="auto"/>
                <w:sz w:val="24"/>
                <w:szCs w:val="24"/>
                <w:highlight w:val="none"/>
              </w:rPr>
            </w:pPr>
          </w:p>
        </w:tc>
        <w:tc>
          <w:tcPr>
            <w:tcW w:w="1500" w:type="dxa"/>
            <w:vMerge w:val="continue"/>
            <w:vAlign w:val="center"/>
          </w:tcPr>
          <w:p>
            <w:pPr>
              <w:spacing w:line="100" w:lineRule="atLeast"/>
              <w:jc w:val="center"/>
              <w:rPr>
                <w:rFonts w:hint="default" w:ascii="Times New Roman" w:hAnsi="Times New Roman" w:cs="Times New Roman"/>
                <w:color w:val="auto"/>
                <w:sz w:val="24"/>
                <w:szCs w:val="24"/>
                <w:highlight w:val="none"/>
              </w:rPr>
            </w:pPr>
          </w:p>
        </w:tc>
        <w:tc>
          <w:tcPr>
            <w:tcW w:w="1420" w:type="dxa"/>
            <w:vAlign w:val="center"/>
          </w:tcPr>
          <w:p>
            <w:pPr>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颗粒物</w:t>
            </w:r>
          </w:p>
        </w:tc>
        <w:tc>
          <w:tcPr>
            <w:tcW w:w="1705"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11845.5</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p>
        </w:tc>
        <w:tc>
          <w:tcPr>
            <w:tcW w:w="1286"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1457</w:t>
            </w:r>
            <w:r>
              <w:rPr>
                <w:rFonts w:hint="default" w:ascii="Times New Roman" w:hAnsi="Times New Roman" w:cs="Times New Roman"/>
                <w:color w:val="auto"/>
                <w:sz w:val="24"/>
                <w:szCs w:val="24"/>
                <w:highlight w:val="none"/>
              </w:rPr>
              <w:t>t/a</w:t>
            </w:r>
          </w:p>
        </w:tc>
        <w:tc>
          <w:tcPr>
            <w:tcW w:w="1509"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11.85</w:t>
            </w:r>
            <w:r>
              <w:rPr>
                <w:rFonts w:hint="default" w:ascii="Times New Roman" w:hAnsi="Times New Roman" w:cs="Times New Roman"/>
                <w:color w:val="auto"/>
                <w:sz w:val="24"/>
                <w:szCs w:val="24"/>
                <w:highlight w:val="none"/>
              </w:rPr>
              <w:t>mg/m</w:t>
            </w:r>
            <w:r>
              <w:rPr>
                <w:rFonts w:hint="default" w:ascii="Times New Roman" w:hAnsi="Times New Roman" w:cs="Times New Roman"/>
                <w:color w:val="auto"/>
                <w:sz w:val="24"/>
                <w:szCs w:val="24"/>
                <w:highlight w:val="none"/>
                <w:vertAlign w:val="superscript"/>
              </w:rPr>
              <w:t>3</w:t>
            </w:r>
          </w:p>
        </w:tc>
        <w:tc>
          <w:tcPr>
            <w:tcW w:w="1128" w:type="dxa"/>
            <w:vAlign w:val="center"/>
          </w:tcPr>
          <w:p>
            <w:pPr>
              <w:jc w:val="center"/>
              <w:rPr>
                <w:rFonts w:hint="default" w:ascii="Times New Roman" w:hAnsi="Times New Roman" w:cs="Times New Roman"/>
                <w:color w:val="auto"/>
                <w:sz w:val="24"/>
                <w:szCs w:val="24"/>
                <w:highlight w:val="none"/>
              </w:rPr>
            </w:pPr>
            <w:r>
              <w:rPr>
                <w:rFonts w:hint="eastAsia" w:cs="Times New Roman"/>
                <w:bCs w:val="0"/>
                <w:color w:val="auto"/>
                <w:sz w:val="24"/>
                <w:szCs w:val="24"/>
                <w:highlight w:val="none"/>
                <w:lang w:val="en-US" w:eastAsia="zh-CN"/>
              </w:rPr>
              <w:t>1.457</w:t>
            </w:r>
            <w:r>
              <w:rPr>
                <w:rFonts w:hint="default" w:ascii="Times New Roman" w:hAnsi="Times New Roman" w:cs="Times New Roman"/>
                <w:color w:val="auto"/>
                <w:sz w:val="24"/>
                <w:szCs w:val="24"/>
                <w:highlight w:val="none"/>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20" w:hRule="atLeast"/>
        </w:trPr>
        <w:tc>
          <w:tcPr>
            <w:tcW w:w="1055" w:type="dxa"/>
            <w:vMerge w:val="continue"/>
            <w:vAlign w:val="center"/>
          </w:tcPr>
          <w:p>
            <w:pPr>
              <w:spacing w:line="100" w:lineRule="atLeast"/>
              <w:jc w:val="center"/>
              <w:rPr>
                <w:rFonts w:hint="default" w:ascii="Times New Roman" w:hAnsi="Times New Roman" w:cs="Times New Roman"/>
                <w:color w:val="auto"/>
                <w:sz w:val="24"/>
                <w:szCs w:val="24"/>
                <w:highlight w:val="none"/>
              </w:rPr>
            </w:pPr>
          </w:p>
        </w:tc>
        <w:tc>
          <w:tcPr>
            <w:tcW w:w="1500" w:type="dxa"/>
            <w:vAlign w:val="center"/>
          </w:tcPr>
          <w:p>
            <w:pPr>
              <w:spacing w:line="100" w:lineRule="atLeast"/>
              <w:jc w:val="center"/>
              <w:rPr>
                <w:rFonts w:hint="default" w:ascii="Times New Roman" w:hAnsi="Times New Roman" w:eastAsia="宋体" w:cs="Times New Roman"/>
                <w:color w:val="FF0000"/>
                <w:sz w:val="24"/>
                <w:szCs w:val="24"/>
                <w:highlight w:val="none"/>
                <w:lang w:val="en-US" w:eastAsia="zh-CN"/>
              </w:rPr>
            </w:pPr>
            <w:r>
              <w:rPr>
                <w:rFonts w:hint="eastAsia" w:cs="Times New Roman"/>
                <w:color w:val="FF0000"/>
                <w:sz w:val="24"/>
                <w:szCs w:val="24"/>
                <w:highlight w:val="none"/>
                <w:lang w:val="en-US" w:eastAsia="zh-CN"/>
              </w:rPr>
              <w:t>SNCR系统</w:t>
            </w:r>
          </w:p>
        </w:tc>
        <w:tc>
          <w:tcPr>
            <w:tcW w:w="1420" w:type="dxa"/>
            <w:vAlign w:val="center"/>
          </w:tcPr>
          <w:p>
            <w:pPr>
              <w:jc w:val="center"/>
              <w:rPr>
                <w:rFonts w:hint="eastAsia" w:ascii="Times New Roman" w:hAnsi="Times New Roman" w:eastAsia="宋体" w:cs="Times New Roman"/>
                <w:color w:val="FF0000"/>
                <w:sz w:val="24"/>
                <w:szCs w:val="24"/>
                <w:highlight w:val="none"/>
                <w:lang w:eastAsia="zh-CN"/>
              </w:rPr>
            </w:pPr>
            <w:r>
              <w:rPr>
                <w:rFonts w:hint="eastAsia" w:cs="Times New Roman"/>
                <w:color w:val="FF0000"/>
                <w:sz w:val="24"/>
                <w:szCs w:val="24"/>
                <w:highlight w:val="none"/>
                <w:lang w:eastAsia="zh-CN"/>
              </w:rPr>
              <w:t>氨</w:t>
            </w:r>
          </w:p>
        </w:tc>
        <w:tc>
          <w:tcPr>
            <w:tcW w:w="1705" w:type="dxa"/>
            <w:vAlign w:val="center"/>
          </w:tcPr>
          <w:p>
            <w:pPr>
              <w:jc w:val="center"/>
              <w:rPr>
                <w:rFonts w:hint="default" w:cs="Times New Roman"/>
                <w:bCs w:val="0"/>
                <w:color w:val="FF0000"/>
                <w:sz w:val="24"/>
                <w:szCs w:val="24"/>
                <w:highlight w:val="none"/>
                <w:lang w:val="en-US" w:eastAsia="zh-CN"/>
              </w:rPr>
            </w:pPr>
            <w:r>
              <w:rPr>
                <w:rFonts w:hint="eastAsia" w:cs="Times New Roman"/>
                <w:bCs w:val="0"/>
                <w:color w:val="FF0000"/>
                <w:sz w:val="24"/>
                <w:szCs w:val="24"/>
                <w:highlight w:val="none"/>
                <w:lang w:val="en-US" w:eastAsia="zh-CN"/>
              </w:rPr>
              <w:t>2.28</w:t>
            </w:r>
            <w:r>
              <w:rPr>
                <w:rFonts w:hint="default" w:ascii="Times New Roman" w:hAnsi="Times New Roman" w:cs="Times New Roman"/>
                <w:color w:val="FF0000"/>
                <w:sz w:val="24"/>
                <w:szCs w:val="24"/>
                <w:highlight w:val="none"/>
              </w:rPr>
              <w:t>mg/m</w:t>
            </w:r>
            <w:r>
              <w:rPr>
                <w:rFonts w:hint="default" w:ascii="Times New Roman" w:hAnsi="Times New Roman" w:cs="Times New Roman"/>
                <w:color w:val="FF0000"/>
                <w:sz w:val="24"/>
                <w:szCs w:val="24"/>
                <w:highlight w:val="none"/>
                <w:vertAlign w:val="superscript"/>
              </w:rPr>
              <w:t>3</w:t>
            </w:r>
          </w:p>
        </w:tc>
        <w:tc>
          <w:tcPr>
            <w:tcW w:w="1286" w:type="dxa"/>
            <w:vAlign w:val="center"/>
          </w:tcPr>
          <w:p>
            <w:pPr>
              <w:jc w:val="center"/>
              <w:rPr>
                <w:rFonts w:hint="default" w:cs="Times New Roman"/>
                <w:bCs w:val="0"/>
                <w:color w:val="FF0000"/>
                <w:sz w:val="24"/>
                <w:szCs w:val="24"/>
                <w:highlight w:val="none"/>
                <w:lang w:val="en-US" w:eastAsia="zh-CN"/>
              </w:rPr>
            </w:pPr>
            <w:r>
              <w:rPr>
                <w:rFonts w:hint="eastAsia" w:cs="Times New Roman"/>
                <w:bCs w:val="0"/>
                <w:color w:val="FF0000"/>
                <w:sz w:val="24"/>
                <w:szCs w:val="24"/>
                <w:highlight w:val="none"/>
                <w:lang w:val="en-US" w:eastAsia="zh-CN"/>
              </w:rPr>
              <w:t>-</w:t>
            </w:r>
          </w:p>
        </w:tc>
        <w:tc>
          <w:tcPr>
            <w:tcW w:w="1509" w:type="dxa"/>
            <w:vAlign w:val="center"/>
          </w:tcPr>
          <w:p>
            <w:pPr>
              <w:jc w:val="center"/>
              <w:rPr>
                <w:rFonts w:hint="default" w:cs="Times New Roman"/>
                <w:bCs w:val="0"/>
                <w:color w:val="FF0000"/>
                <w:sz w:val="24"/>
                <w:szCs w:val="24"/>
                <w:highlight w:val="none"/>
                <w:lang w:val="en-US" w:eastAsia="zh-CN"/>
              </w:rPr>
            </w:pPr>
            <w:r>
              <w:rPr>
                <w:rFonts w:hint="eastAsia" w:cs="Times New Roman"/>
                <w:bCs w:val="0"/>
                <w:color w:val="FF0000"/>
                <w:sz w:val="24"/>
                <w:szCs w:val="24"/>
                <w:highlight w:val="none"/>
                <w:lang w:val="en-US" w:eastAsia="zh-CN"/>
              </w:rPr>
              <w:t>2.28</w:t>
            </w:r>
            <w:r>
              <w:rPr>
                <w:rFonts w:hint="default" w:ascii="Times New Roman" w:hAnsi="Times New Roman" w:cs="Times New Roman"/>
                <w:color w:val="FF0000"/>
                <w:sz w:val="24"/>
                <w:szCs w:val="24"/>
                <w:highlight w:val="none"/>
              </w:rPr>
              <w:t>mg/m</w:t>
            </w:r>
            <w:r>
              <w:rPr>
                <w:rFonts w:hint="default" w:ascii="Times New Roman" w:hAnsi="Times New Roman" w:cs="Times New Roman"/>
                <w:color w:val="FF0000"/>
                <w:sz w:val="24"/>
                <w:szCs w:val="24"/>
                <w:highlight w:val="none"/>
                <w:vertAlign w:val="superscript"/>
              </w:rPr>
              <w:t>3</w:t>
            </w:r>
          </w:p>
        </w:tc>
        <w:tc>
          <w:tcPr>
            <w:tcW w:w="1128" w:type="dxa"/>
            <w:vAlign w:val="center"/>
          </w:tcPr>
          <w:p>
            <w:pPr>
              <w:jc w:val="center"/>
              <w:rPr>
                <w:rFonts w:hint="default" w:cs="Times New Roman"/>
                <w:bCs w:val="0"/>
                <w:color w:val="FF0000"/>
                <w:sz w:val="24"/>
                <w:szCs w:val="24"/>
                <w:highlight w:val="none"/>
                <w:lang w:val="en-US" w:eastAsia="zh-CN"/>
              </w:rPr>
            </w:pPr>
            <w:r>
              <w:rPr>
                <w:rFonts w:hint="eastAsia" w:cs="Times New Roman"/>
                <w:bCs w:val="0"/>
                <w:color w:val="FF0000"/>
                <w:sz w:val="24"/>
                <w:szCs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17" w:hRule="atLeast"/>
        </w:trPr>
        <w:tc>
          <w:tcPr>
            <w:tcW w:w="1055" w:type="dxa"/>
            <w:vMerge w:val="restart"/>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固</w:t>
            </w:r>
          </w:p>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体</w:t>
            </w:r>
          </w:p>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废</w:t>
            </w:r>
          </w:p>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物</w:t>
            </w:r>
          </w:p>
        </w:tc>
        <w:tc>
          <w:tcPr>
            <w:tcW w:w="1500" w:type="dxa"/>
            <w:vMerge w:val="restart"/>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锅炉</w:t>
            </w:r>
          </w:p>
        </w:tc>
        <w:tc>
          <w:tcPr>
            <w:tcW w:w="1420" w:type="dxa"/>
            <w:tcBorders>
              <w:top w:val="single" w:color="auto" w:sz="2" w:space="0"/>
            </w:tcBorders>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脱硫副产物</w:t>
            </w:r>
          </w:p>
        </w:tc>
        <w:tc>
          <w:tcPr>
            <w:tcW w:w="2991" w:type="dxa"/>
            <w:gridSpan w:val="2"/>
            <w:tcBorders>
              <w:top w:val="single" w:color="auto" w:sz="2" w:space="0"/>
            </w:tcBorders>
            <w:vAlign w:val="center"/>
          </w:tcPr>
          <w:p>
            <w:pPr>
              <w:spacing w:line="100" w:lineRule="atLeast"/>
              <w:jc w:val="center"/>
              <w:rPr>
                <w:rFonts w:hint="default" w:ascii="Times New Roman" w:hAnsi="Times New Roman" w:cs="Times New Roman"/>
                <w:color w:val="auto"/>
                <w:sz w:val="24"/>
                <w:szCs w:val="24"/>
                <w:highlight w:val="none"/>
              </w:rPr>
            </w:pPr>
            <w:r>
              <w:rPr>
                <w:rFonts w:hint="eastAsia" w:cs="Times New Roman"/>
                <w:color w:val="auto"/>
                <w:sz w:val="24"/>
                <w:szCs w:val="24"/>
                <w:highlight w:val="none"/>
                <w:lang w:val="en-US" w:eastAsia="zh-CN"/>
              </w:rPr>
              <w:t>91.43</w:t>
            </w:r>
            <w:r>
              <w:rPr>
                <w:rFonts w:hint="default" w:ascii="Times New Roman" w:hAnsi="Times New Roman" w:cs="Times New Roman"/>
                <w:color w:val="auto"/>
                <w:sz w:val="24"/>
                <w:szCs w:val="24"/>
                <w:highlight w:val="none"/>
              </w:rPr>
              <w:t>t/a</w:t>
            </w:r>
          </w:p>
        </w:tc>
        <w:tc>
          <w:tcPr>
            <w:tcW w:w="2637" w:type="dxa"/>
            <w:gridSpan w:val="2"/>
            <w:vMerge w:val="restart"/>
            <w:tcBorders>
              <w:top w:val="single" w:color="auto" w:sz="2" w:space="0"/>
            </w:tcBorders>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统一收集外售综合利用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4" w:hRule="atLeast"/>
        </w:trPr>
        <w:tc>
          <w:tcPr>
            <w:tcW w:w="1055" w:type="dxa"/>
            <w:vMerge w:val="continue"/>
            <w:vAlign w:val="center"/>
          </w:tcPr>
          <w:p>
            <w:pPr>
              <w:spacing w:line="100" w:lineRule="atLeast"/>
              <w:jc w:val="center"/>
              <w:rPr>
                <w:rFonts w:hint="default" w:ascii="Times New Roman" w:hAnsi="Times New Roman" w:cs="Times New Roman"/>
                <w:color w:val="auto"/>
                <w:sz w:val="24"/>
                <w:szCs w:val="24"/>
                <w:highlight w:val="none"/>
              </w:rPr>
            </w:pPr>
          </w:p>
        </w:tc>
        <w:tc>
          <w:tcPr>
            <w:tcW w:w="1500" w:type="dxa"/>
            <w:vMerge w:val="continue"/>
            <w:vAlign w:val="center"/>
          </w:tcPr>
          <w:p>
            <w:pPr>
              <w:spacing w:line="100" w:lineRule="atLeast"/>
              <w:jc w:val="center"/>
              <w:rPr>
                <w:rFonts w:hint="default" w:ascii="Times New Roman" w:hAnsi="Times New Roman" w:cs="Times New Roman"/>
                <w:color w:val="auto"/>
                <w:sz w:val="24"/>
                <w:szCs w:val="24"/>
                <w:highlight w:val="none"/>
              </w:rPr>
            </w:pPr>
          </w:p>
        </w:tc>
        <w:tc>
          <w:tcPr>
            <w:tcW w:w="1420" w:type="dxa"/>
            <w:tcBorders>
              <w:top w:val="single" w:color="auto" w:sz="2" w:space="0"/>
            </w:tcBorders>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布袋除尘器收集粉尘</w:t>
            </w:r>
          </w:p>
        </w:tc>
        <w:tc>
          <w:tcPr>
            <w:tcW w:w="2991" w:type="dxa"/>
            <w:gridSpan w:val="2"/>
            <w:tcBorders>
              <w:top w:val="single" w:color="auto" w:sz="2" w:space="0"/>
            </w:tcBorders>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val="en-US" w:eastAsia="zh-CN"/>
              </w:rPr>
              <w:t>1455.543</w:t>
            </w:r>
            <w:r>
              <w:rPr>
                <w:rFonts w:hint="default" w:ascii="Times New Roman" w:hAnsi="Times New Roman" w:cs="Times New Roman"/>
                <w:color w:val="auto"/>
                <w:sz w:val="24"/>
                <w:szCs w:val="24"/>
                <w:highlight w:val="none"/>
              </w:rPr>
              <w:t>t/a</w:t>
            </w:r>
          </w:p>
        </w:tc>
        <w:tc>
          <w:tcPr>
            <w:tcW w:w="2637" w:type="dxa"/>
            <w:gridSpan w:val="2"/>
            <w:vMerge w:val="continue"/>
            <w:vAlign w:val="center"/>
          </w:tcPr>
          <w:p>
            <w:pPr>
              <w:spacing w:line="100" w:lineRule="atLeast"/>
              <w:jc w:val="center"/>
              <w:rPr>
                <w:rFonts w:hint="default" w:ascii="Times New Roman" w:hAnsi="Times New Roman" w:cs="Times New Roman"/>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7" w:hRule="atLeast"/>
        </w:trPr>
        <w:tc>
          <w:tcPr>
            <w:tcW w:w="1055" w:type="dxa"/>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噪声</w:t>
            </w:r>
          </w:p>
        </w:tc>
        <w:tc>
          <w:tcPr>
            <w:tcW w:w="1500" w:type="dxa"/>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生产噪声</w:t>
            </w:r>
          </w:p>
        </w:tc>
        <w:tc>
          <w:tcPr>
            <w:tcW w:w="1420" w:type="dxa"/>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噪声</w:t>
            </w:r>
          </w:p>
        </w:tc>
        <w:tc>
          <w:tcPr>
            <w:tcW w:w="2991" w:type="dxa"/>
            <w:gridSpan w:val="2"/>
            <w:vAlign w:val="center"/>
          </w:tcPr>
          <w:p>
            <w:pPr>
              <w:pStyle w:val="226"/>
              <w:spacing w:line="100" w:lineRule="atLeas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70-85dB（A）</w:t>
            </w:r>
          </w:p>
        </w:tc>
        <w:tc>
          <w:tcPr>
            <w:tcW w:w="2637" w:type="dxa"/>
            <w:gridSpan w:val="2"/>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昼间≤60dB(A)</w:t>
            </w:r>
          </w:p>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夜间≤50dB(A)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5" w:hRule="atLeast"/>
        </w:trPr>
        <w:tc>
          <w:tcPr>
            <w:tcW w:w="1055" w:type="dxa"/>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水污染物</w:t>
            </w:r>
          </w:p>
        </w:tc>
        <w:tc>
          <w:tcPr>
            <w:tcW w:w="1500" w:type="dxa"/>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脱硫塔</w:t>
            </w:r>
          </w:p>
        </w:tc>
        <w:tc>
          <w:tcPr>
            <w:tcW w:w="1420" w:type="dxa"/>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脱硫废水</w:t>
            </w:r>
          </w:p>
        </w:tc>
        <w:tc>
          <w:tcPr>
            <w:tcW w:w="2991" w:type="dxa"/>
            <w:gridSpan w:val="2"/>
            <w:vAlign w:val="center"/>
          </w:tcPr>
          <w:p>
            <w:pPr>
              <w:pStyle w:val="226"/>
              <w:spacing w:line="100" w:lineRule="atLeast"/>
              <w:rPr>
                <w:rFonts w:hint="default" w:ascii="Times New Roman" w:hAnsi="Times New Roman" w:cs="Times New Roman"/>
                <w:color w:val="auto"/>
                <w:sz w:val="24"/>
                <w:szCs w:val="24"/>
                <w:highlight w:val="none"/>
                <w:lang w:val="en-US"/>
              </w:rPr>
            </w:pPr>
            <w:r>
              <w:rPr>
                <w:rFonts w:hint="eastAsia" w:cs="Times New Roman"/>
                <w:color w:val="auto"/>
                <w:sz w:val="24"/>
                <w:szCs w:val="24"/>
                <w:highlight w:val="none"/>
                <w:lang w:val="en-US" w:eastAsia="zh-CN"/>
              </w:rPr>
              <w:t>1080t/a</w:t>
            </w:r>
          </w:p>
        </w:tc>
        <w:tc>
          <w:tcPr>
            <w:tcW w:w="2637" w:type="dxa"/>
            <w:gridSpan w:val="2"/>
            <w:vAlign w:val="center"/>
          </w:tcPr>
          <w:p>
            <w:pPr>
              <w:spacing w:line="100" w:lineRule="atLeast"/>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混凝沉淀</w:t>
            </w:r>
            <w:r>
              <w:rPr>
                <w:rFonts w:hint="default" w:ascii="Times New Roman" w:hAnsi="Times New Roman" w:cs="Times New Roman"/>
                <w:color w:val="auto"/>
                <w:sz w:val="24"/>
                <w:szCs w:val="24"/>
                <w:highlight w:val="none"/>
              </w:rPr>
              <w:t>处理后循环利用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7059" w:hRule="atLeast"/>
        </w:trPr>
        <w:tc>
          <w:tcPr>
            <w:tcW w:w="9603" w:type="dxa"/>
            <w:gridSpan w:val="7"/>
          </w:tcPr>
          <w:p>
            <w:pPr>
              <w:spacing w:line="50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主要生态影响：</w:t>
            </w:r>
          </w:p>
          <w:p>
            <w:pPr>
              <w:spacing w:line="500" w:lineRule="exact"/>
              <w:ind w:firstLine="573"/>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本工程位于</w:t>
            </w:r>
            <w:r>
              <w:rPr>
                <w:rFonts w:hint="default" w:ascii="Times New Roman" w:hAnsi="Times New Roman" w:cs="Times New Roman"/>
                <w:bCs/>
                <w:color w:val="auto"/>
                <w:sz w:val="24"/>
                <w:szCs w:val="24"/>
                <w:highlight w:val="none"/>
              </w:rPr>
              <w:t>黑龙江省</w:t>
            </w:r>
            <w:r>
              <w:rPr>
                <w:rFonts w:hint="default" w:ascii="Times New Roman" w:hAnsi="Times New Roman" w:cs="Times New Roman"/>
                <w:bCs/>
                <w:color w:val="auto"/>
                <w:sz w:val="24"/>
                <w:szCs w:val="24"/>
                <w:highlight w:val="none"/>
                <w:lang w:eastAsia="zh-CN"/>
              </w:rPr>
              <w:t>江川农场供热中心</w:t>
            </w:r>
            <w:r>
              <w:rPr>
                <w:rFonts w:hint="default" w:ascii="Times New Roman" w:hAnsi="Times New Roman" w:cs="Times New Roman"/>
                <w:bCs/>
                <w:color w:val="auto"/>
                <w:sz w:val="24"/>
                <w:szCs w:val="24"/>
                <w:highlight w:val="none"/>
              </w:rPr>
              <w:t>院内</w:t>
            </w:r>
            <w:r>
              <w:rPr>
                <w:rFonts w:hint="default" w:ascii="Times New Roman" w:hAnsi="Times New Roman" w:cs="Times New Roman"/>
                <w:color w:val="auto"/>
                <w:sz w:val="24"/>
                <w:szCs w:val="24"/>
                <w:highlight w:val="none"/>
              </w:rPr>
              <w:t>，</w:t>
            </w:r>
            <w:r>
              <w:rPr>
                <w:rFonts w:hint="eastAsia" w:cs="Times New Roman"/>
                <w:color w:val="auto"/>
                <w:sz w:val="24"/>
                <w:szCs w:val="24"/>
                <w:highlight w:val="none"/>
                <w:lang w:eastAsia="zh-CN"/>
              </w:rPr>
              <w:t>利用</w:t>
            </w:r>
            <w:r>
              <w:rPr>
                <w:rFonts w:hint="default" w:ascii="Times New Roman" w:hAnsi="Times New Roman" w:cs="Times New Roman"/>
                <w:color w:val="auto"/>
                <w:sz w:val="24"/>
                <w:szCs w:val="24"/>
                <w:highlight w:val="none"/>
              </w:rPr>
              <w:t>原有锅炉房</w:t>
            </w:r>
            <w:r>
              <w:rPr>
                <w:rFonts w:hint="eastAsia" w:cs="Times New Roman"/>
                <w:color w:val="auto"/>
                <w:sz w:val="24"/>
                <w:szCs w:val="24"/>
                <w:highlight w:val="none"/>
                <w:lang w:eastAsia="zh-CN"/>
              </w:rPr>
              <w:t>及其他建筑物，不新增占地</w:t>
            </w:r>
            <w:r>
              <w:rPr>
                <w:rFonts w:hint="default" w:ascii="Times New Roman" w:hAnsi="Times New Roman" w:cs="Times New Roman"/>
                <w:color w:val="auto"/>
                <w:sz w:val="24"/>
                <w:szCs w:val="24"/>
                <w:highlight w:val="none"/>
              </w:rPr>
              <w:t>，不改变土地利用性质，不会对生态环境产生影响。</w:t>
            </w:r>
          </w:p>
          <w:p>
            <w:pPr>
              <w:spacing w:line="500" w:lineRule="exact"/>
              <w:rPr>
                <w:rFonts w:hint="default" w:ascii="Times New Roman" w:hAnsi="Times New Roman" w:cs="Times New Roman"/>
                <w:color w:val="auto"/>
                <w:sz w:val="24"/>
                <w:szCs w:val="24"/>
                <w:highlight w:val="none"/>
              </w:rPr>
            </w:pPr>
          </w:p>
          <w:p>
            <w:pPr>
              <w:spacing w:line="500" w:lineRule="exact"/>
              <w:rPr>
                <w:rFonts w:hint="default" w:ascii="Times New Roman" w:hAnsi="Times New Roman" w:cs="Times New Roman"/>
                <w:color w:val="auto"/>
                <w:sz w:val="24"/>
                <w:szCs w:val="24"/>
                <w:highlight w:val="none"/>
              </w:rPr>
            </w:pPr>
          </w:p>
        </w:tc>
      </w:tr>
    </w:tbl>
    <w:p>
      <w:pPr>
        <w:spacing w:line="480" w:lineRule="exact"/>
        <w:outlineLvl w:val="0"/>
        <w:rPr>
          <w:rFonts w:eastAsia="黑体"/>
          <w:color w:val="auto"/>
          <w:sz w:val="32"/>
          <w:szCs w:val="32"/>
          <w:highlight w:val="none"/>
        </w:rPr>
        <w:sectPr>
          <w:pgSz w:w="11907" w:h="16840"/>
          <w:pgMar w:top="141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spacing w:line="480" w:lineRule="exact"/>
        <w:outlineLvl w:val="0"/>
        <w:rPr>
          <w:rFonts w:eastAsia="黑体"/>
          <w:color w:val="auto"/>
          <w:sz w:val="32"/>
          <w:szCs w:val="32"/>
          <w:highlight w:val="none"/>
        </w:rPr>
      </w:pPr>
      <w:bookmarkStart w:id="36" w:name="_Toc19754"/>
      <w:r>
        <w:rPr>
          <w:rFonts w:hint="eastAsia" w:eastAsia="黑体"/>
          <w:color w:val="auto"/>
          <w:sz w:val="32"/>
          <w:szCs w:val="32"/>
          <w:highlight w:val="none"/>
          <w:lang w:eastAsia="zh-CN"/>
        </w:rPr>
        <w:t>七、</w:t>
      </w:r>
      <w:r>
        <w:rPr>
          <w:rFonts w:eastAsia="黑体"/>
          <w:color w:val="auto"/>
          <w:sz w:val="32"/>
          <w:szCs w:val="32"/>
          <w:highlight w:val="none"/>
        </w:rPr>
        <w:t>环境影响分析</w:t>
      </w:r>
      <w:bookmarkEnd w:id="36"/>
    </w:p>
    <w:tbl>
      <w:tblPr>
        <w:tblStyle w:val="36"/>
        <w:tblW w:w="9135"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898" w:hRule="atLeast"/>
        </w:trPr>
        <w:tc>
          <w:tcPr>
            <w:tcW w:w="9135" w:type="dxa"/>
          </w:tcPr>
          <w:p>
            <w:pPr>
              <w:pStyle w:val="140"/>
              <w:spacing w:beforeLines="0" w:afterLines="0" w:line="360" w:lineRule="auto"/>
              <w:ind w:firstLine="482"/>
              <w:rPr>
                <w:rFonts w:ascii="Times New Roman" w:hAnsi="宋体"/>
                <w:b/>
                <w:color w:val="auto"/>
                <w:highlight w:val="none"/>
              </w:rPr>
            </w:pPr>
            <w:r>
              <w:rPr>
                <w:rFonts w:hint="eastAsia" w:ascii="Times New Roman" w:hAnsi="宋体"/>
                <w:b/>
                <w:color w:val="auto"/>
                <w:highlight w:val="none"/>
              </w:rPr>
              <w:t>一、</w:t>
            </w:r>
            <w:r>
              <w:rPr>
                <w:rFonts w:ascii="Times New Roman" w:hAnsi="宋体"/>
                <w:b/>
                <w:color w:val="auto"/>
                <w:highlight w:val="none"/>
              </w:rPr>
              <w:t>施工期环境影响分析</w:t>
            </w:r>
          </w:p>
          <w:p>
            <w:pPr>
              <w:spacing w:line="500" w:lineRule="exact"/>
              <w:ind w:firstLine="480" w:firstLineChars="200"/>
              <w:jc w:val="both"/>
              <w:rPr>
                <w:rFonts w:ascii="Calibri" w:hAnsi="Calibri" w:eastAsia="宋体" w:cs="Times New Roman"/>
                <w:color w:val="auto"/>
                <w:sz w:val="24"/>
                <w:szCs w:val="24"/>
                <w:highlight w:val="none"/>
                <w:lang w:val="en-US" w:eastAsia="zh-CN" w:bidi="ar-SA"/>
              </w:rPr>
            </w:pPr>
            <w:r>
              <w:rPr>
                <w:rFonts w:ascii="Calibri" w:hAnsi="Calibri" w:eastAsia="宋体" w:cs="Times New Roman"/>
                <w:color w:val="auto"/>
                <w:sz w:val="24"/>
                <w:szCs w:val="24"/>
                <w:highlight w:val="none"/>
                <w:lang w:val="en-US" w:eastAsia="zh-CN" w:bidi="ar-SA"/>
              </w:rPr>
              <w:t>本项目施工期已经结束，施工期环境影响随着施工期结束而结束。本次环评不再进行施工期评价。</w:t>
            </w:r>
          </w:p>
          <w:p>
            <w:pPr>
              <w:spacing w:line="360" w:lineRule="auto"/>
              <w:ind w:firstLine="482" w:firstLineChars="200"/>
              <w:rPr>
                <w:b/>
                <w:bCs/>
                <w:color w:val="auto"/>
                <w:sz w:val="24"/>
                <w:highlight w:val="none"/>
              </w:rPr>
            </w:pPr>
            <w:r>
              <w:rPr>
                <w:rFonts w:hint="eastAsia"/>
                <w:b/>
                <w:bCs/>
                <w:color w:val="auto"/>
                <w:sz w:val="24"/>
                <w:highlight w:val="none"/>
              </w:rPr>
              <w:t>二、运营期环境影响分析</w:t>
            </w:r>
          </w:p>
          <w:p>
            <w:pPr>
              <w:spacing w:line="360" w:lineRule="auto"/>
              <w:ind w:firstLine="482" w:firstLineChars="200"/>
              <w:rPr>
                <w:b/>
                <w:color w:val="auto"/>
                <w:sz w:val="24"/>
                <w:highlight w:val="none"/>
              </w:rPr>
            </w:pPr>
            <w:r>
              <w:rPr>
                <w:rFonts w:hint="eastAsia"/>
                <w:b/>
                <w:color w:val="auto"/>
                <w:sz w:val="24"/>
                <w:highlight w:val="none"/>
              </w:rPr>
              <w:t>1、</w:t>
            </w:r>
            <w:r>
              <w:rPr>
                <w:b/>
                <w:color w:val="auto"/>
                <w:sz w:val="24"/>
                <w:highlight w:val="none"/>
              </w:rPr>
              <w:t>大气环境影响分析</w:t>
            </w:r>
          </w:p>
          <w:p>
            <w:pPr>
              <w:spacing w:line="360" w:lineRule="auto"/>
              <w:ind w:firstLine="480" w:firstLineChars="200"/>
              <w:rPr>
                <w:color w:val="auto"/>
                <w:sz w:val="24"/>
                <w:highlight w:val="none"/>
              </w:rPr>
            </w:pPr>
            <w:r>
              <w:rPr>
                <w:rFonts w:hint="eastAsia"/>
                <w:bCs/>
                <w:color w:val="auto"/>
                <w:sz w:val="24"/>
                <w:highlight w:val="none"/>
              </w:rPr>
              <w:t>运营期废气主要是锅炉烟气，锅炉烟气通过SNCR脱硝+</w:t>
            </w:r>
            <w:r>
              <w:rPr>
                <w:rFonts w:hint="eastAsia"/>
                <w:bCs/>
                <w:color w:val="auto"/>
                <w:sz w:val="24"/>
                <w:highlight w:val="none"/>
                <w:lang w:eastAsia="zh-CN"/>
              </w:rPr>
              <w:t>干式除尘器</w:t>
            </w:r>
            <w:r>
              <w:rPr>
                <w:rFonts w:hint="eastAsia"/>
                <w:bCs/>
                <w:color w:val="auto"/>
                <w:sz w:val="24"/>
                <w:highlight w:val="none"/>
                <w:lang w:val="en-US" w:eastAsia="zh-CN"/>
              </w:rPr>
              <w:t>+</w:t>
            </w:r>
            <w:r>
              <w:rPr>
                <w:rFonts w:hint="eastAsia"/>
                <w:bCs/>
                <w:color w:val="auto"/>
                <w:sz w:val="24"/>
                <w:highlight w:val="none"/>
              </w:rPr>
              <w:t>布袋除尘器+氧化镁脱硫法处理后通过</w:t>
            </w:r>
            <w:r>
              <w:rPr>
                <w:rFonts w:hint="eastAsia"/>
                <w:bCs/>
                <w:color w:val="auto"/>
                <w:sz w:val="24"/>
                <w:highlight w:val="none"/>
                <w:lang w:val="en-US" w:eastAsia="zh-CN"/>
              </w:rPr>
              <w:t>60</w:t>
            </w:r>
            <w:r>
              <w:rPr>
                <w:rFonts w:hint="eastAsia"/>
                <w:bCs/>
                <w:color w:val="auto"/>
                <w:sz w:val="24"/>
                <w:highlight w:val="none"/>
              </w:rPr>
              <w:t>m高的烟囱排放，除尘效率为99</w:t>
            </w:r>
            <w:r>
              <w:rPr>
                <w:rFonts w:hint="eastAsia"/>
                <w:bCs/>
                <w:color w:val="auto"/>
                <w:sz w:val="24"/>
                <w:highlight w:val="none"/>
                <w:lang w:val="en-US" w:eastAsia="zh-CN"/>
              </w:rPr>
              <w:t>.9</w:t>
            </w:r>
            <w:r>
              <w:rPr>
                <w:rFonts w:hint="eastAsia"/>
                <w:bCs/>
                <w:color w:val="auto"/>
                <w:sz w:val="24"/>
                <w:highlight w:val="none"/>
              </w:rPr>
              <w:t>%、脱硫效率为</w:t>
            </w:r>
            <w:r>
              <w:rPr>
                <w:rFonts w:hint="eastAsia"/>
                <w:bCs/>
                <w:color w:val="auto"/>
                <w:sz w:val="24"/>
                <w:highlight w:val="none"/>
                <w:lang w:val="en-US" w:eastAsia="zh-CN"/>
              </w:rPr>
              <w:t>8</w:t>
            </w:r>
            <w:r>
              <w:rPr>
                <w:rFonts w:hint="eastAsia"/>
                <w:bCs/>
                <w:color w:val="auto"/>
                <w:sz w:val="24"/>
                <w:highlight w:val="none"/>
              </w:rPr>
              <w:t>0%、脱硝效率为</w:t>
            </w:r>
            <w:r>
              <w:rPr>
                <w:rFonts w:hint="eastAsia"/>
                <w:bCs/>
                <w:color w:val="auto"/>
                <w:sz w:val="24"/>
                <w:highlight w:val="none"/>
                <w:lang w:val="en-US" w:eastAsia="zh-CN"/>
              </w:rPr>
              <w:t>5</w:t>
            </w:r>
            <w:r>
              <w:rPr>
                <w:rFonts w:hint="eastAsia"/>
                <w:bCs/>
                <w:color w:val="auto"/>
                <w:sz w:val="24"/>
                <w:highlight w:val="none"/>
              </w:rPr>
              <w:t>0%</w:t>
            </w:r>
            <w:r>
              <w:rPr>
                <w:rFonts w:hint="eastAsia"/>
                <w:color w:val="auto"/>
                <w:sz w:val="24"/>
                <w:highlight w:val="none"/>
              </w:rPr>
              <w:t>。各污染物排放浓度</w:t>
            </w:r>
            <w:r>
              <w:rPr>
                <w:rFonts w:hint="eastAsia"/>
                <w:color w:val="auto"/>
                <w:sz w:val="24"/>
                <w:szCs w:val="20"/>
                <w:highlight w:val="none"/>
              </w:rPr>
              <w:t>符合</w:t>
            </w:r>
            <w:r>
              <w:rPr>
                <w:rFonts w:hint="eastAsia"/>
                <w:color w:val="auto"/>
                <w:sz w:val="24"/>
                <w:highlight w:val="none"/>
              </w:rPr>
              <w:t>《锅炉大气污染物排放标准》（</w:t>
            </w:r>
            <w:r>
              <w:rPr>
                <w:color w:val="auto"/>
                <w:sz w:val="24"/>
                <w:highlight w:val="none"/>
              </w:rPr>
              <w:t>GB13271-2014</w:t>
            </w:r>
            <w:r>
              <w:rPr>
                <w:rFonts w:hint="eastAsia"/>
                <w:color w:val="auto"/>
                <w:sz w:val="24"/>
                <w:highlight w:val="none"/>
              </w:rPr>
              <w:t>）表</w:t>
            </w:r>
            <w:r>
              <w:rPr>
                <w:rFonts w:hint="eastAsia"/>
                <w:color w:val="auto"/>
                <w:sz w:val="24"/>
                <w:highlight w:val="none"/>
                <w:lang w:val="en-US" w:eastAsia="zh-CN"/>
              </w:rPr>
              <w:t>2</w:t>
            </w:r>
            <w:r>
              <w:rPr>
                <w:rFonts w:hint="eastAsia"/>
                <w:color w:val="auto"/>
                <w:sz w:val="24"/>
                <w:highlight w:val="none"/>
              </w:rPr>
              <w:t>要求，锅炉排放的大气污染物对周围环境空气影响较小。</w:t>
            </w:r>
          </w:p>
          <w:p>
            <w:pPr>
              <w:spacing w:line="360" w:lineRule="auto"/>
              <w:ind w:firstLine="480" w:firstLineChars="200"/>
              <w:rPr>
                <w:color w:val="auto"/>
                <w:sz w:val="24"/>
                <w:highlight w:val="none"/>
              </w:rPr>
            </w:pPr>
            <w:r>
              <w:rPr>
                <w:rFonts w:hint="eastAsia"/>
                <w:color w:val="auto"/>
                <w:sz w:val="24"/>
                <w:highlight w:val="none"/>
              </w:rPr>
              <w:t>根据《环境影响评价技术导则大气环境》（</w:t>
            </w:r>
            <w:r>
              <w:rPr>
                <w:color w:val="auto"/>
                <w:sz w:val="24"/>
                <w:highlight w:val="none"/>
              </w:rPr>
              <w:t>HJ2.2-2018</w:t>
            </w:r>
            <w:r>
              <w:rPr>
                <w:rFonts w:hint="eastAsia"/>
                <w:color w:val="auto"/>
                <w:sz w:val="24"/>
                <w:highlight w:val="none"/>
              </w:rPr>
              <w:t>）附录</w:t>
            </w:r>
            <w:r>
              <w:rPr>
                <w:color w:val="auto"/>
                <w:sz w:val="24"/>
                <w:highlight w:val="none"/>
              </w:rPr>
              <w:t>A</w:t>
            </w:r>
            <w:r>
              <w:rPr>
                <w:rFonts w:hint="eastAsia"/>
                <w:color w:val="auto"/>
                <w:sz w:val="24"/>
                <w:highlight w:val="none"/>
              </w:rPr>
              <w:t>推荐的估算模型计算本项目污染源的环境影响，按评价工作分级判据进行分级。</w:t>
            </w:r>
          </w:p>
          <w:p>
            <w:pPr>
              <w:spacing w:line="360" w:lineRule="auto"/>
              <w:ind w:firstLine="480" w:firstLineChars="200"/>
              <w:rPr>
                <w:color w:val="auto"/>
                <w:kern w:val="0"/>
                <w:sz w:val="24"/>
                <w:szCs w:val="20"/>
                <w:highlight w:val="none"/>
              </w:rPr>
            </w:pPr>
            <w:r>
              <w:rPr>
                <w:rFonts w:hint="eastAsia"/>
                <w:color w:val="auto"/>
                <w:kern w:val="0"/>
                <w:sz w:val="24"/>
                <w:szCs w:val="20"/>
                <w:highlight w:val="none"/>
              </w:rPr>
              <w:t>（</w:t>
            </w:r>
            <w:r>
              <w:rPr>
                <w:color w:val="auto"/>
                <w:kern w:val="0"/>
                <w:sz w:val="24"/>
                <w:szCs w:val="20"/>
                <w:highlight w:val="none"/>
              </w:rPr>
              <w:t>a</w:t>
            </w:r>
            <w:r>
              <w:rPr>
                <w:rFonts w:hint="eastAsia"/>
                <w:color w:val="auto"/>
                <w:kern w:val="0"/>
                <w:sz w:val="24"/>
                <w:szCs w:val="20"/>
                <w:highlight w:val="none"/>
              </w:rPr>
              <w:t>）模式中相关参数选取</w:t>
            </w:r>
          </w:p>
          <w:p>
            <w:pPr>
              <w:spacing w:line="360" w:lineRule="auto"/>
              <w:ind w:firstLine="480" w:firstLineChars="200"/>
              <w:rPr>
                <w:color w:val="auto"/>
                <w:kern w:val="0"/>
                <w:sz w:val="24"/>
                <w:szCs w:val="20"/>
                <w:highlight w:val="none"/>
              </w:rPr>
            </w:pPr>
            <w:r>
              <w:rPr>
                <w:rFonts w:hint="eastAsia"/>
                <w:color w:val="auto"/>
                <w:kern w:val="0"/>
                <w:sz w:val="24"/>
                <w:szCs w:val="20"/>
                <w:highlight w:val="none"/>
              </w:rPr>
              <w:t>模式中相关参数按《环境影响评价技术导则大气环境》（</w:t>
            </w:r>
            <w:r>
              <w:rPr>
                <w:color w:val="auto"/>
                <w:kern w:val="0"/>
                <w:sz w:val="24"/>
                <w:szCs w:val="20"/>
                <w:highlight w:val="none"/>
              </w:rPr>
              <w:t>HJ2.2-2018</w:t>
            </w:r>
            <w:r>
              <w:rPr>
                <w:rFonts w:hint="eastAsia"/>
                <w:color w:val="auto"/>
                <w:kern w:val="0"/>
                <w:sz w:val="24"/>
                <w:szCs w:val="20"/>
                <w:highlight w:val="none"/>
              </w:rPr>
              <w:t>）中推荐值选取。其中点源参数见表</w:t>
            </w:r>
            <w:r>
              <w:rPr>
                <w:color w:val="auto"/>
                <w:kern w:val="0"/>
                <w:sz w:val="24"/>
                <w:szCs w:val="20"/>
                <w:highlight w:val="none"/>
              </w:rPr>
              <w:t>7-1</w:t>
            </w:r>
            <w:r>
              <w:rPr>
                <w:rFonts w:hint="eastAsia"/>
                <w:color w:val="auto"/>
                <w:kern w:val="0"/>
                <w:sz w:val="24"/>
                <w:szCs w:val="20"/>
                <w:highlight w:val="none"/>
              </w:rPr>
              <w:t>，预测结果见表</w:t>
            </w:r>
            <w:r>
              <w:rPr>
                <w:color w:val="auto"/>
                <w:kern w:val="0"/>
                <w:sz w:val="24"/>
                <w:szCs w:val="20"/>
                <w:highlight w:val="none"/>
              </w:rPr>
              <w:t>7-</w:t>
            </w:r>
            <w:r>
              <w:rPr>
                <w:rFonts w:hint="eastAsia"/>
                <w:color w:val="auto"/>
                <w:kern w:val="0"/>
                <w:sz w:val="24"/>
                <w:szCs w:val="20"/>
                <w:highlight w:val="none"/>
                <w:lang w:val="en-US" w:eastAsia="zh-CN"/>
              </w:rPr>
              <w:t>2</w:t>
            </w:r>
            <w:r>
              <w:rPr>
                <w:rFonts w:hint="eastAsia"/>
                <w:color w:val="auto"/>
                <w:kern w:val="0"/>
                <w:sz w:val="24"/>
                <w:szCs w:val="20"/>
                <w:highlight w:val="none"/>
              </w:rPr>
              <w:t>。</w:t>
            </w:r>
          </w:p>
          <w:p>
            <w:pPr>
              <w:spacing w:line="440" w:lineRule="exact"/>
              <w:jc w:val="center"/>
              <w:rPr>
                <w:b/>
                <w:bCs/>
                <w:color w:val="auto"/>
                <w:kern w:val="0"/>
                <w:sz w:val="24"/>
                <w:szCs w:val="20"/>
                <w:highlight w:val="none"/>
              </w:rPr>
            </w:pPr>
            <w:r>
              <w:rPr>
                <w:rFonts w:hint="eastAsia"/>
                <w:b/>
                <w:bCs/>
                <w:color w:val="auto"/>
                <w:kern w:val="0"/>
                <w:sz w:val="24"/>
                <w:szCs w:val="20"/>
                <w:highlight w:val="none"/>
              </w:rPr>
              <w:t>表</w:t>
            </w:r>
            <w:r>
              <w:rPr>
                <w:b/>
                <w:bCs/>
                <w:color w:val="auto"/>
                <w:kern w:val="0"/>
                <w:sz w:val="24"/>
                <w:szCs w:val="20"/>
                <w:highlight w:val="none"/>
              </w:rPr>
              <w:t>7-1</w:t>
            </w:r>
            <w:r>
              <w:rPr>
                <w:rFonts w:hint="eastAsia"/>
                <w:b/>
                <w:bCs/>
                <w:color w:val="auto"/>
                <w:kern w:val="0"/>
                <w:sz w:val="24"/>
                <w:szCs w:val="20"/>
                <w:highlight w:val="none"/>
              </w:rPr>
              <w:t>点源估算模式预测参数一览表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45"/>
              <w:gridCol w:w="752"/>
              <w:gridCol w:w="713"/>
              <w:gridCol w:w="780"/>
              <w:gridCol w:w="567"/>
              <w:gridCol w:w="693"/>
              <w:gridCol w:w="742"/>
              <w:gridCol w:w="502"/>
              <w:gridCol w:w="658"/>
              <w:gridCol w:w="440"/>
              <w:gridCol w:w="604"/>
              <w:gridCol w:w="610"/>
              <w:gridCol w:w="79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645" w:type="dxa"/>
                  <w:vMerge w:val="restart"/>
                  <w:tcBorders>
                    <w:top w:val="single" w:color="auto" w:sz="12" w:space="0"/>
                    <w:left w:val="nil"/>
                    <w:bottom w:val="single" w:color="auto" w:sz="4"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点源名称</w:t>
                  </w:r>
                </w:p>
              </w:tc>
              <w:tc>
                <w:tcPr>
                  <w:tcW w:w="1465" w:type="dxa"/>
                  <w:gridSpan w:val="2"/>
                  <w:tcBorders>
                    <w:top w:val="single" w:color="auto" w:sz="12" w:space="0"/>
                    <w:left w:val="single" w:color="auto" w:sz="4" w:space="0"/>
                    <w:bottom w:val="single" w:color="auto" w:sz="4"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排气筒底部中心坐标</w:t>
                  </w:r>
                  <w:r>
                    <w:rPr>
                      <w:bCs/>
                      <w:color w:val="auto"/>
                      <w:kern w:val="0"/>
                      <w:szCs w:val="21"/>
                      <w:highlight w:val="none"/>
                    </w:rPr>
                    <w:t>/m</w:t>
                  </w:r>
                </w:p>
              </w:tc>
              <w:tc>
                <w:tcPr>
                  <w:tcW w:w="780" w:type="dxa"/>
                  <w:vMerge w:val="restart"/>
                  <w:tcBorders>
                    <w:top w:val="single" w:color="auto" w:sz="12" w:space="0"/>
                    <w:left w:val="single" w:color="auto" w:sz="4" w:space="0"/>
                    <w:bottom w:val="single" w:color="auto" w:sz="4"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排气筒底部海拔高度</w:t>
                  </w:r>
                  <w:r>
                    <w:rPr>
                      <w:bCs/>
                      <w:color w:val="auto"/>
                      <w:kern w:val="0"/>
                      <w:szCs w:val="21"/>
                      <w:highlight w:val="none"/>
                    </w:rPr>
                    <w:t>/m</w:t>
                  </w:r>
                </w:p>
              </w:tc>
              <w:tc>
                <w:tcPr>
                  <w:tcW w:w="567" w:type="dxa"/>
                  <w:vMerge w:val="restart"/>
                  <w:tcBorders>
                    <w:top w:val="single" w:color="auto" w:sz="12" w:space="0"/>
                    <w:left w:val="single" w:color="auto" w:sz="4" w:space="0"/>
                    <w:bottom w:val="single" w:color="auto" w:sz="4"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排气筒高度</w:t>
                  </w:r>
                  <w:r>
                    <w:rPr>
                      <w:bCs/>
                      <w:color w:val="auto"/>
                      <w:kern w:val="0"/>
                      <w:szCs w:val="21"/>
                      <w:highlight w:val="none"/>
                    </w:rPr>
                    <w:t>/m</w:t>
                  </w:r>
                </w:p>
              </w:tc>
              <w:tc>
                <w:tcPr>
                  <w:tcW w:w="693" w:type="dxa"/>
                  <w:vMerge w:val="restart"/>
                  <w:tcBorders>
                    <w:top w:val="single" w:color="auto" w:sz="12" w:space="0"/>
                    <w:left w:val="single" w:color="auto" w:sz="4" w:space="0"/>
                    <w:bottom w:val="single" w:color="auto" w:sz="4"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排气筒出口内径</w:t>
                  </w:r>
                  <w:r>
                    <w:rPr>
                      <w:bCs/>
                      <w:color w:val="auto"/>
                      <w:kern w:val="0"/>
                      <w:szCs w:val="21"/>
                      <w:highlight w:val="none"/>
                    </w:rPr>
                    <w:t>/m</w:t>
                  </w:r>
                </w:p>
              </w:tc>
              <w:tc>
                <w:tcPr>
                  <w:tcW w:w="742" w:type="dxa"/>
                  <w:vMerge w:val="restart"/>
                  <w:tcBorders>
                    <w:top w:val="single" w:color="auto" w:sz="12" w:space="0"/>
                    <w:left w:val="single" w:color="auto" w:sz="4" w:space="0"/>
                    <w:bottom w:val="single" w:color="auto" w:sz="4"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烟气出口速度</w:t>
                  </w:r>
                  <w:r>
                    <w:rPr>
                      <w:bCs/>
                      <w:color w:val="auto"/>
                      <w:kern w:val="0"/>
                      <w:szCs w:val="21"/>
                      <w:highlight w:val="none"/>
                    </w:rPr>
                    <w:t>/(m/s)</w:t>
                  </w:r>
                </w:p>
              </w:tc>
              <w:tc>
                <w:tcPr>
                  <w:tcW w:w="502" w:type="dxa"/>
                  <w:vMerge w:val="restart"/>
                  <w:tcBorders>
                    <w:top w:val="single" w:color="auto" w:sz="12" w:space="0"/>
                    <w:left w:val="single" w:color="auto" w:sz="4" w:space="0"/>
                    <w:bottom w:val="single" w:color="auto" w:sz="4"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烟气温度</w:t>
                  </w:r>
                  <w:r>
                    <w:rPr>
                      <w:bCs/>
                      <w:color w:val="auto"/>
                      <w:kern w:val="0"/>
                      <w:szCs w:val="21"/>
                      <w:highlight w:val="none"/>
                    </w:rPr>
                    <w:t>/</w:t>
                  </w:r>
                  <w:r>
                    <w:rPr>
                      <w:rFonts w:hint="eastAsia"/>
                      <w:bCs/>
                      <w:color w:val="auto"/>
                      <w:kern w:val="0"/>
                      <w:szCs w:val="21"/>
                      <w:highlight w:val="none"/>
                    </w:rPr>
                    <w:t>℃</w:t>
                  </w:r>
                </w:p>
              </w:tc>
              <w:tc>
                <w:tcPr>
                  <w:tcW w:w="658" w:type="dxa"/>
                  <w:vMerge w:val="restart"/>
                  <w:tcBorders>
                    <w:top w:val="single" w:color="auto" w:sz="12" w:space="0"/>
                    <w:left w:val="single" w:color="auto" w:sz="4" w:space="0"/>
                    <w:bottom w:val="single" w:color="auto" w:sz="4"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年排放小时数</w:t>
                  </w:r>
                  <w:r>
                    <w:rPr>
                      <w:bCs/>
                      <w:color w:val="auto"/>
                      <w:kern w:val="0"/>
                      <w:szCs w:val="21"/>
                      <w:highlight w:val="none"/>
                    </w:rPr>
                    <w:t>/h</w:t>
                  </w:r>
                </w:p>
              </w:tc>
              <w:tc>
                <w:tcPr>
                  <w:tcW w:w="440" w:type="dxa"/>
                  <w:vMerge w:val="restart"/>
                  <w:tcBorders>
                    <w:top w:val="single" w:color="auto" w:sz="12" w:space="0"/>
                    <w:left w:val="single" w:color="auto" w:sz="4" w:space="0"/>
                    <w:bottom w:val="single" w:color="auto" w:sz="4"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排放工况</w:t>
                  </w:r>
                </w:p>
              </w:tc>
              <w:tc>
                <w:tcPr>
                  <w:tcW w:w="2012" w:type="dxa"/>
                  <w:gridSpan w:val="3"/>
                  <w:tcBorders>
                    <w:top w:val="single" w:color="auto" w:sz="12" w:space="0"/>
                    <w:left w:val="single" w:color="auto" w:sz="4" w:space="0"/>
                    <w:bottom w:val="single" w:color="auto" w:sz="4" w:space="0"/>
                    <w:right w:val="nil"/>
                  </w:tcBorders>
                  <w:vAlign w:val="center"/>
                </w:tcPr>
                <w:p>
                  <w:pPr>
                    <w:spacing w:line="320" w:lineRule="exact"/>
                    <w:jc w:val="center"/>
                    <w:rPr>
                      <w:bCs/>
                      <w:color w:val="auto"/>
                      <w:kern w:val="0"/>
                      <w:szCs w:val="21"/>
                      <w:highlight w:val="none"/>
                    </w:rPr>
                  </w:pPr>
                  <w:r>
                    <w:rPr>
                      <w:rFonts w:hint="eastAsia"/>
                      <w:bCs/>
                      <w:color w:val="auto"/>
                      <w:kern w:val="0"/>
                      <w:szCs w:val="21"/>
                      <w:highlight w:val="none"/>
                    </w:rPr>
                    <w:t>污染物排放速率</w:t>
                  </w:r>
                  <w:r>
                    <w:rPr>
                      <w:bCs/>
                      <w:color w:val="auto"/>
                      <w:kern w:val="0"/>
                      <w:szCs w:val="21"/>
                      <w:highlight w:val="none"/>
                    </w:rPr>
                    <w:t>/(kg/h)</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5" w:hRule="atLeast"/>
                <w:jc w:val="center"/>
              </w:trPr>
              <w:tc>
                <w:tcPr>
                  <w:tcW w:w="645" w:type="dxa"/>
                  <w:vMerge w:val="continue"/>
                  <w:tcBorders>
                    <w:top w:val="single" w:color="auto" w:sz="12" w:space="0"/>
                    <w:left w:val="nil"/>
                    <w:bottom w:val="single" w:color="auto" w:sz="4" w:space="0"/>
                    <w:right w:val="single" w:color="auto" w:sz="4" w:space="0"/>
                  </w:tcBorders>
                  <w:vAlign w:val="center"/>
                </w:tcPr>
                <w:p>
                  <w:pPr>
                    <w:widowControl/>
                    <w:jc w:val="left"/>
                    <w:rPr>
                      <w:bCs/>
                      <w:color w:val="auto"/>
                      <w:kern w:val="0"/>
                      <w:szCs w:val="21"/>
                      <w:highlight w:val="none"/>
                    </w:rPr>
                  </w:pPr>
                </w:p>
              </w:tc>
              <w:tc>
                <w:tcPr>
                  <w:tcW w:w="752"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color w:val="auto"/>
                      <w:kern w:val="0"/>
                      <w:szCs w:val="21"/>
                      <w:highlight w:val="none"/>
                    </w:rPr>
                  </w:pPr>
                  <w:r>
                    <w:rPr>
                      <w:rFonts w:hint="eastAsia"/>
                      <w:color w:val="auto"/>
                      <w:kern w:val="0"/>
                      <w:szCs w:val="21"/>
                      <w:highlight w:val="none"/>
                    </w:rPr>
                    <w:t>X</w:t>
                  </w:r>
                </w:p>
              </w:tc>
              <w:tc>
                <w:tcPr>
                  <w:tcW w:w="713"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color w:val="auto"/>
                      <w:kern w:val="0"/>
                      <w:szCs w:val="21"/>
                      <w:highlight w:val="none"/>
                    </w:rPr>
                  </w:pPr>
                  <w:r>
                    <w:rPr>
                      <w:rFonts w:hint="eastAsia"/>
                      <w:color w:val="auto"/>
                      <w:kern w:val="0"/>
                      <w:szCs w:val="21"/>
                      <w:highlight w:val="none"/>
                    </w:rPr>
                    <w:t>Y</w:t>
                  </w:r>
                </w:p>
              </w:tc>
              <w:tc>
                <w:tcPr>
                  <w:tcW w:w="780" w:type="dxa"/>
                  <w:vMerge w:val="continue"/>
                  <w:tcBorders>
                    <w:top w:val="single" w:color="auto" w:sz="12" w:space="0"/>
                    <w:left w:val="single" w:color="auto" w:sz="4" w:space="0"/>
                    <w:bottom w:val="single" w:color="auto" w:sz="4" w:space="0"/>
                    <w:right w:val="single" w:color="auto" w:sz="4" w:space="0"/>
                  </w:tcBorders>
                  <w:vAlign w:val="center"/>
                </w:tcPr>
                <w:p>
                  <w:pPr>
                    <w:widowControl/>
                    <w:jc w:val="left"/>
                    <w:rPr>
                      <w:bCs/>
                      <w:color w:val="auto"/>
                      <w:kern w:val="0"/>
                      <w:szCs w:val="21"/>
                      <w:highlight w:val="none"/>
                    </w:rPr>
                  </w:pPr>
                </w:p>
              </w:tc>
              <w:tc>
                <w:tcPr>
                  <w:tcW w:w="567" w:type="dxa"/>
                  <w:vMerge w:val="continue"/>
                  <w:tcBorders>
                    <w:top w:val="single" w:color="auto" w:sz="12" w:space="0"/>
                    <w:left w:val="single" w:color="auto" w:sz="4" w:space="0"/>
                    <w:bottom w:val="single" w:color="auto" w:sz="4" w:space="0"/>
                    <w:right w:val="single" w:color="auto" w:sz="4" w:space="0"/>
                  </w:tcBorders>
                  <w:vAlign w:val="center"/>
                </w:tcPr>
                <w:p>
                  <w:pPr>
                    <w:widowControl/>
                    <w:jc w:val="left"/>
                    <w:rPr>
                      <w:bCs/>
                      <w:color w:val="auto"/>
                      <w:kern w:val="0"/>
                      <w:szCs w:val="21"/>
                      <w:highlight w:val="none"/>
                    </w:rPr>
                  </w:pPr>
                </w:p>
              </w:tc>
              <w:tc>
                <w:tcPr>
                  <w:tcW w:w="693" w:type="dxa"/>
                  <w:vMerge w:val="continue"/>
                  <w:tcBorders>
                    <w:top w:val="single" w:color="auto" w:sz="12" w:space="0"/>
                    <w:left w:val="single" w:color="auto" w:sz="4" w:space="0"/>
                    <w:bottom w:val="single" w:color="auto" w:sz="4" w:space="0"/>
                    <w:right w:val="single" w:color="auto" w:sz="4" w:space="0"/>
                  </w:tcBorders>
                  <w:vAlign w:val="center"/>
                </w:tcPr>
                <w:p>
                  <w:pPr>
                    <w:widowControl/>
                    <w:jc w:val="left"/>
                    <w:rPr>
                      <w:bCs/>
                      <w:color w:val="auto"/>
                      <w:kern w:val="0"/>
                      <w:szCs w:val="21"/>
                      <w:highlight w:val="none"/>
                    </w:rPr>
                  </w:pPr>
                </w:p>
              </w:tc>
              <w:tc>
                <w:tcPr>
                  <w:tcW w:w="742" w:type="dxa"/>
                  <w:vMerge w:val="continue"/>
                  <w:tcBorders>
                    <w:top w:val="single" w:color="auto" w:sz="12" w:space="0"/>
                    <w:left w:val="single" w:color="auto" w:sz="4" w:space="0"/>
                    <w:bottom w:val="single" w:color="auto" w:sz="4" w:space="0"/>
                    <w:right w:val="single" w:color="auto" w:sz="4" w:space="0"/>
                  </w:tcBorders>
                  <w:vAlign w:val="center"/>
                </w:tcPr>
                <w:p>
                  <w:pPr>
                    <w:widowControl/>
                    <w:jc w:val="left"/>
                    <w:rPr>
                      <w:bCs/>
                      <w:color w:val="auto"/>
                      <w:kern w:val="0"/>
                      <w:szCs w:val="21"/>
                      <w:highlight w:val="none"/>
                    </w:rPr>
                  </w:pPr>
                </w:p>
              </w:tc>
              <w:tc>
                <w:tcPr>
                  <w:tcW w:w="502" w:type="dxa"/>
                  <w:vMerge w:val="continue"/>
                  <w:tcBorders>
                    <w:top w:val="single" w:color="auto" w:sz="12" w:space="0"/>
                    <w:left w:val="single" w:color="auto" w:sz="4" w:space="0"/>
                    <w:bottom w:val="single" w:color="auto" w:sz="4" w:space="0"/>
                    <w:right w:val="single" w:color="auto" w:sz="4" w:space="0"/>
                  </w:tcBorders>
                  <w:vAlign w:val="center"/>
                </w:tcPr>
                <w:p>
                  <w:pPr>
                    <w:widowControl/>
                    <w:jc w:val="left"/>
                    <w:rPr>
                      <w:bCs/>
                      <w:color w:val="auto"/>
                      <w:kern w:val="0"/>
                      <w:szCs w:val="21"/>
                      <w:highlight w:val="none"/>
                    </w:rPr>
                  </w:pPr>
                </w:p>
              </w:tc>
              <w:tc>
                <w:tcPr>
                  <w:tcW w:w="658" w:type="dxa"/>
                  <w:vMerge w:val="continue"/>
                  <w:tcBorders>
                    <w:top w:val="single" w:color="auto" w:sz="12" w:space="0"/>
                    <w:left w:val="single" w:color="auto" w:sz="4" w:space="0"/>
                    <w:bottom w:val="single" w:color="auto" w:sz="4" w:space="0"/>
                    <w:right w:val="single" w:color="auto" w:sz="4" w:space="0"/>
                  </w:tcBorders>
                  <w:vAlign w:val="center"/>
                </w:tcPr>
                <w:p>
                  <w:pPr>
                    <w:widowControl/>
                    <w:jc w:val="left"/>
                    <w:rPr>
                      <w:bCs/>
                      <w:color w:val="auto"/>
                      <w:kern w:val="0"/>
                      <w:szCs w:val="21"/>
                      <w:highlight w:val="none"/>
                    </w:rPr>
                  </w:pPr>
                </w:p>
              </w:tc>
              <w:tc>
                <w:tcPr>
                  <w:tcW w:w="440" w:type="dxa"/>
                  <w:vMerge w:val="continue"/>
                  <w:tcBorders>
                    <w:top w:val="single" w:color="auto" w:sz="12" w:space="0"/>
                    <w:left w:val="single" w:color="auto" w:sz="4" w:space="0"/>
                    <w:bottom w:val="single" w:color="auto" w:sz="4" w:space="0"/>
                    <w:right w:val="single" w:color="auto" w:sz="4" w:space="0"/>
                  </w:tcBorders>
                  <w:vAlign w:val="center"/>
                </w:tcPr>
                <w:p>
                  <w:pPr>
                    <w:widowControl/>
                    <w:jc w:val="left"/>
                    <w:rPr>
                      <w:bCs/>
                      <w:color w:val="auto"/>
                      <w:kern w:val="0"/>
                      <w:szCs w:val="21"/>
                      <w:highlight w:val="none"/>
                    </w:rPr>
                  </w:pPr>
                </w:p>
              </w:tc>
              <w:tc>
                <w:tcPr>
                  <w:tcW w:w="604"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kern w:val="0"/>
                      <w:szCs w:val="21"/>
                      <w:highlight w:val="none"/>
                    </w:rPr>
                  </w:pPr>
                  <w:r>
                    <w:rPr>
                      <w:bCs/>
                      <w:color w:val="auto"/>
                      <w:kern w:val="0"/>
                      <w:szCs w:val="21"/>
                      <w:highlight w:val="none"/>
                    </w:rPr>
                    <w:t>SO</w:t>
                  </w:r>
                  <w:r>
                    <w:rPr>
                      <w:bCs/>
                      <w:color w:val="auto"/>
                      <w:kern w:val="0"/>
                      <w:szCs w:val="21"/>
                      <w:highlight w:val="none"/>
                      <w:vertAlign w:val="subscript"/>
                    </w:rPr>
                    <w:t>2</w:t>
                  </w:r>
                </w:p>
              </w:tc>
              <w:tc>
                <w:tcPr>
                  <w:tcW w:w="610" w:type="dxa"/>
                  <w:tcBorders>
                    <w:top w:val="single" w:color="auto" w:sz="4" w:space="0"/>
                    <w:left w:val="single" w:color="auto" w:sz="4" w:space="0"/>
                    <w:bottom w:val="single" w:color="auto" w:sz="4" w:space="0"/>
                    <w:right w:val="single" w:color="auto" w:sz="4" w:space="0"/>
                  </w:tcBorders>
                  <w:vAlign w:val="center"/>
                </w:tcPr>
                <w:p>
                  <w:pPr>
                    <w:spacing w:line="320" w:lineRule="exact"/>
                    <w:jc w:val="center"/>
                    <w:rPr>
                      <w:bCs/>
                      <w:color w:val="auto"/>
                      <w:kern w:val="0"/>
                      <w:szCs w:val="21"/>
                      <w:highlight w:val="none"/>
                    </w:rPr>
                  </w:pPr>
                  <w:r>
                    <w:rPr>
                      <w:bCs/>
                      <w:color w:val="auto"/>
                      <w:kern w:val="0"/>
                      <w:szCs w:val="21"/>
                      <w:highlight w:val="none"/>
                    </w:rPr>
                    <w:t>NO</w:t>
                  </w:r>
                  <w:r>
                    <w:rPr>
                      <w:bCs/>
                      <w:color w:val="auto"/>
                      <w:kern w:val="0"/>
                      <w:szCs w:val="21"/>
                      <w:highlight w:val="none"/>
                      <w:vertAlign w:val="subscript"/>
                    </w:rPr>
                    <w:t>x</w:t>
                  </w:r>
                </w:p>
              </w:tc>
              <w:tc>
                <w:tcPr>
                  <w:tcW w:w="798" w:type="dxa"/>
                  <w:tcBorders>
                    <w:top w:val="single" w:color="auto" w:sz="4" w:space="0"/>
                    <w:left w:val="single" w:color="auto" w:sz="4" w:space="0"/>
                    <w:bottom w:val="single" w:color="auto" w:sz="4" w:space="0"/>
                    <w:right w:val="nil"/>
                  </w:tcBorders>
                  <w:vAlign w:val="center"/>
                </w:tcPr>
                <w:p>
                  <w:pPr>
                    <w:spacing w:line="320" w:lineRule="exact"/>
                    <w:jc w:val="center"/>
                    <w:rPr>
                      <w:bCs/>
                      <w:color w:val="auto"/>
                      <w:kern w:val="0"/>
                      <w:szCs w:val="21"/>
                      <w:highlight w:val="none"/>
                    </w:rPr>
                  </w:pPr>
                  <w:r>
                    <w:rPr>
                      <w:rFonts w:hint="eastAsia"/>
                      <w:bCs/>
                      <w:color w:val="auto"/>
                      <w:kern w:val="0"/>
                      <w:szCs w:val="21"/>
                      <w:highlight w:val="none"/>
                    </w:rPr>
                    <w:t>颗粒物</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70" w:hRule="atLeast"/>
                <w:jc w:val="center"/>
              </w:trPr>
              <w:tc>
                <w:tcPr>
                  <w:tcW w:w="645" w:type="dxa"/>
                  <w:tcBorders>
                    <w:top w:val="single" w:color="auto" w:sz="4" w:space="0"/>
                    <w:left w:val="nil"/>
                    <w:bottom w:val="single" w:color="auto" w:sz="12"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锅炉烟囱</w:t>
                  </w:r>
                </w:p>
              </w:tc>
              <w:tc>
                <w:tcPr>
                  <w:tcW w:w="752" w:type="dxa"/>
                  <w:tcBorders>
                    <w:top w:val="single" w:color="auto" w:sz="4" w:space="0"/>
                    <w:left w:val="single" w:color="auto" w:sz="4" w:space="0"/>
                    <w:bottom w:val="single" w:color="auto" w:sz="12" w:space="0"/>
                    <w:right w:val="single" w:color="auto" w:sz="4" w:space="0"/>
                  </w:tcBorders>
                  <w:vAlign w:val="center"/>
                </w:tcPr>
                <w:p>
                  <w:pPr>
                    <w:spacing w:line="320" w:lineRule="exact"/>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24</w:t>
                  </w:r>
                </w:p>
              </w:tc>
              <w:tc>
                <w:tcPr>
                  <w:tcW w:w="713" w:type="dxa"/>
                  <w:tcBorders>
                    <w:top w:val="single" w:color="auto" w:sz="4" w:space="0"/>
                    <w:left w:val="single" w:color="auto" w:sz="4" w:space="0"/>
                    <w:bottom w:val="single" w:color="auto" w:sz="12" w:space="0"/>
                    <w:right w:val="single" w:color="auto" w:sz="4" w:space="0"/>
                  </w:tcBorders>
                  <w:vAlign w:val="center"/>
                </w:tcPr>
                <w:p>
                  <w:pPr>
                    <w:spacing w:line="320" w:lineRule="exact"/>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25</w:t>
                  </w:r>
                </w:p>
              </w:tc>
              <w:tc>
                <w:tcPr>
                  <w:tcW w:w="780" w:type="dxa"/>
                  <w:tcBorders>
                    <w:top w:val="single" w:color="auto" w:sz="4" w:space="0"/>
                    <w:left w:val="single" w:color="auto" w:sz="4" w:space="0"/>
                    <w:bottom w:val="single" w:color="auto" w:sz="12" w:space="0"/>
                    <w:right w:val="single" w:color="auto" w:sz="4" w:space="0"/>
                  </w:tcBorders>
                  <w:vAlign w:val="center"/>
                </w:tcPr>
                <w:p>
                  <w:pPr>
                    <w:spacing w:line="320" w:lineRule="exact"/>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70</w:t>
                  </w:r>
                </w:p>
              </w:tc>
              <w:tc>
                <w:tcPr>
                  <w:tcW w:w="567" w:type="dxa"/>
                  <w:tcBorders>
                    <w:top w:val="single" w:color="auto" w:sz="4" w:space="0"/>
                    <w:left w:val="single" w:color="auto" w:sz="4" w:space="0"/>
                    <w:bottom w:val="single" w:color="auto" w:sz="12" w:space="0"/>
                    <w:right w:val="single" w:color="auto" w:sz="4" w:space="0"/>
                  </w:tcBorders>
                  <w:vAlign w:val="center"/>
                </w:tcPr>
                <w:p>
                  <w:pPr>
                    <w:spacing w:line="320" w:lineRule="exact"/>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60</w:t>
                  </w:r>
                </w:p>
              </w:tc>
              <w:tc>
                <w:tcPr>
                  <w:tcW w:w="693" w:type="dxa"/>
                  <w:tcBorders>
                    <w:top w:val="single" w:color="auto" w:sz="4" w:space="0"/>
                    <w:left w:val="single" w:color="auto" w:sz="4" w:space="0"/>
                    <w:bottom w:val="single" w:color="auto" w:sz="12"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0.60</w:t>
                  </w:r>
                </w:p>
              </w:tc>
              <w:tc>
                <w:tcPr>
                  <w:tcW w:w="742" w:type="dxa"/>
                  <w:tcBorders>
                    <w:top w:val="single" w:color="auto" w:sz="4" w:space="0"/>
                    <w:left w:val="single" w:color="auto" w:sz="4" w:space="0"/>
                    <w:bottom w:val="single" w:color="auto" w:sz="12" w:space="0"/>
                    <w:right w:val="single" w:color="auto" w:sz="4" w:space="0"/>
                  </w:tcBorders>
                  <w:vAlign w:val="center"/>
                </w:tcPr>
                <w:p>
                  <w:pPr>
                    <w:spacing w:line="320" w:lineRule="exact"/>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4.03</w:t>
                  </w:r>
                </w:p>
              </w:tc>
              <w:tc>
                <w:tcPr>
                  <w:tcW w:w="502" w:type="dxa"/>
                  <w:tcBorders>
                    <w:top w:val="single" w:color="auto" w:sz="4" w:space="0"/>
                    <w:left w:val="single" w:color="auto" w:sz="4" w:space="0"/>
                    <w:bottom w:val="single" w:color="auto" w:sz="12" w:space="0"/>
                    <w:right w:val="single" w:color="auto" w:sz="4" w:space="0"/>
                  </w:tcBorders>
                  <w:vAlign w:val="center"/>
                </w:tcPr>
                <w:p>
                  <w:pPr>
                    <w:spacing w:line="320" w:lineRule="exact"/>
                    <w:jc w:val="center"/>
                    <w:rPr>
                      <w:bCs/>
                      <w:color w:val="auto"/>
                      <w:kern w:val="0"/>
                      <w:szCs w:val="21"/>
                      <w:highlight w:val="none"/>
                    </w:rPr>
                  </w:pPr>
                  <w:r>
                    <w:rPr>
                      <w:bCs/>
                      <w:color w:val="auto"/>
                      <w:kern w:val="0"/>
                      <w:szCs w:val="21"/>
                      <w:highlight w:val="none"/>
                    </w:rPr>
                    <w:t>60</w:t>
                  </w:r>
                </w:p>
              </w:tc>
              <w:tc>
                <w:tcPr>
                  <w:tcW w:w="658" w:type="dxa"/>
                  <w:tcBorders>
                    <w:top w:val="single" w:color="auto" w:sz="4" w:space="0"/>
                    <w:left w:val="single" w:color="auto" w:sz="4" w:space="0"/>
                    <w:bottom w:val="single" w:color="auto" w:sz="12"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432</w:t>
                  </w:r>
                  <w:r>
                    <w:rPr>
                      <w:bCs/>
                      <w:color w:val="auto"/>
                      <w:kern w:val="0"/>
                      <w:szCs w:val="21"/>
                      <w:highlight w:val="none"/>
                    </w:rPr>
                    <w:t>0</w:t>
                  </w:r>
                </w:p>
              </w:tc>
              <w:tc>
                <w:tcPr>
                  <w:tcW w:w="440" w:type="dxa"/>
                  <w:tcBorders>
                    <w:top w:val="single" w:color="auto" w:sz="4" w:space="0"/>
                    <w:left w:val="single" w:color="auto" w:sz="4" w:space="0"/>
                    <w:bottom w:val="single" w:color="auto" w:sz="12" w:space="0"/>
                    <w:right w:val="single" w:color="auto" w:sz="4" w:space="0"/>
                  </w:tcBorders>
                  <w:vAlign w:val="center"/>
                </w:tcPr>
                <w:p>
                  <w:pPr>
                    <w:spacing w:line="320" w:lineRule="exact"/>
                    <w:jc w:val="center"/>
                    <w:rPr>
                      <w:bCs/>
                      <w:color w:val="auto"/>
                      <w:kern w:val="0"/>
                      <w:szCs w:val="21"/>
                      <w:highlight w:val="none"/>
                    </w:rPr>
                  </w:pPr>
                  <w:r>
                    <w:rPr>
                      <w:rFonts w:hint="eastAsia"/>
                      <w:bCs/>
                      <w:color w:val="auto"/>
                      <w:kern w:val="0"/>
                      <w:szCs w:val="21"/>
                      <w:highlight w:val="none"/>
                    </w:rPr>
                    <w:t>正常工况</w:t>
                  </w:r>
                </w:p>
              </w:tc>
              <w:tc>
                <w:tcPr>
                  <w:tcW w:w="604" w:type="dxa"/>
                  <w:tcBorders>
                    <w:top w:val="single" w:color="auto" w:sz="4" w:space="0"/>
                    <w:left w:val="single" w:color="auto" w:sz="4" w:space="0"/>
                    <w:bottom w:val="single" w:color="auto" w:sz="12" w:space="0"/>
                    <w:right w:val="single" w:color="auto" w:sz="4" w:space="0"/>
                  </w:tcBorders>
                  <w:vAlign w:val="center"/>
                </w:tcPr>
                <w:p>
                  <w:pPr>
                    <w:spacing w:line="320" w:lineRule="exact"/>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2.29</w:t>
                  </w:r>
                </w:p>
              </w:tc>
              <w:tc>
                <w:tcPr>
                  <w:tcW w:w="610" w:type="dxa"/>
                  <w:tcBorders>
                    <w:top w:val="single" w:color="auto" w:sz="4" w:space="0"/>
                    <w:left w:val="single" w:color="auto" w:sz="4" w:space="0"/>
                    <w:bottom w:val="single" w:color="auto" w:sz="12" w:space="0"/>
                    <w:right w:val="single" w:color="auto" w:sz="4" w:space="0"/>
                  </w:tcBorders>
                  <w:vAlign w:val="center"/>
                </w:tcPr>
                <w:p>
                  <w:pPr>
                    <w:spacing w:line="320" w:lineRule="exact"/>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2.56</w:t>
                  </w:r>
                </w:p>
              </w:tc>
              <w:tc>
                <w:tcPr>
                  <w:tcW w:w="798" w:type="dxa"/>
                  <w:tcBorders>
                    <w:top w:val="single" w:color="auto" w:sz="4" w:space="0"/>
                    <w:left w:val="single" w:color="auto" w:sz="4" w:space="0"/>
                    <w:bottom w:val="single" w:color="auto" w:sz="12" w:space="0"/>
                    <w:right w:val="nil"/>
                  </w:tcBorders>
                  <w:vAlign w:val="center"/>
                </w:tcPr>
                <w:p>
                  <w:pPr>
                    <w:spacing w:line="320" w:lineRule="exact"/>
                    <w:jc w:val="center"/>
                    <w:rPr>
                      <w:rFonts w:hint="default" w:eastAsia="宋体"/>
                      <w:bCs/>
                      <w:color w:val="auto"/>
                      <w:kern w:val="0"/>
                      <w:szCs w:val="21"/>
                      <w:highlight w:val="none"/>
                      <w:lang w:val="en-US" w:eastAsia="zh-CN"/>
                    </w:rPr>
                  </w:pPr>
                  <w:r>
                    <w:rPr>
                      <w:rFonts w:hint="eastAsia"/>
                      <w:bCs/>
                      <w:color w:val="auto"/>
                      <w:kern w:val="0"/>
                      <w:szCs w:val="21"/>
                      <w:highlight w:val="none"/>
                      <w:lang w:val="en-US" w:eastAsia="zh-CN"/>
                    </w:rPr>
                    <w:t>0.34</w:t>
                  </w:r>
                </w:p>
              </w:tc>
            </w:tr>
          </w:tbl>
          <w:p>
            <w:pPr>
              <w:adjustRightInd w:val="0"/>
              <w:jc w:val="center"/>
              <w:textAlignment w:val="baseline"/>
              <w:rPr>
                <w:b/>
                <w:color w:val="auto"/>
                <w:kern w:val="24"/>
                <w:sz w:val="24"/>
                <w:szCs w:val="20"/>
                <w:highlight w:val="none"/>
              </w:rPr>
            </w:pPr>
            <w:r>
              <w:rPr>
                <w:rFonts w:hint="eastAsia"/>
                <w:b/>
                <w:color w:val="auto"/>
                <w:kern w:val="24"/>
                <w:sz w:val="24"/>
                <w:szCs w:val="20"/>
                <w:highlight w:val="none"/>
              </w:rPr>
              <w:t>表</w:t>
            </w:r>
            <w:r>
              <w:rPr>
                <w:b/>
                <w:color w:val="auto"/>
                <w:kern w:val="24"/>
                <w:sz w:val="24"/>
                <w:szCs w:val="20"/>
                <w:highlight w:val="none"/>
              </w:rPr>
              <w:t>7-</w:t>
            </w:r>
            <w:r>
              <w:rPr>
                <w:rFonts w:hint="eastAsia"/>
                <w:b/>
                <w:color w:val="auto"/>
                <w:kern w:val="24"/>
                <w:sz w:val="24"/>
                <w:szCs w:val="20"/>
                <w:highlight w:val="none"/>
                <w:lang w:val="en-US" w:eastAsia="zh-CN"/>
              </w:rPr>
              <w:t>2</w:t>
            </w:r>
            <w:r>
              <w:rPr>
                <w:b/>
                <w:color w:val="auto"/>
                <w:kern w:val="24"/>
                <w:sz w:val="24"/>
                <w:szCs w:val="20"/>
                <w:highlight w:val="none"/>
              </w:rPr>
              <w:t xml:space="preserve"> </w:t>
            </w:r>
            <w:r>
              <w:rPr>
                <w:rFonts w:hint="eastAsia"/>
                <w:b/>
                <w:color w:val="auto"/>
                <w:kern w:val="24"/>
                <w:sz w:val="24"/>
                <w:szCs w:val="20"/>
                <w:highlight w:val="none"/>
              </w:rPr>
              <w:t>估算模型参数表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32"/>
              <w:gridCol w:w="2829"/>
              <w:gridCol w:w="2843"/>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3" w:type="dxa"/>
                  <w:gridSpan w:val="2"/>
                  <w:vAlign w:val="center"/>
                </w:tcPr>
                <w:p>
                  <w:pPr>
                    <w:jc w:val="center"/>
                    <w:rPr>
                      <w:color w:val="auto"/>
                      <w:highlight w:val="none"/>
                    </w:rPr>
                  </w:pPr>
                  <w:r>
                    <w:rPr>
                      <w:rFonts w:hint="eastAsia"/>
                      <w:color w:val="auto"/>
                      <w:highlight w:val="none"/>
                    </w:rPr>
                    <w:t>参数</w:t>
                  </w:r>
                </w:p>
              </w:tc>
              <w:tc>
                <w:tcPr>
                  <w:tcW w:w="2749" w:type="dxa"/>
                  <w:vAlign w:val="center"/>
                </w:tcPr>
                <w:p>
                  <w:pPr>
                    <w:jc w:val="center"/>
                    <w:rPr>
                      <w:color w:val="auto"/>
                      <w:highlight w:val="none"/>
                    </w:rPr>
                  </w:pPr>
                  <w:r>
                    <w:rPr>
                      <w:rFonts w:hint="eastAsia"/>
                      <w:color w:val="auto"/>
                      <w:highlight w:val="none"/>
                    </w:rPr>
                    <w:t>取值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38" w:type="dxa"/>
                  <w:vMerge w:val="restart"/>
                  <w:vAlign w:val="center"/>
                </w:tcPr>
                <w:p>
                  <w:pPr>
                    <w:jc w:val="center"/>
                    <w:rPr>
                      <w:color w:val="auto"/>
                      <w:highlight w:val="none"/>
                    </w:rPr>
                  </w:pPr>
                  <w:r>
                    <w:rPr>
                      <w:rFonts w:hint="eastAsia"/>
                      <w:color w:val="auto"/>
                      <w:highlight w:val="none"/>
                    </w:rPr>
                    <w:t>城市</w:t>
                  </w:r>
                  <w:r>
                    <w:rPr>
                      <w:color w:val="auto"/>
                      <w:highlight w:val="none"/>
                    </w:rPr>
                    <w:t>/</w:t>
                  </w:r>
                  <w:r>
                    <w:rPr>
                      <w:rFonts w:hint="eastAsia"/>
                      <w:color w:val="auto"/>
                      <w:highlight w:val="none"/>
                    </w:rPr>
                    <w:t>农村选项</w:t>
                  </w:r>
                </w:p>
              </w:tc>
              <w:tc>
                <w:tcPr>
                  <w:tcW w:w="2735" w:type="dxa"/>
                  <w:vAlign w:val="center"/>
                </w:tcPr>
                <w:p>
                  <w:pPr>
                    <w:jc w:val="center"/>
                    <w:rPr>
                      <w:color w:val="auto"/>
                      <w:highlight w:val="none"/>
                    </w:rPr>
                  </w:pPr>
                  <w:r>
                    <w:rPr>
                      <w:rFonts w:hint="eastAsia"/>
                      <w:color w:val="auto"/>
                      <w:highlight w:val="none"/>
                    </w:rPr>
                    <w:t>城市</w:t>
                  </w:r>
                  <w:r>
                    <w:rPr>
                      <w:color w:val="auto"/>
                      <w:highlight w:val="none"/>
                    </w:rPr>
                    <w:t>/</w:t>
                  </w:r>
                  <w:r>
                    <w:rPr>
                      <w:rFonts w:hint="eastAsia"/>
                      <w:color w:val="auto"/>
                      <w:highlight w:val="none"/>
                    </w:rPr>
                    <w:t>农村</w:t>
                  </w:r>
                </w:p>
              </w:tc>
              <w:tc>
                <w:tcPr>
                  <w:tcW w:w="2749" w:type="dxa"/>
                  <w:vAlign w:val="center"/>
                </w:tcPr>
                <w:p>
                  <w:pPr>
                    <w:jc w:val="center"/>
                    <w:rPr>
                      <w:color w:val="auto"/>
                      <w:highlight w:val="none"/>
                    </w:rPr>
                  </w:pPr>
                  <w:r>
                    <w:rPr>
                      <w:rFonts w:hint="eastAsia"/>
                      <w:color w:val="auto"/>
                      <w:highlight w:val="none"/>
                    </w:rPr>
                    <w:t>农村</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38" w:type="dxa"/>
                  <w:vMerge w:val="continue"/>
                  <w:vAlign w:val="center"/>
                </w:tcPr>
                <w:p>
                  <w:pPr>
                    <w:widowControl/>
                    <w:jc w:val="left"/>
                    <w:rPr>
                      <w:color w:val="auto"/>
                      <w:highlight w:val="none"/>
                    </w:rPr>
                  </w:pPr>
                </w:p>
              </w:tc>
              <w:tc>
                <w:tcPr>
                  <w:tcW w:w="2735" w:type="dxa"/>
                  <w:vAlign w:val="center"/>
                </w:tcPr>
                <w:p>
                  <w:pPr>
                    <w:jc w:val="center"/>
                    <w:rPr>
                      <w:color w:val="auto"/>
                      <w:highlight w:val="none"/>
                    </w:rPr>
                  </w:pPr>
                  <w:r>
                    <w:rPr>
                      <w:rFonts w:hint="eastAsia"/>
                      <w:color w:val="auto"/>
                      <w:highlight w:val="none"/>
                    </w:rPr>
                    <w:t>人口数（城市选项时）</w:t>
                  </w:r>
                </w:p>
              </w:tc>
              <w:tc>
                <w:tcPr>
                  <w:tcW w:w="2749" w:type="dxa"/>
                  <w:vAlign w:val="center"/>
                </w:tcPr>
                <w:p>
                  <w:pPr>
                    <w:jc w:val="center"/>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3" w:type="dxa"/>
                  <w:gridSpan w:val="2"/>
                  <w:vAlign w:val="center"/>
                </w:tcPr>
                <w:p>
                  <w:pPr>
                    <w:jc w:val="center"/>
                    <w:rPr>
                      <w:color w:val="auto"/>
                      <w:highlight w:val="none"/>
                    </w:rPr>
                  </w:pPr>
                  <w:r>
                    <w:rPr>
                      <w:rFonts w:hint="eastAsia"/>
                      <w:color w:val="auto"/>
                      <w:highlight w:val="none"/>
                    </w:rPr>
                    <w:t>最低环境温度</w:t>
                  </w:r>
                  <w:r>
                    <w:rPr>
                      <w:color w:val="auto"/>
                      <w:highlight w:val="none"/>
                    </w:rPr>
                    <w:t>/</w:t>
                  </w:r>
                  <w:r>
                    <w:rPr>
                      <w:rFonts w:hint="eastAsia"/>
                      <w:color w:val="auto"/>
                      <w:highlight w:val="none"/>
                    </w:rPr>
                    <w:t>℃</w:t>
                  </w:r>
                </w:p>
              </w:tc>
              <w:tc>
                <w:tcPr>
                  <w:tcW w:w="2749" w:type="dxa"/>
                  <w:vAlign w:val="center"/>
                </w:tcPr>
                <w:p>
                  <w:pPr>
                    <w:jc w:val="center"/>
                    <w:rPr>
                      <w:rFonts w:hint="eastAsia" w:eastAsia="宋体"/>
                      <w:color w:val="auto"/>
                      <w:highlight w:val="none"/>
                      <w:lang w:eastAsia="zh-CN"/>
                    </w:rPr>
                  </w:pPr>
                  <w:r>
                    <w:rPr>
                      <w:rFonts w:hint="eastAsia"/>
                      <w:color w:val="auto"/>
                      <w:highlight w:val="none"/>
                    </w:rPr>
                    <w:t>-4</w:t>
                  </w:r>
                  <w:r>
                    <w:rPr>
                      <w:rFonts w:hint="eastAsia"/>
                      <w:color w:val="auto"/>
                      <w:highlight w:val="none"/>
                      <w:lang w:val="en-US" w:eastAsia="zh-CN"/>
                    </w:rPr>
                    <w:t>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3" w:type="dxa"/>
                  <w:gridSpan w:val="2"/>
                  <w:vAlign w:val="center"/>
                </w:tcPr>
                <w:p>
                  <w:pPr>
                    <w:jc w:val="center"/>
                    <w:rPr>
                      <w:color w:val="auto"/>
                      <w:highlight w:val="none"/>
                    </w:rPr>
                  </w:pPr>
                  <w:r>
                    <w:rPr>
                      <w:rFonts w:hint="eastAsia"/>
                      <w:color w:val="auto"/>
                      <w:highlight w:val="none"/>
                    </w:rPr>
                    <w:t>最高环境温度</w:t>
                  </w:r>
                  <w:r>
                    <w:rPr>
                      <w:color w:val="auto"/>
                      <w:highlight w:val="none"/>
                    </w:rPr>
                    <w:t>/</w:t>
                  </w:r>
                  <w:r>
                    <w:rPr>
                      <w:rFonts w:hint="eastAsia"/>
                      <w:color w:val="auto"/>
                      <w:highlight w:val="none"/>
                    </w:rPr>
                    <w:t>℃</w:t>
                  </w:r>
                </w:p>
              </w:tc>
              <w:tc>
                <w:tcPr>
                  <w:tcW w:w="2749" w:type="dxa"/>
                  <w:vAlign w:val="center"/>
                </w:tcPr>
                <w:p>
                  <w:pPr>
                    <w:jc w:val="center"/>
                    <w:rPr>
                      <w:rFonts w:hint="eastAsia" w:eastAsia="宋体"/>
                      <w:color w:val="auto"/>
                      <w:highlight w:val="none"/>
                      <w:lang w:eastAsia="zh-CN"/>
                    </w:rPr>
                  </w:pPr>
                  <w:r>
                    <w:rPr>
                      <w:rFonts w:hint="eastAsia"/>
                      <w:color w:val="auto"/>
                      <w:highlight w:val="none"/>
                    </w:rPr>
                    <w:t>38.</w:t>
                  </w:r>
                  <w:r>
                    <w:rPr>
                      <w:rFonts w:hint="eastAsia"/>
                      <w:color w:val="auto"/>
                      <w:highlight w:val="none"/>
                      <w:lang w:val="en-US" w:eastAsia="zh-CN"/>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3" w:type="dxa"/>
                  <w:gridSpan w:val="2"/>
                  <w:vAlign w:val="center"/>
                </w:tcPr>
                <w:p>
                  <w:pPr>
                    <w:jc w:val="center"/>
                    <w:rPr>
                      <w:color w:val="auto"/>
                      <w:highlight w:val="none"/>
                    </w:rPr>
                  </w:pPr>
                  <w:r>
                    <w:rPr>
                      <w:rFonts w:hint="eastAsia"/>
                      <w:color w:val="auto"/>
                      <w:highlight w:val="none"/>
                    </w:rPr>
                    <w:t>土地利用类型</w:t>
                  </w:r>
                </w:p>
              </w:tc>
              <w:tc>
                <w:tcPr>
                  <w:tcW w:w="2749" w:type="dxa"/>
                  <w:vAlign w:val="center"/>
                </w:tcPr>
                <w:p>
                  <w:pPr>
                    <w:jc w:val="center"/>
                    <w:rPr>
                      <w:color w:val="auto"/>
                      <w:highlight w:val="none"/>
                    </w:rPr>
                  </w:pPr>
                  <w:r>
                    <w:rPr>
                      <w:rFonts w:hint="eastAsia"/>
                      <w:color w:val="auto"/>
                      <w:highlight w:val="none"/>
                    </w:rPr>
                    <w:t>农田</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473" w:type="dxa"/>
                  <w:gridSpan w:val="2"/>
                  <w:vAlign w:val="center"/>
                </w:tcPr>
                <w:p>
                  <w:pPr>
                    <w:jc w:val="center"/>
                    <w:rPr>
                      <w:color w:val="auto"/>
                      <w:highlight w:val="none"/>
                    </w:rPr>
                  </w:pPr>
                  <w:r>
                    <w:rPr>
                      <w:rFonts w:hint="eastAsia"/>
                      <w:color w:val="auto"/>
                      <w:highlight w:val="none"/>
                    </w:rPr>
                    <w:t>区域湿度条件</w:t>
                  </w:r>
                </w:p>
              </w:tc>
              <w:tc>
                <w:tcPr>
                  <w:tcW w:w="2749" w:type="dxa"/>
                  <w:vAlign w:val="center"/>
                </w:tcPr>
                <w:p>
                  <w:pPr>
                    <w:jc w:val="center"/>
                    <w:rPr>
                      <w:color w:val="auto"/>
                      <w:highlight w:val="none"/>
                    </w:rPr>
                  </w:pPr>
                  <w:r>
                    <w:rPr>
                      <w:rFonts w:hint="eastAsia"/>
                      <w:color w:val="auto"/>
                      <w:highlight w:val="none"/>
                    </w:rPr>
                    <w:t>中等湿度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38" w:type="dxa"/>
                  <w:vMerge w:val="restart"/>
                  <w:vAlign w:val="center"/>
                </w:tcPr>
                <w:p>
                  <w:pPr>
                    <w:jc w:val="center"/>
                    <w:rPr>
                      <w:color w:val="auto"/>
                      <w:highlight w:val="none"/>
                    </w:rPr>
                  </w:pPr>
                  <w:r>
                    <w:rPr>
                      <w:rFonts w:hint="eastAsia"/>
                      <w:color w:val="auto"/>
                      <w:highlight w:val="none"/>
                    </w:rPr>
                    <w:t>是否考虑地形</w:t>
                  </w:r>
                </w:p>
              </w:tc>
              <w:tc>
                <w:tcPr>
                  <w:tcW w:w="2735" w:type="dxa"/>
                  <w:vAlign w:val="center"/>
                </w:tcPr>
                <w:p>
                  <w:pPr>
                    <w:jc w:val="center"/>
                    <w:rPr>
                      <w:color w:val="auto"/>
                      <w:highlight w:val="none"/>
                    </w:rPr>
                  </w:pPr>
                  <w:r>
                    <w:rPr>
                      <w:rFonts w:hint="eastAsia"/>
                      <w:color w:val="auto"/>
                      <w:highlight w:val="none"/>
                    </w:rPr>
                    <w:t>考虑地形</w:t>
                  </w:r>
                </w:p>
              </w:tc>
              <w:tc>
                <w:tcPr>
                  <w:tcW w:w="2749" w:type="dxa"/>
                  <w:vAlign w:val="center"/>
                </w:tcPr>
                <w:p>
                  <w:pPr>
                    <w:jc w:val="center"/>
                    <w:rPr>
                      <w:color w:val="auto"/>
                      <w:highlight w:val="none"/>
                    </w:rPr>
                  </w:pPr>
                  <w:r>
                    <w:rPr>
                      <w:rFonts w:hint="eastAsia" w:ascii="宋体" w:hAnsi="宋体"/>
                      <w:color w:val="auto"/>
                      <w:sz w:val="24"/>
                      <w:szCs w:val="20"/>
                      <w:highlight w:val="none"/>
                    </w:rPr>
                    <w:sym w:font="Wingdings 2" w:char="00A3"/>
                  </w:r>
                  <w:r>
                    <w:rPr>
                      <w:rFonts w:hint="eastAsia"/>
                      <w:color w:val="auto"/>
                      <w:highlight w:val="none"/>
                    </w:rPr>
                    <w:t>是</w:t>
                  </w:r>
                  <w:r>
                    <w:rPr>
                      <w:rFonts w:hint="eastAsia" w:ascii="宋体" w:hAnsi="宋体"/>
                      <w:color w:val="auto"/>
                      <w:sz w:val="24"/>
                      <w:szCs w:val="20"/>
                      <w:highlight w:val="none"/>
                    </w:rPr>
                    <w:sym w:font="Wingdings 2" w:char="0052"/>
                  </w:r>
                  <w:r>
                    <w:rPr>
                      <w:rFonts w:hint="eastAsia"/>
                      <w:color w:val="auto"/>
                      <w:highlight w:val="none"/>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38" w:type="dxa"/>
                  <w:vMerge w:val="continue"/>
                  <w:vAlign w:val="center"/>
                </w:tcPr>
                <w:p>
                  <w:pPr>
                    <w:widowControl/>
                    <w:jc w:val="left"/>
                    <w:rPr>
                      <w:color w:val="auto"/>
                      <w:highlight w:val="none"/>
                    </w:rPr>
                  </w:pPr>
                </w:p>
              </w:tc>
              <w:tc>
                <w:tcPr>
                  <w:tcW w:w="2735" w:type="dxa"/>
                  <w:vAlign w:val="center"/>
                </w:tcPr>
                <w:p>
                  <w:pPr>
                    <w:jc w:val="center"/>
                    <w:rPr>
                      <w:color w:val="auto"/>
                      <w:highlight w:val="none"/>
                    </w:rPr>
                  </w:pPr>
                  <w:r>
                    <w:rPr>
                      <w:rFonts w:hint="eastAsia"/>
                      <w:color w:val="auto"/>
                      <w:highlight w:val="none"/>
                    </w:rPr>
                    <w:t>地形数据分辨率</w:t>
                  </w:r>
                  <w:r>
                    <w:rPr>
                      <w:color w:val="auto"/>
                      <w:highlight w:val="none"/>
                    </w:rPr>
                    <w:t>/m</w:t>
                  </w:r>
                </w:p>
              </w:tc>
              <w:tc>
                <w:tcPr>
                  <w:tcW w:w="2749" w:type="dxa"/>
                  <w:vAlign w:val="center"/>
                </w:tcPr>
                <w:p>
                  <w:pPr>
                    <w:jc w:val="center"/>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38" w:type="dxa"/>
                  <w:vMerge w:val="restart"/>
                  <w:vAlign w:val="center"/>
                </w:tcPr>
                <w:p>
                  <w:pPr>
                    <w:jc w:val="center"/>
                    <w:rPr>
                      <w:color w:val="auto"/>
                      <w:highlight w:val="none"/>
                    </w:rPr>
                  </w:pPr>
                  <w:r>
                    <w:rPr>
                      <w:rFonts w:hint="eastAsia"/>
                      <w:color w:val="auto"/>
                      <w:highlight w:val="none"/>
                    </w:rPr>
                    <w:t>是否考虑岸线熏烟</w:t>
                  </w:r>
                </w:p>
              </w:tc>
              <w:tc>
                <w:tcPr>
                  <w:tcW w:w="2735" w:type="dxa"/>
                  <w:vAlign w:val="center"/>
                </w:tcPr>
                <w:p>
                  <w:pPr>
                    <w:jc w:val="center"/>
                    <w:rPr>
                      <w:color w:val="auto"/>
                      <w:highlight w:val="none"/>
                    </w:rPr>
                  </w:pPr>
                  <w:r>
                    <w:rPr>
                      <w:rFonts w:hint="eastAsia"/>
                      <w:color w:val="auto"/>
                      <w:highlight w:val="none"/>
                    </w:rPr>
                    <w:t>考虑岸线烟熏</w:t>
                  </w:r>
                </w:p>
              </w:tc>
              <w:tc>
                <w:tcPr>
                  <w:tcW w:w="2749" w:type="dxa"/>
                  <w:vAlign w:val="center"/>
                </w:tcPr>
                <w:p>
                  <w:pPr>
                    <w:jc w:val="center"/>
                    <w:rPr>
                      <w:color w:val="auto"/>
                      <w:highlight w:val="none"/>
                    </w:rPr>
                  </w:pPr>
                  <w:r>
                    <w:rPr>
                      <w:rFonts w:hint="eastAsia" w:ascii="宋体" w:hAnsi="宋体"/>
                      <w:color w:val="auto"/>
                      <w:sz w:val="24"/>
                      <w:szCs w:val="20"/>
                      <w:highlight w:val="none"/>
                    </w:rPr>
                    <w:t>□</w:t>
                  </w:r>
                  <w:r>
                    <w:rPr>
                      <w:rFonts w:hint="eastAsia"/>
                      <w:color w:val="auto"/>
                      <w:highlight w:val="none"/>
                    </w:rPr>
                    <w:t>是</w:t>
                  </w:r>
                  <w:r>
                    <w:rPr>
                      <w:rFonts w:hint="eastAsia" w:ascii="宋体" w:hAnsi="宋体"/>
                      <w:color w:val="auto"/>
                      <w:sz w:val="24"/>
                      <w:szCs w:val="20"/>
                      <w:highlight w:val="none"/>
                    </w:rPr>
                    <w:sym w:font="Wingdings 2" w:char="0052"/>
                  </w:r>
                  <w:r>
                    <w:rPr>
                      <w:rFonts w:hint="eastAsia"/>
                      <w:color w:val="auto"/>
                      <w:highlight w:val="none"/>
                    </w:rPr>
                    <w:t>否</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38" w:type="dxa"/>
                  <w:vMerge w:val="continue"/>
                  <w:vAlign w:val="center"/>
                </w:tcPr>
                <w:p>
                  <w:pPr>
                    <w:widowControl/>
                    <w:jc w:val="left"/>
                    <w:rPr>
                      <w:color w:val="auto"/>
                      <w:highlight w:val="none"/>
                    </w:rPr>
                  </w:pPr>
                </w:p>
              </w:tc>
              <w:tc>
                <w:tcPr>
                  <w:tcW w:w="2735" w:type="dxa"/>
                  <w:vAlign w:val="center"/>
                </w:tcPr>
                <w:p>
                  <w:pPr>
                    <w:jc w:val="center"/>
                    <w:rPr>
                      <w:color w:val="auto"/>
                      <w:highlight w:val="none"/>
                    </w:rPr>
                  </w:pPr>
                  <w:r>
                    <w:rPr>
                      <w:rFonts w:hint="eastAsia"/>
                      <w:color w:val="auto"/>
                      <w:highlight w:val="none"/>
                    </w:rPr>
                    <w:t>岸线距离</w:t>
                  </w:r>
                  <w:r>
                    <w:rPr>
                      <w:color w:val="auto"/>
                      <w:highlight w:val="none"/>
                    </w:rPr>
                    <w:t>/km</w:t>
                  </w:r>
                </w:p>
              </w:tc>
              <w:tc>
                <w:tcPr>
                  <w:tcW w:w="2749" w:type="dxa"/>
                  <w:vAlign w:val="center"/>
                </w:tcPr>
                <w:p>
                  <w:pPr>
                    <w:jc w:val="center"/>
                    <w:rPr>
                      <w:color w:val="auto"/>
                      <w:highlight w:val="none"/>
                    </w:rPr>
                  </w:pPr>
                  <w:r>
                    <w:rPr>
                      <w:color w:val="auto"/>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738" w:type="dxa"/>
                  <w:vMerge w:val="continue"/>
                  <w:vAlign w:val="center"/>
                </w:tcPr>
                <w:p>
                  <w:pPr>
                    <w:widowControl/>
                    <w:jc w:val="left"/>
                    <w:rPr>
                      <w:color w:val="auto"/>
                      <w:highlight w:val="none"/>
                    </w:rPr>
                  </w:pPr>
                </w:p>
              </w:tc>
              <w:tc>
                <w:tcPr>
                  <w:tcW w:w="2735" w:type="dxa"/>
                  <w:vAlign w:val="center"/>
                </w:tcPr>
                <w:p>
                  <w:pPr>
                    <w:jc w:val="center"/>
                    <w:rPr>
                      <w:color w:val="auto"/>
                      <w:highlight w:val="none"/>
                    </w:rPr>
                  </w:pPr>
                  <w:r>
                    <w:rPr>
                      <w:rFonts w:hint="eastAsia"/>
                      <w:color w:val="auto"/>
                      <w:highlight w:val="none"/>
                    </w:rPr>
                    <w:t>岸线方向</w:t>
                  </w:r>
                  <w:r>
                    <w:rPr>
                      <w:color w:val="auto"/>
                      <w:highlight w:val="none"/>
                    </w:rPr>
                    <w:t>/</w:t>
                  </w:r>
                  <w:r>
                    <w:rPr>
                      <w:rFonts w:hint="eastAsia"/>
                      <w:color w:val="auto"/>
                      <w:highlight w:val="none"/>
                    </w:rPr>
                    <w:t>°</w:t>
                  </w:r>
                </w:p>
              </w:tc>
              <w:tc>
                <w:tcPr>
                  <w:tcW w:w="2749" w:type="dxa"/>
                  <w:vAlign w:val="center"/>
                </w:tcPr>
                <w:p>
                  <w:pPr>
                    <w:jc w:val="center"/>
                    <w:rPr>
                      <w:color w:val="auto"/>
                      <w:highlight w:val="none"/>
                    </w:rPr>
                  </w:pPr>
                  <w:r>
                    <w:rPr>
                      <w:color w:val="auto"/>
                      <w:highlight w:val="none"/>
                    </w:rPr>
                    <w:t>/</w:t>
                  </w:r>
                </w:p>
              </w:tc>
            </w:tr>
          </w:tbl>
          <w:p>
            <w:pPr>
              <w:spacing w:line="440" w:lineRule="exact"/>
              <w:ind w:firstLine="482" w:firstLineChars="200"/>
              <w:jc w:val="center"/>
              <w:rPr>
                <w:b/>
                <w:color w:val="auto"/>
                <w:kern w:val="0"/>
                <w:sz w:val="24"/>
                <w:szCs w:val="20"/>
                <w:highlight w:val="none"/>
              </w:rPr>
            </w:pPr>
            <w:r>
              <w:rPr>
                <w:rFonts w:hint="eastAsia"/>
                <w:b/>
                <w:color w:val="auto"/>
                <w:kern w:val="0"/>
                <w:sz w:val="24"/>
                <w:szCs w:val="20"/>
                <w:highlight w:val="none"/>
              </w:rPr>
              <w:t>表</w:t>
            </w:r>
            <w:r>
              <w:rPr>
                <w:b/>
                <w:color w:val="auto"/>
                <w:kern w:val="0"/>
                <w:sz w:val="24"/>
                <w:szCs w:val="20"/>
                <w:highlight w:val="none"/>
              </w:rPr>
              <w:t>7-</w:t>
            </w:r>
            <w:r>
              <w:rPr>
                <w:rFonts w:hint="eastAsia"/>
                <w:b/>
                <w:color w:val="auto"/>
                <w:kern w:val="0"/>
                <w:sz w:val="24"/>
                <w:szCs w:val="20"/>
                <w:highlight w:val="none"/>
                <w:lang w:val="en-US" w:eastAsia="zh-CN"/>
              </w:rPr>
              <w:t>4</w:t>
            </w:r>
            <w:r>
              <w:rPr>
                <w:b/>
                <w:color w:val="auto"/>
                <w:kern w:val="0"/>
                <w:sz w:val="24"/>
                <w:szCs w:val="20"/>
                <w:highlight w:val="none"/>
              </w:rPr>
              <w:t xml:space="preserve"> </w:t>
            </w:r>
            <w:r>
              <w:rPr>
                <w:rFonts w:hint="eastAsia"/>
                <w:b/>
                <w:color w:val="auto"/>
                <w:kern w:val="0"/>
                <w:sz w:val="24"/>
                <w:szCs w:val="20"/>
                <w:highlight w:val="none"/>
              </w:rPr>
              <w:t>锅炉估算模式计算结果</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48"/>
              <w:gridCol w:w="1190"/>
              <w:gridCol w:w="1019"/>
              <w:gridCol w:w="1399"/>
              <w:gridCol w:w="984"/>
              <w:gridCol w:w="1174"/>
              <w:gridCol w:w="1090"/>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648" w:type="dxa"/>
                  <w:vMerge w:val="restart"/>
                  <w:tcBorders>
                    <w:top w:val="single" w:color="auto" w:sz="12" w:space="0"/>
                    <w:left w:val="nil"/>
                    <w:bottom w:val="single" w:color="auto" w:sz="4" w:space="0"/>
                    <w:right w:val="single" w:color="auto" w:sz="4" w:space="0"/>
                  </w:tcBorders>
                  <w:vAlign w:val="center"/>
                </w:tcPr>
                <w:p>
                  <w:pPr>
                    <w:jc w:val="center"/>
                    <w:rPr>
                      <w:color w:val="auto"/>
                      <w:kern w:val="0"/>
                      <w:szCs w:val="21"/>
                      <w:highlight w:val="none"/>
                    </w:rPr>
                  </w:pPr>
                  <w:r>
                    <w:rPr>
                      <w:rFonts w:hint="eastAsia"/>
                      <w:color w:val="auto"/>
                      <w:kern w:val="0"/>
                      <w:szCs w:val="21"/>
                      <w:highlight w:val="none"/>
                    </w:rPr>
                    <w:t>下风向距离</w:t>
                  </w:r>
                  <w:r>
                    <w:rPr>
                      <w:color w:val="auto"/>
                      <w:kern w:val="0"/>
                      <w:szCs w:val="21"/>
                      <w:highlight w:val="none"/>
                    </w:rPr>
                    <w:t>/m</w:t>
                  </w:r>
                </w:p>
              </w:tc>
              <w:tc>
                <w:tcPr>
                  <w:tcW w:w="6856" w:type="dxa"/>
                  <w:gridSpan w:val="6"/>
                  <w:tcBorders>
                    <w:top w:val="single" w:color="auto" w:sz="12" w:space="0"/>
                    <w:left w:val="single" w:color="auto" w:sz="4" w:space="0"/>
                    <w:bottom w:val="single" w:color="auto" w:sz="4" w:space="0"/>
                    <w:right w:val="nil"/>
                  </w:tcBorders>
                  <w:vAlign w:val="center"/>
                </w:tcPr>
                <w:p>
                  <w:pPr>
                    <w:jc w:val="center"/>
                    <w:rPr>
                      <w:rFonts w:hint="eastAsia"/>
                      <w:color w:val="auto"/>
                      <w:kern w:val="0"/>
                      <w:szCs w:val="21"/>
                      <w:highlight w:val="none"/>
                    </w:rPr>
                  </w:pPr>
                  <w:r>
                    <w:rPr>
                      <w:rFonts w:hint="eastAsia"/>
                      <w:color w:val="auto"/>
                      <w:kern w:val="0"/>
                      <w:szCs w:val="21"/>
                      <w:highlight w:val="none"/>
                    </w:rPr>
                    <w:t>锅炉烟囱</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1648" w:type="dxa"/>
                  <w:vMerge w:val="continue"/>
                  <w:tcBorders>
                    <w:top w:val="single" w:color="auto" w:sz="12" w:space="0"/>
                    <w:left w:val="nil"/>
                    <w:bottom w:val="single" w:color="auto" w:sz="4" w:space="0"/>
                    <w:right w:val="single" w:color="auto" w:sz="4" w:space="0"/>
                  </w:tcBorders>
                  <w:vAlign w:val="center"/>
                </w:tcPr>
                <w:p>
                  <w:pPr>
                    <w:widowControl/>
                    <w:jc w:val="left"/>
                    <w:rPr>
                      <w:color w:val="auto"/>
                      <w:kern w:val="0"/>
                      <w:szCs w:val="21"/>
                      <w:highlight w:val="none"/>
                    </w:rPr>
                  </w:pPr>
                </w:p>
              </w:tc>
              <w:tc>
                <w:tcPr>
                  <w:tcW w:w="2209"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highlight w:val="none"/>
                    </w:rPr>
                  </w:pPr>
                  <w:r>
                    <w:rPr>
                      <w:color w:val="auto"/>
                      <w:kern w:val="0"/>
                      <w:szCs w:val="21"/>
                      <w:highlight w:val="none"/>
                    </w:rPr>
                    <w:t>SO</w:t>
                  </w:r>
                  <w:r>
                    <w:rPr>
                      <w:color w:val="auto"/>
                      <w:kern w:val="0"/>
                      <w:szCs w:val="21"/>
                      <w:highlight w:val="none"/>
                      <w:vertAlign w:val="subscript"/>
                    </w:rPr>
                    <w:t>2</w:t>
                  </w:r>
                </w:p>
              </w:tc>
              <w:tc>
                <w:tcPr>
                  <w:tcW w:w="2383" w:type="dxa"/>
                  <w:gridSpan w:val="2"/>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highlight w:val="none"/>
                    </w:rPr>
                  </w:pPr>
                  <w:r>
                    <w:rPr>
                      <w:rFonts w:hint="eastAsia"/>
                      <w:color w:val="auto"/>
                      <w:kern w:val="0"/>
                      <w:szCs w:val="21"/>
                      <w:highlight w:val="none"/>
                    </w:rPr>
                    <w:t>颗粒物</w:t>
                  </w:r>
                </w:p>
              </w:tc>
              <w:tc>
                <w:tcPr>
                  <w:tcW w:w="2264" w:type="dxa"/>
                  <w:gridSpan w:val="2"/>
                  <w:tcBorders>
                    <w:top w:val="single" w:color="auto" w:sz="4" w:space="0"/>
                    <w:left w:val="single" w:color="auto" w:sz="4" w:space="0"/>
                    <w:bottom w:val="single" w:color="auto" w:sz="4" w:space="0"/>
                    <w:right w:val="nil"/>
                  </w:tcBorders>
                  <w:vAlign w:val="center"/>
                </w:tcPr>
                <w:p>
                  <w:pPr>
                    <w:jc w:val="center"/>
                    <w:rPr>
                      <w:color w:val="auto"/>
                      <w:kern w:val="0"/>
                      <w:szCs w:val="21"/>
                      <w:highlight w:val="none"/>
                    </w:rPr>
                  </w:pPr>
                  <w:r>
                    <w:rPr>
                      <w:color w:val="auto"/>
                      <w:kern w:val="0"/>
                      <w:szCs w:val="21"/>
                      <w:highlight w:val="none"/>
                    </w:rPr>
                    <w:t>NO</w:t>
                  </w:r>
                  <w:r>
                    <w:rPr>
                      <w:color w:val="auto"/>
                      <w:kern w:val="0"/>
                      <w:szCs w:val="21"/>
                      <w:highlight w:val="none"/>
                      <w:vertAlign w:val="subscript"/>
                    </w:rPr>
                    <w:t>X</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jc w:val="center"/>
              </w:trPr>
              <w:tc>
                <w:tcPr>
                  <w:tcW w:w="1648" w:type="dxa"/>
                  <w:vMerge w:val="continue"/>
                  <w:tcBorders>
                    <w:top w:val="single" w:color="auto" w:sz="12" w:space="0"/>
                    <w:left w:val="nil"/>
                    <w:bottom w:val="single" w:color="auto" w:sz="4" w:space="0"/>
                    <w:right w:val="single" w:color="auto" w:sz="4" w:space="0"/>
                  </w:tcBorders>
                  <w:vAlign w:val="center"/>
                </w:tcPr>
                <w:p>
                  <w:pPr>
                    <w:widowControl/>
                    <w:jc w:val="left"/>
                    <w:rPr>
                      <w:color w:val="auto"/>
                      <w:kern w:val="0"/>
                      <w:szCs w:val="21"/>
                      <w:highlight w:val="none"/>
                    </w:rPr>
                  </w:pP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highlight w:val="none"/>
                    </w:rPr>
                  </w:pPr>
                  <w:r>
                    <w:rPr>
                      <w:rFonts w:hint="eastAsia"/>
                      <w:color w:val="auto"/>
                      <w:kern w:val="0"/>
                      <w:szCs w:val="21"/>
                      <w:highlight w:val="none"/>
                    </w:rPr>
                    <w:t>预测质量浓度</w:t>
                  </w:r>
                  <w:r>
                    <w:rPr>
                      <w:color w:val="auto"/>
                      <w:kern w:val="0"/>
                      <w:szCs w:val="21"/>
                      <w:highlight w:val="none"/>
                    </w:rPr>
                    <w:t>/µg/m</w:t>
                  </w:r>
                  <w:r>
                    <w:rPr>
                      <w:color w:val="auto"/>
                      <w:kern w:val="0"/>
                      <w:szCs w:val="21"/>
                      <w:highlight w:val="none"/>
                      <w:vertAlign w:val="superscript"/>
                    </w:rPr>
                    <w:t>3</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highlight w:val="none"/>
                    </w:rPr>
                  </w:pPr>
                  <w:r>
                    <w:rPr>
                      <w:rFonts w:hint="eastAsia"/>
                      <w:color w:val="auto"/>
                      <w:kern w:val="0"/>
                      <w:szCs w:val="21"/>
                      <w:highlight w:val="none"/>
                    </w:rPr>
                    <w:t>占标率</w:t>
                  </w:r>
                  <w:r>
                    <w:rPr>
                      <w:color w:val="auto"/>
                      <w:kern w:val="0"/>
                      <w:szCs w:val="21"/>
                      <w:highlight w:val="none"/>
                    </w:rPr>
                    <w:t>/%</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highlight w:val="none"/>
                    </w:rPr>
                  </w:pPr>
                  <w:r>
                    <w:rPr>
                      <w:rFonts w:hint="eastAsia"/>
                      <w:color w:val="auto"/>
                      <w:kern w:val="0"/>
                      <w:szCs w:val="21"/>
                      <w:highlight w:val="none"/>
                    </w:rPr>
                    <w:t>预测质量浓度</w:t>
                  </w:r>
                  <w:r>
                    <w:rPr>
                      <w:color w:val="auto"/>
                      <w:kern w:val="0"/>
                      <w:szCs w:val="21"/>
                      <w:highlight w:val="none"/>
                    </w:rPr>
                    <w:t>/µg/m</w:t>
                  </w:r>
                  <w:r>
                    <w:rPr>
                      <w:color w:val="auto"/>
                      <w:kern w:val="0"/>
                      <w:szCs w:val="21"/>
                      <w:highlight w:val="none"/>
                      <w:vertAlign w:val="superscript"/>
                    </w:rPr>
                    <w:t>3</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highlight w:val="none"/>
                    </w:rPr>
                  </w:pPr>
                  <w:r>
                    <w:rPr>
                      <w:rFonts w:hint="eastAsia"/>
                      <w:color w:val="auto"/>
                      <w:kern w:val="0"/>
                      <w:szCs w:val="21"/>
                      <w:highlight w:val="none"/>
                    </w:rPr>
                    <w:t>占标率</w:t>
                  </w:r>
                  <w:r>
                    <w:rPr>
                      <w:color w:val="auto"/>
                      <w:kern w:val="0"/>
                      <w:szCs w:val="21"/>
                      <w:highlight w:val="none"/>
                    </w:rPr>
                    <w:t>/%</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color w:val="auto"/>
                      <w:kern w:val="0"/>
                      <w:szCs w:val="21"/>
                      <w:highlight w:val="none"/>
                    </w:rPr>
                  </w:pPr>
                  <w:r>
                    <w:rPr>
                      <w:rFonts w:hint="eastAsia"/>
                      <w:color w:val="auto"/>
                      <w:kern w:val="0"/>
                      <w:szCs w:val="21"/>
                      <w:highlight w:val="none"/>
                    </w:rPr>
                    <w:t>预测质量浓度</w:t>
                  </w:r>
                  <w:r>
                    <w:rPr>
                      <w:color w:val="auto"/>
                      <w:kern w:val="0"/>
                      <w:szCs w:val="21"/>
                      <w:highlight w:val="none"/>
                    </w:rPr>
                    <w:t>/µg/m</w:t>
                  </w:r>
                  <w:r>
                    <w:rPr>
                      <w:color w:val="auto"/>
                      <w:kern w:val="0"/>
                      <w:szCs w:val="21"/>
                      <w:highlight w:val="none"/>
                      <w:vertAlign w:val="superscript"/>
                    </w:rPr>
                    <w:t>3</w:t>
                  </w:r>
                </w:p>
              </w:tc>
              <w:tc>
                <w:tcPr>
                  <w:tcW w:w="1090" w:type="dxa"/>
                  <w:tcBorders>
                    <w:top w:val="single" w:color="auto" w:sz="4" w:space="0"/>
                    <w:left w:val="single" w:color="auto" w:sz="4" w:space="0"/>
                    <w:bottom w:val="single" w:color="auto" w:sz="4" w:space="0"/>
                    <w:right w:val="nil"/>
                  </w:tcBorders>
                  <w:vAlign w:val="center"/>
                </w:tcPr>
                <w:p>
                  <w:pPr>
                    <w:jc w:val="center"/>
                    <w:rPr>
                      <w:color w:val="auto"/>
                      <w:kern w:val="0"/>
                      <w:szCs w:val="21"/>
                      <w:highlight w:val="none"/>
                    </w:rPr>
                  </w:pPr>
                  <w:r>
                    <w:rPr>
                      <w:rFonts w:hint="eastAsia"/>
                      <w:color w:val="auto"/>
                      <w:kern w:val="0"/>
                      <w:szCs w:val="21"/>
                      <w:highlight w:val="none"/>
                    </w:rPr>
                    <w:t>占标率</w:t>
                  </w:r>
                  <w:r>
                    <w:rPr>
                      <w:color w:val="auto"/>
                      <w:kern w:val="0"/>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0" w:hRule="atLeast"/>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kern w:val="0"/>
                      <w:szCs w:val="21"/>
                      <w:highlight w:val="none"/>
                    </w:rPr>
                  </w:pPr>
                  <w:r>
                    <w:rPr>
                      <w:color w:val="auto"/>
                      <w:kern w:val="0"/>
                      <w:szCs w:val="21"/>
                      <w:highlight w:val="none"/>
                    </w:rPr>
                    <w:t>25</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0.77</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0.15</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0.11</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0.02</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0.86</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highlight w:val="none"/>
                    </w:rPr>
                    <w:t>0.34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50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highlight w:val="none"/>
                    </w:rPr>
                  </w:pPr>
                  <w:r>
                    <w:rPr>
                      <w:rFonts w:hint="eastAsia"/>
                      <w:color w:val="auto"/>
                      <w:highlight w:val="none"/>
                    </w:rPr>
                    <w:t>3.83</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0.77</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0.56</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0.12</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4.27</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highlight w:val="none"/>
                    </w:rPr>
                    <w:t>1.71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8" w:type="dxa"/>
                  <w:tcBorders>
                    <w:top w:val="single" w:color="auto" w:sz="4" w:space="0"/>
                    <w:left w:val="nil"/>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75</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Cs w:val="21"/>
                      <w:highlight w:val="none"/>
                      <w:lang w:val="en-US" w:eastAsia="zh-CN"/>
                    </w:rPr>
                  </w:pPr>
                  <w:r>
                    <w:rPr>
                      <w:rFonts w:hint="eastAsia"/>
                      <w:color w:val="auto"/>
                      <w:highlight w:val="none"/>
                    </w:rPr>
                    <w:t>8.66</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Cs w:val="21"/>
                      <w:highlight w:val="none"/>
                      <w:lang w:val="en-US" w:eastAsia="zh-CN"/>
                    </w:rPr>
                  </w:pPr>
                  <w:r>
                    <w:rPr>
                      <w:rFonts w:hint="eastAsia"/>
                      <w:color w:val="auto"/>
                      <w:highlight w:val="none"/>
                    </w:rPr>
                    <w:t>1.73</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Cs w:val="21"/>
                      <w:highlight w:val="none"/>
                      <w:lang w:val="en-US" w:eastAsia="zh-CN"/>
                    </w:rPr>
                  </w:pPr>
                  <w:r>
                    <w:rPr>
                      <w:rFonts w:hint="eastAsia"/>
                      <w:color w:val="auto"/>
                      <w:highlight w:val="none"/>
                    </w:rPr>
                    <w:t>1.27</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Cs w:val="21"/>
                      <w:highlight w:val="none"/>
                      <w:lang w:val="en-US" w:eastAsia="zh-CN"/>
                    </w:rPr>
                  </w:pPr>
                  <w:r>
                    <w:rPr>
                      <w:rFonts w:hint="eastAsia"/>
                      <w:color w:val="auto"/>
                      <w:highlight w:val="none"/>
                    </w:rPr>
                    <w:t>0.28</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eastAsia"/>
                      <w:color w:val="auto"/>
                      <w:szCs w:val="21"/>
                      <w:highlight w:val="none"/>
                      <w:lang w:val="en-US" w:eastAsia="zh-CN"/>
                    </w:rPr>
                  </w:pPr>
                  <w:r>
                    <w:rPr>
                      <w:rFonts w:hint="eastAsia"/>
                      <w:color w:val="auto"/>
                      <w:highlight w:val="none"/>
                    </w:rPr>
                    <w:t>9.67</w:t>
                  </w:r>
                </w:p>
              </w:tc>
              <w:tc>
                <w:tcPr>
                  <w:tcW w:w="1090" w:type="dxa"/>
                  <w:tcBorders>
                    <w:top w:val="single" w:color="auto" w:sz="4" w:space="0"/>
                    <w:left w:val="single" w:color="auto" w:sz="4" w:space="0"/>
                    <w:bottom w:val="single" w:color="auto" w:sz="4" w:space="0"/>
                    <w:right w:val="nil"/>
                  </w:tcBorders>
                  <w:vAlign w:val="center"/>
                </w:tcPr>
                <w:p>
                  <w:pPr>
                    <w:jc w:val="center"/>
                    <w:rPr>
                      <w:rFonts w:hint="eastAsia"/>
                      <w:color w:val="auto"/>
                      <w:szCs w:val="21"/>
                      <w:highlight w:val="none"/>
                      <w:lang w:val="en-US" w:eastAsia="zh-CN"/>
                    </w:rPr>
                  </w:pPr>
                  <w:r>
                    <w:rPr>
                      <w:rFonts w:hint="eastAsia"/>
                      <w:color w:val="auto"/>
                      <w:highlight w:val="none"/>
                    </w:rPr>
                    <w:t>3.87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100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8.02</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1.60</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1.17</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0.26</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8.95</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highlight w:val="none"/>
                    </w:rPr>
                    <w:t>3.58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200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7.74</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1.55</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1.13</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0.25</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8.64</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3.46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250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8.84</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1.77</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1.29</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0.29</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9.87</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3.95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9" w:hRule="atLeast"/>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300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10.25</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2.05</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1.50</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0.33</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11.45</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4.58</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400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14.59</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2.92</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2.13</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0.47</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16.29</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6.51</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5" w:hRule="atLeast"/>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500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15.45</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3.09</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2.26</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0.50</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17.25</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6.90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600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14.79</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2.96</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2.16</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0.48</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16.51</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6.60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700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13.53</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2.71</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1.96</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0.44</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15.11</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6.04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800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12.36</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2.47</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1.81</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0.40</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13.80</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5.52</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900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11.32</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2.26</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1.66</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0.37</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rPr>
                    <w:t>12.64</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5.06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color w:val="auto"/>
                      <w:szCs w:val="21"/>
                      <w:highlight w:val="none"/>
                    </w:rPr>
                    <w:t>1000</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10.43</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2.09</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1.52</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0.34</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highlight w:val="none"/>
                      <w:lang w:val="en-US" w:eastAsia="zh-CN"/>
                    </w:rPr>
                    <w:t>11.64</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4.66</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648" w:type="dxa"/>
                  <w:tcBorders>
                    <w:top w:val="single" w:color="auto" w:sz="4" w:space="0"/>
                    <w:left w:val="nil"/>
                    <w:bottom w:val="single" w:color="auto" w:sz="4" w:space="0"/>
                    <w:right w:val="single" w:color="auto" w:sz="4" w:space="0"/>
                  </w:tcBorders>
                  <w:vAlign w:val="center"/>
                </w:tcPr>
                <w:p>
                  <w:pPr>
                    <w:jc w:val="center"/>
                    <w:rPr>
                      <w:color w:val="auto"/>
                      <w:szCs w:val="21"/>
                      <w:highlight w:val="none"/>
                    </w:rPr>
                  </w:pPr>
                  <w:r>
                    <w:rPr>
                      <w:rFonts w:hint="eastAsia"/>
                      <w:color w:val="auto"/>
                      <w:szCs w:val="21"/>
                      <w:highlight w:val="none"/>
                    </w:rPr>
                    <w:t>下风向最大质量浓度及占标率</w:t>
                  </w:r>
                </w:p>
              </w:tc>
              <w:tc>
                <w:tcPr>
                  <w:tcW w:w="1190"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15.46（490m）</w:t>
                  </w:r>
                </w:p>
              </w:tc>
              <w:tc>
                <w:tcPr>
                  <w:tcW w:w="1019"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3.09</w:t>
                  </w:r>
                </w:p>
              </w:tc>
              <w:tc>
                <w:tcPr>
                  <w:tcW w:w="1399"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highlight w:val="none"/>
                    </w:rPr>
                  </w:pPr>
                  <w:r>
                    <w:rPr>
                      <w:rFonts w:hint="eastAsia"/>
                      <w:color w:val="auto"/>
                      <w:szCs w:val="21"/>
                      <w:highlight w:val="none"/>
                      <w:lang w:val="en-US" w:eastAsia="zh-CN"/>
                    </w:rPr>
                    <w:t>2.26</w:t>
                  </w:r>
                  <w:r>
                    <w:rPr>
                      <w:rFonts w:hint="eastAsia"/>
                      <w:color w:val="auto"/>
                      <w:szCs w:val="21"/>
                      <w:highlight w:val="none"/>
                    </w:rPr>
                    <w:t>(</w:t>
                  </w:r>
                  <w:r>
                    <w:rPr>
                      <w:rFonts w:hint="eastAsia"/>
                      <w:color w:val="auto"/>
                      <w:szCs w:val="21"/>
                      <w:highlight w:val="none"/>
                      <w:lang w:val="en-US" w:eastAsia="zh-CN"/>
                    </w:rPr>
                    <w:t>490</w:t>
                  </w:r>
                  <w:r>
                    <w:rPr>
                      <w:rFonts w:hint="eastAsia"/>
                      <w:color w:val="auto"/>
                      <w:szCs w:val="21"/>
                      <w:highlight w:val="none"/>
                    </w:rPr>
                    <w:t>m)</w:t>
                  </w:r>
                </w:p>
              </w:tc>
              <w:tc>
                <w:tcPr>
                  <w:tcW w:w="984" w:type="dxa"/>
                  <w:tcBorders>
                    <w:top w:val="single" w:color="auto" w:sz="4" w:space="0"/>
                    <w:left w:val="single" w:color="auto" w:sz="4" w:space="0"/>
                    <w:bottom w:val="single" w:color="auto" w:sz="4" w:space="0"/>
                    <w:right w:val="single" w:color="auto" w:sz="4" w:space="0"/>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0.50</w:t>
                  </w:r>
                </w:p>
              </w:tc>
              <w:tc>
                <w:tcPr>
                  <w:tcW w:w="1174" w:type="dxa"/>
                  <w:tcBorders>
                    <w:top w:val="single" w:color="auto" w:sz="4" w:space="0"/>
                    <w:left w:val="single" w:color="auto" w:sz="4" w:space="0"/>
                    <w:bottom w:val="single" w:color="auto" w:sz="4" w:space="0"/>
                    <w:right w:val="single" w:color="auto" w:sz="4" w:space="0"/>
                  </w:tcBorders>
                  <w:vAlign w:val="center"/>
                </w:tcPr>
                <w:p>
                  <w:pPr>
                    <w:jc w:val="center"/>
                    <w:rPr>
                      <w:color w:val="auto"/>
                      <w:szCs w:val="21"/>
                      <w:highlight w:val="none"/>
                    </w:rPr>
                  </w:pPr>
                  <w:r>
                    <w:rPr>
                      <w:rFonts w:hint="eastAsia"/>
                      <w:color w:val="auto"/>
                      <w:szCs w:val="21"/>
                      <w:highlight w:val="none"/>
                      <w:lang w:val="en-US" w:eastAsia="zh-CN"/>
                    </w:rPr>
                    <w:t>17.26</w:t>
                  </w:r>
                  <w:r>
                    <w:rPr>
                      <w:rFonts w:hint="eastAsia"/>
                      <w:color w:val="auto"/>
                      <w:szCs w:val="21"/>
                      <w:highlight w:val="none"/>
                    </w:rPr>
                    <w:t>(</w:t>
                  </w:r>
                  <w:r>
                    <w:rPr>
                      <w:rFonts w:hint="eastAsia"/>
                      <w:color w:val="auto"/>
                      <w:szCs w:val="21"/>
                      <w:highlight w:val="none"/>
                      <w:lang w:val="en-US" w:eastAsia="zh-CN"/>
                    </w:rPr>
                    <w:t>490</w:t>
                  </w:r>
                  <w:r>
                    <w:rPr>
                      <w:rFonts w:hint="eastAsia"/>
                      <w:color w:val="auto"/>
                      <w:szCs w:val="21"/>
                      <w:highlight w:val="none"/>
                    </w:rPr>
                    <w:t>m)</w:t>
                  </w:r>
                </w:p>
              </w:tc>
              <w:tc>
                <w:tcPr>
                  <w:tcW w:w="1090" w:type="dxa"/>
                  <w:tcBorders>
                    <w:top w:val="single" w:color="auto" w:sz="4" w:space="0"/>
                    <w:left w:val="single" w:color="auto" w:sz="4" w:space="0"/>
                    <w:bottom w:val="single" w:color="auto" w:sz="4" w:space="0"/>
                    <w:right w:val="nil"/>
                  </w:tcBorders>
                  <w:vAlign w:val="center"/>
                </w:tcPr>
                <w:p>
                  <w:pPr>
                    <w:jc w:val="center"/>
                    <w:rPr>
                      <w:rFonts w:hint="default" w:eastAsia="宋体"/>
                      <w:color w:val="auto"/>
                      <w:szCs w:val="21"/>
                      <w:highlight w:val="none"/>
                      <w:lang w:val="en-US" w:eastAsia="zh-CN"/>
                    </w:rPr>
                  </w:pPr>
                  <w:r>
                    <w:rPr>
                      <w:rFonts w:hint="eastAsia"/>
                      <w:color w:val="auto"/>
                      <w:szCs w:val="21"/>
                      <w:highlight w:val="none"/>
                      <w:lang w:val="en-US" w:eastAsia="zh-CN"/>
                    </w:rPr>
                    <w:t>6.90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1648" w:type="dxa"/>
                  <w:tcBorders>
                    <w:top w:val="single" w:color="auto" w:sz="4" w:space="0"/>
                    <w:left w:val="nil"/>
                    <w:bottom w:val="single" w:color="auto" w:sz="12" w:space="0"/>
                    <w:right w:val="single" w:color="auto" w:sz="4" w:space="0"/>
                  </w:tcBorders>
                  <w:vAlign w:val="center"/>
                </w:tcPr>
                <w:p>
                  <w:pPr>
                    <w:jc w:val="center"/>
                    <w:rPr>
                      <w:color w:val="auto"/>
                      <w:szCs w:val="21"/>
                      <w:highlight w:val="none"/>
                    </w:rPr>
                  </w:pPr>
                  <w:r>
                    <w:rPr>
                      <w:color w:val="auto"/>
                      <w:szCs w:val="21"/>
                      <w:highlight w:val="none"/>
                    </w:rPr>
                    <w:t>D10%</w:t>
                  </w:r>
                  <w:r>
                    <w:rPr>
                      <w:rFonts w:hint="eastAsia"/>
                      <w:color w:val="auto"/>
                      <w:szCs w:val="21"/>
                      <w:highlight w:val="none"/>
                    </w:rPr>
                    <w:t>最远距离</w:t>
                  </w:r>
                  <w:r>
                    <w:rPr>
                      <w:color w:val="auto"/>
                      <w:szCs w:val="21"/>
                      <w:highlight w:val="none"/>
                    </w:rPr>
                    <w:t>/m</w:t>
                  </w:r>
                </w:p>
              </w:tc>
              <w:tc>
                <w:tcPr>
                  <w:tcW w:w="6856" w:type="dxa"/>
                  <w:gridSpan w:val="6"/>
                  <w:tcBorders>
                    <w:top w:val="single" w:color="auto" w:sz="4" w:space="0"/>
                    <w:left w:val="single" w:color="auto" w:sz="4" w:space="0"/>
                    <w:bottom w:val="single" w:color="auto" w:sz="12" w:space="0"/>
                    <w:right w:val="nil"/>
                  </w:tcBorders>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w:t>
                  </w:r>
                </w:p>
              </w:tc>
            </w:tr>
          </w:tbl>
          <w:p>
            <w:pPr>
              <w:adjustRightInd w:val="0"/>
              <w:snapToGrid w:val="0"/>
              <w:spacing w:line="360" w:lineRule="auto"/>
              <w:ind w:firstLine="480" w:firstLineChars="200"/>
              <w:textAlignment w:val="baseline"/>
              <w:rPr>
                <w:rFonts w:cs="Calibri"/>
                <w:color w:val="auto"/>
                <w:kern w:val="0"/>
                <w:sz w:val="24"/>
                <w:szCs w:val="20"/>
                <w:highlight w:val="none"/>
              </w:rPr>
            </w:pPr>
            <w:r>
              <w:rPr>
                <w:rFonts w:hint="eastAsia" w:cs="Calibri"/>
                <w:color w:val="auto"/>
                <w:kern w:val="0"/>
                <w:sz w:val="24"/>
                <w:szCs w:val="20"/>
                <w:highlight w:val="none"/>
              </w:rPr>
              <w:t>（</w:t>
            </w:r>
            <w:r>
              <w:rPr>
                <w:rFonts w:cs="Calibri"/>
                <w:color w:val="auto"/>
                <w:kern w:val="0"/>
                <w:sz w:val="24"/>
                <w:szCs w:val="20"/>
                <w:highlight w:val="none"/>
              </w:rPr>
              <w:t>b</w:t>
            </w:r>
            <w:r>
              <w:rPr>
                <w:rFonts w:hint="eastAsia" w:cs="Calibri"/>
                <w:color w:val="auto"/>
                <w:kern w:val="0"/>
                <w:sz w:val="24"/>
                <w:szCs w:val="20"/>
                <w:highlight w:val="none"/>
              </w:rPr>
              <w:t>）评价等级及评价范围</w:t>
            </w:r>
          </w:p>
          <w:p>
            <w:pPr>
              <w:adjustRightInd w:val="0"/>
              <w:snapToGrid w:val="0"/>
              <w:spacing w:line="360" w:lineRule="auto"/>
              <w:ind w:firstLine="480" w:firstLineChars="200"/>
              <w:textAlignment w:val="baseline"/>
              <w:rPr>
                <w:rFonts w:hint="eastAsia"/>
                <w:color w:val="auto"/>
                <w:kern w:val="0"/>
                <w:sz w:val="24"/>
                <w:szCs w:val="20"/>
                <w:highlight w:val="none"/>
                <w:lang w:eastAsia="zh-CN"/>
              </w:rPr>
            </w:pPr>
            <w:r>
              <w:rPr>
                <w:rFonts w:hint="eastAsia"/>
                <w:color w:val="auto"/>
                <w:kern w:val="0"/>
                <w:sz w:val="24"/>
                <w:szCs w:val="20"/>
                <w:highlight w:val="none"/>
              </w:rPr>
              <w:t>锅炉烟囱氮氧化物最大落地浓度出现在排放源下风向</w:t>
            </w:r>
            <w:r>
              <w:rPr>
                <w:rFonts w:hint="eastAsia"/>
                <w:color w:val="auto"/>
                <w:kern w:val="0"/>
                <w:sz w:val="24"/>
                <w:szCs w:val="20"/>
                <w:highlight w:val="none"/>
                <w:lang w:val="en-US" w:eastAsia="zh-CN"/>
              </w:rPr>
              <w:t>490</w:t>
            </w:r>
            <w:r>
              <w:rPr>
                <w:color w:val="auto"/>
                <w:kern w:val="0"/>
                <w:sz w:val="24"/>
                <w:szCs w:val="20"/>
                <w:highlight w:val="none"/>
              </w:rPr>
              <w:t>m</w:t>
            </w:r>
            <w:r>
              <w:rPr>
                <w:rFonts w:hint="eastAsia"/>
                <w:color w:val="auto"/>
                <w:kern w:val="0"/>
                <w:sz w:val="24"/>
                <w:szCs w:val="20"/>
                <w:highlight w:val="none"/>
              </w:rPr>
              <w:t>处，最大落地浓度为</w:t>
            </w:r>
            <w:r>
              <w:rPr>
                <w:rFonts w:hint="eastAsia"/>
                <w:color w:val="auto"/>
                <w:kern w:val="0"/>
                <w:sz w:val="24"/>
                <w:szCs w:val="20"/>
                <w:highlight w:val="none"/>
                <w:lang w:val="en-US" w:eastAsia="zh-CN"/>
              </w:rPr>
              <w:t>17.26</w:t>
            </w:r>
            <w:r>
              <w:rPr>
                <w:color w:val="auto"/>
                <w:kern w:val="0"/>
                <w:sz w:val="24"/>
                <w:szCs w:val="20"/>
                <w:highlight w:val="none"/>
              </w:rPr>
              <w:t>μg/m</w:t>
            </w:r>
            <w:r>
              <w:rPr>
                <w:color w:val="auto"/>
                <w:kern w:val="0"/>
                <w:sz w:val="24"/>
                <w:szCs w:val="20"/>
                <w:highlight w:val="none"/>
                <w:vertAlign w:val="superscript"/>
              </w:rPr>
              <w:t>3</w:t>
            </w:r>
            <w:r>
              <w:rPr>
                <w:rFonts w:hint="eastAsia"/>
                <w:color w:val="auto"/>
                <w:kern w:val="0"/>
                <w:sz w:val="24"/>
                <w:szCs w:val="20"/>
                <w:highlight w:val="none"/>
              </w:rPr>
              <w:t>，占标率为</w:t>
            </w:r>
            <w:r>
              <w:rPr>
                <w:rFonts w:hint="eastAsia"/>
                <w:color w:val="auto"/>
                <w:kern w:val="0"/>
                <w:sz w:val="24"/>
                <w:szCs w:val="20"/>
                <w:highlight w:val="none"/>
                <w:lang w:val="en-US" w:eastAsia="zh-CN"/>
              </w:rPr>
              <w:t>6.90</w:t>
            </w:r>
            <w:r>
              <w:rPr>
                <w:color w:val="auto"/>
                <w:kern w:val="0"/>
                <w:sz w:val="24"/>
                <w:szCs w:val="20"/>
                <w:highlight w:val="none"/>
              </w:rPr>
              <w:t>%</w:t>
            </w:r>
            <w:r>
              <w:rPr>
                <w:rFonts w:hint="eastAsia"/>
                <w:color w:val="auto"/>
                <w:kern w:val="0"/>
                <w:sz w:val="24"/>
                <w:szCs w:val="20"/>
                <w:highlight w:val="none"/>
              </w:rPr>
              <w:t>；</w:t>
            </w:r>
            <w:r>
              <w:rPr>
                <w:color w:val="auto"/>
                <w:kern w:val="0"/>
                <w:sz w:val="24"/>
                <w:szCs w:val="20"/>
                <w:highlight w:val="none"/>
              </w:rPr>
              <w:t>SO</w:t>
            </w:r>
            <w:r>
              <w:rPr>
                <w:color w:val="auto"/>
                <w:kern w:val="0"/>
                <w:sz w:val="24"/>
                <w:szCs w:val="20"/>
                <w:highlight w:val="none"/>
                <w:vertAlign w:val="subscript"/>
              </w:rPr>
              <w:t>2</w:t>
            </w:r>
            <w:r>
              <w:rPr>
                <w:rFonts w:hint="eastAsia"/>
                <w:color w:val="auto"/>
                <w:kern w:val="0"/>
                <w:sz w:val="24"/>
                <w:szCs w:val="20"/>
                <w:highlight w:val="none"/>
              </w:rPr>
              <w:t>最大落地浓度出现在排放源下风向</w:t>
            </w:r>
            <w:r>
              <w:rPr>
                <w:rFonts w:hint="eastAsia"/>
                <w:color w:val="auto"/>
                <w:kern w:val="0"/>
                <w:sz w:val="24"/>
                <w:szCs w:val="20"/>
                <w:highlight w:val="none"/>
                <w:lang w:val="en-US" w:eastAsia="zh-CN"/>
              </w:rPr>
              <w:t>490</w:t>
            </w:r>
            <w:r>
              <w:rPr>
                <w:color w:val="auto"/>
                <w:kern w:val="0"/>
                <w:sz w:val="24"/>
                <w:szCs w:val="20"/>
                <w:highlight w:val="none"/>
              </w:rPr>
              <w:t>m</w:t>
            </w:r>
            <w:r>
              <w:rPr>
                <w:rFonts w:hint="eastAsia"/>
                <w:color w:val="auto"/>
                <w:kern w:val="0"/>
                <w:sz w:val="24"/>
                <w:szCs w:val="20"/>
                <w:highlight w:val="none"/>
              </w:rPr>
              <w:t>处，最大落地浓度为</w:t>
            </w:r>
            <w:r>
              <w:rPr>
                <w:rFonts w:hint="eastAsia"/>
                <w:color w:val="auto"/>
                <w:kern w:val="0"/>
                <w:sz w:val="24"/>
                <w:szCs w:val="20"/>
                <w:highlight w:val="none"/>
                <w:lang w:val="en-US" w:eastAsia="zh-CN"/>
              </w:rPr>
              <w:t>15.46</w:t>
            </w:r>
            <w:r>
              <w:rPr>
                <w:color w:val="auto"/>
                <w:kern w:val="0"/>
                <w:sz w:val="24"/>
                <w:szCs w:val="20"/>
                <w:highlight w:val="none"/>
              </w:rPr>
              <w:t>μg/m</w:t>
            </w:r>
            <w:r>
              <w:rPr>
                <w:color w:val="auto"/>
                <w:kern w:val="0"/>
                <w:sz w:val="24"/>
                <w:szCs w:val="20"/>
                <w:highlight w:val="none"/>
                <w:vertAlign w:val="superscript"/>
              </w:rPr>
              <w:t>3</w:t>
            </w:r>
            <w:r>
              <w:rPr>
                <w:rFonts w:hint="eastAsia"/>
                <w:color w:val="auto"/>
                <w:kern w:val="0"/>
                <w:sz w:val="24"/>
                <w:szCs w:val="20"/>
                <w:highlight w:val="none"/>
              </w:rPr>
              <w:t>，占标率为</w:t>
            </w:r>
            <w:r>
              <w:rPr>
                <w:rFonts w:hint="eastAsia"/>
                <w:color w:val="auto"/>
                <w:kern w:val="0"/>
                <w:sz w:val="24"/>
                <w:szCs w:val="20"/>
                <w:highlight w:val="none"/>
                <w:lang w:val="en-US" w:eastAsia="zh-CN"/>
              </w:rPr>
              <w:t>3.09</w:t>
            </w:r>
            <w:r>
              <w:rPr>
                <w:color w:val="auto"/>
                <w:kern w:val="0"/>
                <w:sz w:val="24"/>
                <w:szCs w:val="20"/>
                <w:highlight w:val="none"/>
              </w:rPr>
              <w:t>%</w:t>
            </w:r>
            <w:r>
              <w:rPr>
                <w:rFonts w:hint="eastAsia"/>
                <w:color w:val="auto"/>
                <w:kern w:val="0"/>
                <w:sz w:val="24"/>
                <w:szCs w:val="20"/>
                <w:highlight w:val="none"/>
              </w:rPr>
              <w:t>；颗粒物最大落地浓度出现在排放源下风向</w:t>
            </w:r>
            <w:r>
              <w:rPr>
                <w:rFonts w:hint="eastAsia"/>
                <w:color w:val="auto"/>
                <w:kern w:val="0"/>
                <w:sz w:val="24"/>
                <w:szCs w:val="20"/>
                <w:highlight w:val="none"/>
                <w:lang w:val="en-US" w:eastAsia="zh-CN"/>
              </w:rPr>
              <w:t>490</w:t>
            </w:r>
            <w:r>
              <w:rPr>
                <w:color w:val="auto"/>
                <w:kern w:val="0"/>
                <w:sz w:val="24"/>
                <w:szCs w:val="20"/>
                <w:highlight w:val="none"/>
              </w:rPr>
              <w:t>m</w:t>
            </w:r>
            <w:r>
              <w:rPr>
                <w:rFonts w:hint="eastAsia"/>
                <w:color w:val="auto"/>
                <w:kern w:val="0"/>
                <w:sz w:val="24"/>
                <w:szCs w:val="20"/>
                <w:highlight w:val="none"/>
              </w:rPr>
              <w:t>处，最大落地浓度为</w:t>
            </w:r>
            <w:r>
              <w:rPr>
                <w:rFonts w:hint="eastAsia"/>
                <w:color w:val="auto"/>
                <w:kern w:val="0"/>
                <w:sz w:val="24"/>
                <w:szCs w:val="20"/>
                <w:highlight w:val="none"/>
                <w:lang w:val="en-US" w:eastAsia="zh-CN"/>
              </w:rPr>
              <w:t>2.26</w:t>
            </w:r>
            <w:r>
              <w:rPr>
                <w:color w:val="auto"/>
                <w:kern w:val="0"/>
                <w:sz w:val="24"/>
                <w:szCs w:val="20"/>
                <w:highlight w:val="none"/>
              </w:rPr>
              <w:t>μg/m</w:t>
            </w:r>
            <w:r>
              <w:rPr>
                <w:color w:val="auto"/>
                <w:kern w:val="0"/>
                <w:sz w:val="24"/>
                <w:szCs w:val="20"/>
                <w:highlight w:val="none"/>
                <w:vertAlign w:val="superscript"/>
              </w:rPr>
              <w:t>3</w:t>
            </w:r>
            <w:r>
              <w:rPr>
                <w:rFonts w:hint="eastAsia"/>
                <w:color w:val="auto"/>
                <w:kern w:val="0"/>
                <w:sz w:val="24"/>
                <w:szCs w:val="20"/>
                <w:highlight w:val="none"/>
              </w:rPr>
              <w:t>，占标率为</w:t>
            </w:r>
            <w:r>
              <w:rPr>
                <w:rFonts w:hint="eastAsia"/>
                <w:color w:val="auto"/>
                <w:kern w:val="0"/>
                <w:sz w:val="24"/>
                <w:szCs w:val="20"/>
                <w:highlight w:val="none"/>
                <w:lang w:val="en-US" w:eastAsia="zh-CN"/>
              </w:rPr>
              <w:t>0.5</w:t>
            </w:r>
            <w:r>
              <w:rPr>
                <w:color w:val="auto"/>
                <w:kern w:val="0"/>
                <w:sz w:val="24"/>
                <w:szCs w:val="20"/>
                <w:highlight w:val="none"/>
              </w:rPr>
              <w:t>%</w:t>
            </w:r>
            <w:r>
              <w:rPr>
                <w:rFonts w:hint="eastAsia"/>
                <w:color w:val="auto"/>
                <w:kern w:val="0"/>
                <w:sz w:val="24"/>
                <w:szCs w:val="20"/>
                <w:highlight w:val="none"/>
              </w:rPr>
              <w:t>。</w:t>
            </w:r>
            <w:r>
              <w:rPr>
                <w:rFonts w:hint="eastAsia"/>
                <w:color w:val="auto"/>
                <w:kern w:val="0"/>
                <w:sz w:val="24"/>
                <w:szCs w:val="20"/>
                <w:highlight w:val="none"/>
                <w:lang w:eastAsia="zh-CN"/>
              </w:rPr>
              <w:t>根据《环境影响评价技术导则-大气环境》（HJ2.2-2018）评价工作分级判据进行分级，为二级评价项目，仅对污染物排放量进行汇总，无需进行环境影响预测。大气污染物有组织排放量核算表详见表7-</w:t>
            </w:r>
            <w:r>
              <w:rPr>
                <w:rFonts w:hint="eastAsia"/>
                <w:color w:val="auto"/>
                <w:kern w:val="0"/>
                <w:sz w:val="24"/>
                <w:szCs w:val="20"/>
                <w:highlight w:val="none"/>
                <w:lang w:val="en-US" w:eastAsia="zh-CN"/>
              </w:rPr>
              <w:t>5</w:t>
            </w:r>
            <w:r>
              <w:rPr>
                <w:rFonts w:hint="eastAsia"/>
                <w:color w:val="auto"/>
                <w:kern w:val="0"/>
                <w:sz w:val="24"/>
                <w:szCs w:val="20"/>
                <w:highlight w:val="none"/>
                <w:lang w:eastAsia="zh-CN"/>
              </w:rPr>
              <w:t>，大气污染物无组织排放量核算表详见表7-</w:t>
            </w:r>
            <w:r>
              <w:rPr>
                <w:rFonts w:hint="eastAsia"/>
                <w:color w:val="auto"/>
                <w:kern w:val="0"/>
                <w:sz w:val="24"/>
                <w:szCs w:val="20"/>
                <w:highlight w:val="none"/>
                <w:lang w:val="en-US" w:eastAsia="zh-CN"/>
              </w:rPr>
              <w:t>6</w:t>
            </w:r>
            <w:r>
              <w:rPr>
                <w:rFonts w:hint="eastAsia"/>
                <w:color w:val="auto"/>
                <w:kern w:val="0"/>
                <w:sz w:val="24"/>
                <w:szCs w:val="20"/>
                <w:highlight w:val="none"/>
                <w:lang w:eastAsia="zh-CN"/>
              </w:rPr>
              <w:t>，年排放量核算见表7-</w:t>
            </w:r>
            <w:r>
              <w:rPr>
                <w:rFonts w:hint="eastAsia"/>
                <w:color w:val="auto"/>
                <w:kern w:val="0"/>
                <w:sz w:val="24"/>
                <w:szCs w:val="20"/>
                <w:highlight w:val="none"/>
                <w:lang w:val="en-US" w:eastAsia="zh-CN"/>
              </w:rPr>
              <w:t>7</w:t>
            </w:r>
            <w:r>
              <w:rPr>
                <w:rFonts w:hint="eastAsia"/>
                <w:color w:val="auto"/>
                <w:kern w:val="0"/>
                <w:sz w:val="24"/>
                <w:szCs w:val="20"/>
                <w:highlight w:val="none"/>
                <w:lang w:eastAsia="zh-CN"/>
              </w:rPr>
              <w:t>。</w:t>
            </w:r>
          </w:p>
          <w:p>
            <w:pPr>
              <w:jc w:val="center"/>
              <w:rPr>
                <w:b/>
                <w:color w:val="auto"/>
                <w:sz w:val="24"/>
                <w:szCs w:val="28"/>
                <w:highlight w:val="none"/>
              </w:rPr>
            </w:pPr>
            <w:r>
              <w:rPr>
                <w:rFonts w:hint="eastAsia"/>
                <w:b/>
                <w:color w:val="auto"/>
                <w:sz w:val="24"/>
                <w:szCs w:val="28"/>
                <w:highlight w:val="none"/>
              </w:rPr>
              <w:t>表</w:t>
            </w:r>
            <w:r>
              <w:rPr>
                <w:b/>
                <w:color w:val="auto"/>
                <w:sz w:val="24"/>
                <w:szCs w:val="28"/>
                <w:highlight w:val="none"/>
              </w:rPr>
              <w:t>7-</w:t>
            </w:r>
            <w:r>
              <w:rPr>
                <w:rFonts w:hint="eastAsia"/>
                <w:b/>
                <w:color w:val="auto"/>
                <w:sz w:val="24"/>
                <w:szCs w:val="28"/>
                <w:highlight w:val="none"/>
                <w:lang w:val="en-US" w:eastAsia="zh-CN"/>
              </w:rPr>
              <w:t>5</w:t>
            </w:r>
            <w:r>
              <w:rPr>
                <w:b/>
                <w:color w:val="auto"/>
                <w:sz w:val="24"/>
                <w:szCs w:val="28"/>
                <w:highlight w:val="none"/>
              </w:rPr>
              <w:t xml:space="preserve"> </w:t>
            </w:r>
            <w:r>
              <w:rPr>
                <w:rFonts w:hint="eastAsia"/>
                <w:b/>
                <w:color w:val="auto"/>
                <w:sz w:val="24"/>
                <w:szCs w:val="28"/>
                <w:highlight w:val="none"/>
              </w:rPr>
              <w:t>大气污染物有组织排放量核算表</w:t>
            </w:r>
          </w:p>
          <w:tbl>
            <w:tblPr>
              <w:tblStyle w:val="36"/>
              <w:tblW w:w="82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19"/>
              <w:gridCol w:w="861"/>
              <w:gridCol w:w="2149"/>
              <w:gridCol w:w="1665"/>
              <w:gridCol w:w="1521"/>
              <w:gridCol w:w="1498"/>
              <w:gridCol w:w="9"/>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序号</w:t>
                  </w:r>
                </w:p>
              </w:tc>
              <w:tc>
                <w:tcPr>
                  <w:tcW w:w="861"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排放口编号</w:t>
                  </w:r>
                </w:p>
              </w:tc>
              <w:tc>
                <w:tcPr>
                  <w:tcW w:w="2149"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污染物</w:t>
                  </w:r>
                </w:p>
              </w:tc>
              <w:tc>
                <w:tcPr>
                  <w:tcW w:w="1665"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核算排放浓度/（mg/m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w:t>
                  </w:r>
                </w:p>
              </w:tc>
              <w:tc>
                <w:tcPr>
                  <w:tcW w:w="1521"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核算排放速率/（kg/h）</w:t>
                  </w:r>
                </w:p>
              </w:tc>
              <w:tc>
                <w:tcPr>
                  <w:tcW w:w="1507" w:type="dxa"/>
                  <w:gridSpan w:val="2"/>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核算年排放量/（t/a）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1</w:t>
                  </w:r>
                </w:p>
              </w:tc>
              <w:tc>
                <w:tcPr>
                  <w:tcW w:w="861" w:type="dxa"/>
                  <w:vMerge w:val="restart"/>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P1</w:t>
                  </w:r>
                </w:p>
              </w:tc>
              <w:tc>
                <w:tcPr>
                  <w:tcW w:w="2149"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1665"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bCs w:val="0"/>
                      <w:color w:val="auto"/>
                      <w:sz w:val="21"/>
                      <w:szCs w:val="21"/>
                      <w:highlight w:val="none"/>
                      <w:lang w:val="en-US" w:eastAsia="zh-CN"/>
                    </w:rPr>
                    <w:t>11.85</w:t>
                  </w:r>
                </w:p>
              </w:tc>
              <w:tc>
                <w:tcPr>
                  <w:tcW w:w="1521"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0.34</w:t>
                  </w:r>
                </w:p>
              </w:tc>
              <w:tc>
                <w:tcPr>
                  <w:tcW w:w="1507" w:type="dxa"/>
                  <w:gridSpan w:val="2"/>
                  <w:vAlign w:val="center"/>
                </w:tcPr>
                <w:p>
                  <w:pPr>
                    <w:jc w:val="center"/>
                    <w:rPr>
                      <w:rFonts w:hint="default" w:ascii="Times New Roman" w:hAnsi="Times New Roman" w:eastAsia="宋体" w:cs="Times New Roman"/>
                      <w:color w:val="auto"/>
                      <w:kern w:val="0"/>
                      <w:sz w:val="21"/>
                      <w:szCs w:val="21"/>
                      <w:highlight w:val="none"/>
                      <w:lang w:val="en-US" w:eastAsia="zh-CN"/>
                    </w:rPr>
                  </w:pPr>
                  <w:r>
                    <w:rPr>
                      <w:rFonts w:hint="eastAsia" w:cs="Times New Roman"/>
                      <w:color w:val="auto"/>
                      <w:sz w:val="21"/>
                      <w:szCs w:val="21"/>
                      <w:highlight w:val="none"/>
                      <w:lang w:val="en-US" w:eastAsia="zh-CN"/>
                    </w:rPr>
                    <w:t>1.457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p>
              </w:tc>
              <w:tc>
                <w:tcPr>
                  <w:tcW w:w="861" w:type="dxa"/>
                  <w:vMerge w:val="continue"/>
                  <w:vAlign w:val="center"/>
                </w:tcPr>
                <w:p>
                  <w:pPr>
                    <w:widowControl/>
                    <w:jc w:val="left"/>
                    <w:rPr>
                      <w:rFonts w:hint="default" w:ascii="Times New Roman" w:hAnsi="Times New Roman" w:cs="Times New Roman"/>
                      <w:color w:val="auto"/>
                      <w:sz w:val="21"/>
                      <w:szCs w:val="21"/>
                      <w:highlight w:val="none"/>
                    </w:rPr>
                  </w:pPr>
                </w:p>
              </w:tc>
              <w:tc>
                <w:tcPr>
                  <w:tcW w:w="2149"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1665"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bCs w:val="0"/>
                      <w:color w:val="auto"/>
                      <w:sz w:val="21"/>
                      <w:szCs w:val="21"/>
                      <w:highlight w:val="none"/>
                      <w:lang w:val="en-US" w:eastAsia="zh-CN"/>
                    </w:rPr>
                    <w:t>80.28</w:t>
                  </w:r>
                </w:p>
              </w:tc>
              <w:tc>
                <w:tcPr>
                  <w:tcW w:w="1521"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2.29</w:t>
                  </w:r>
                </w:p>
              </w:tc>
              <w:tc>
                <w:tcPr>
                  <w:tcW w:w="1507" w:type="dxa"/>
                  <w:gridSpan w:val="2"/>
                  <w:vAlign w:val="center"/>
                </w:tcPr>
                <w:p>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bCs w:val="0"/>
                      <w:color w:val="auto"/>
                      <w:sz w:val="21"/>
                      <w:szCs w:val="21"/>
                      <w:highlight w:val="none"/>
                      <w:lang w:val="en-US" w:eastAsia="zh-CN"/>
                    </w:rPr>
                    <w:t>9.</w:t>
                  </w:r>
                  <w:r>
                    <w:rPr>
                      <w:rFonts w:hint="eastAsia" w:cs="Times New Roman"/>
                      <w:bCs w:val="0"/>
                      <w:color w:val="auto"/>
                      <w:sz w:val="21"/>
                      <w:szCs w:val="21"/>
                      <w:highlight w:val="none"/>
                      <w:lang w:val="en-US" w:eastAsia="zh-CN"/>
                    </w:rPr>
                    <w:t>874</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Align w:val="center"/>
                </w:tcPr>
                <w:p>
                  <w:pPr>
                    <w:jc w:val="center"/>
                    <w:rPr>
                      <w:rFonts w:hint="eastAsia"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3</w:t>
                  </w:r>
                </w:p>
              </w:tc>
              <w:tc>
                <w:tcPr>
                  <w:tcW w:w="861" w:type="dxa"/>
                  <w:vMerge w:val="continue"/>
                  <w:vAlign w:val="center"/>
                </w:tcPr>
                <w:p>
                  <w:pPr>
                    <w:widowControl/>
                    <w:jc w:val="left"/>
                    <w:rPr>
                      <w:rFonts w:hint="default" w:ascii="Times New Roman" w:hAnsi="Times New Roman" w:cs="Times New Roman"/>
                      <w:color w:val="auto"/>
                      <w:sz w:val="21"/>
                      <w:szCs w:val="21"/>
                      <w:highlight w:val="none"/>
                    </w:rPr>
                  </w:pPr>
                </w:p>
              </w:tc>
              <w:tc>
                <w:tcPr>
                  <w:tcW w:w="2149" w:type="dxa"/>
                  <w:vAlign w:val="center"/>
                </w:tcPr>
                <w:p>
                  <w:pPr>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eastAsia="zh-CN"/>
                    </w:rPr>
                    <w:t>汞及其化合物</w:t>
                  </w:r>
                </w:p>
              </w:tc>
              <w:tc>
                <w:tcPr>
                  <w:tcW w:w="1665" w:type="dxa"/>
                  <w:vAlign w:val="center"/>
                </w:tcPr>
                <w:p>
                  <w:pPr>
                    <w:jc w:val="center"/>
                    <w:rPr>
                      <w:rFonts w:hint="default"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0.007</w:t>
                  </w:r>
                </w:p>
              </w:tc>
              <w:tc>
                <w:tcPr>
                  <w:tcW w:w="1521" w:type="dxa"/>
                  <w:vAlign w:val="center"/>
                </w:tcPr>
                <w:p>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0.0002</w:t>
                  </w:r>
                </w:p>
              </w:tc>
              <w:tc>
                <w:tcPr>
                  <w:tcW w:w="1507" w:type="dxa"/>
                  <w:gridSpan w:val="2"/>
                  <w:vAlign w:val="center"/>
                </w:tcPr>
                <w:p>
                  <w:pPr>
                    <w:jc w:val="center"/>
                    <w:rPr>
                      <w:rFonts w:hint="default" w:ascii="Times New Roman" w:hAnsi="Times New Roman" w:cs="Times New Roman"/>
                      <w:bCs w:val="0"/>
                      <w:color w:val="auto"/>
                      <w:sz w:val="21"/>
                      <w:szCs w:val="21"/>
                      <w:highlight w:val="none"/>
                      <w:lang w:val="en-US" w:eastAsia="zh-CN"/>
                    </w:rPr>
                  </w:pPr>
                  <w:r>
                    <w:rPr>
                      <w:rFonts w:hint="eastAsia" w:cs="Times New Roman"/>
                      <w:bCs w:val="0"/>
                      <w:color w:val="auto"/>
                      <w:sz w:val="21"/>
                      <w:szCs w:val="21"/>
                      <w:highlight w:val="none"/>
                      <w:lang w:val="en-US" w:eastAsia="zh-CN"/>
                    </w:rPr>
                    <w:t>0.0009</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9" w:type="dxa"/>
                  <w:vAlign w:val="center"/>
                </w:tcPr>
                <w:p>
                  <w:pPr>
                    <w:jc w:val="center"/>
                    <w:rPr>
                      <w:rFonts w:hint="eastAsia" w:ascii="Times New Roman" w:hAnsi="Times New Roman" w:eastAsia="宋体" w:cs="Times New Roman"/>
                      <w:color w:val="auto"/>
                      <w:sz w:val="21"/>
                      <w:szCs w:val="21"/>
                      <w:highlight w:val="none"/>
                      <w:lang w:eastAsia="zh-CN"/>
                    </w:rPr>
                  </w:pPr>
                  <w:r>
                    <w:rPr>
                      <w:rFonts w:hint="eastAsia" w:cs="Times New Roman"/>
                      <w:color w:val="auto"/>
                      <w:sz w:val="21"/>
                      <w:szCs w:val="21"/>
                      <w:highlight w:val="none"/>
                      <w:lang w:val="en-US" w:eastAsia="zh-CN"/>
                    </w:rPr>
                    <w:t>4</w:t>
                  </w:r>
                </w:p>
              </w:tc>
              <w:tc>
                <w:tcPr>
                  <w:tcW w:w="861" w:type="dxa"/>
                  <w:vMerge w:val="continue"/>
                  <w:vAlign w:val="center"/>
                </w:tcPr>
                <w:p>
                  <w:pPr>
                    <w:widowControl/>
                    <w:jc w:val="left"/>
                    <w:rPr>
                      <w:rFonts w:hint="default" w:ascii="Times New Roman" w:hAnsi="Times New Roman" w:cs="Times New Roman"/>
                      <w:color w:val="auto"/>
                      <w:sz w:val="21"/>
                      <w:szCs w:val="21"/>
                      <w:highlight w:val="none"/>
                    </w:rPr>
                  </w:pPr>
                </w:p>
              </w:tc>
              <w:tc>
                <w:tcPr>
                  <w:tcW w:w="2149"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x</w:t>
                  </w:r>
                </w:p>
              </w:tc>
              <w:tc>
                <w:tcPr>
                  <w:tcW w:w="1665"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bCs w:val="0"/>
                      <w:color w:val="auto"/>
                      <w:sz w:val="21"/>
                      <w:szCs w:val="21"/>
                      <w:highlight w:val="none"/>
                      <w:lang w:val="en-US" w:eastAsia="zh-CN"/>
                    </w:rPr>
                    <w:t>90</w:t>
                  </w:r>
                </w:p>
              </w:tc>
              <w:tc>
                <w:tcPr>
                  <w:tcW w:w="1521" w:type="dxa"/>
                  <w:vAlign w:val="center"/>
                </w:tcPr>
                <w:p>
                  <w:pPr>
                    <w:jc w:val="center"/>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2.56</w:t>
                  </w:r>
                </w:p>
              </w:tc>
              <w:tc>
                <w:tcPr>
                  <w:tcW w:w="1507" w:type="dxa"/>
                  <w:gridSpan w:val="2"/>
                  <w:vAlign w:val="center"/>
                </w:tcPr>
                <w:p>
                  <w:pPr>
                    <w:jc w:val="center"/>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bCs w:val="0"/>
                      <w:color w:val="auto"/>
                      <w:sz w:val="21"/>
                      <w:szCs w:val="21"/>
                      <w:highlight w:val="none"/>
                      <w:lang w:val="en-US" w:eastAsia="zh-CN"/>
                    </w:rPr>
                    <w:t>1</w:t>
                  </w:r>
                  <w:r>
                    <w:rPr>
                      <w:rFonts w:hint="eastAsia" w:cs="Times New Roman"/>
                      <w:bCs w:val="0"/>
                      <w:color w:val="auto"/>
                      <w:sz w:val="21"/>
                      <w:szCs w:val="21"/>
                      <w:highlight w:val="none"/>
                      <w:lang w:val="en-US" w:eastAsia="zh-CN"/>
                    </w:rPr>
                    <w:t>1.0</w:t>
                  </w:r>
                  <w:r>
                    <w:rPr>
                      <w:rFonts w:hint="default" w:ascii="Times New Roman" w:hAnsi="Times New Roman" w:cs="Times New Roman"/>
                      <w:bCs w:val="0"/>
                      <w:color w:val="auto"/>
                      <w:sz w:val="21"/>
                      <w:szCs w:val="21"/>
                      <w:highlight w:val="none"/>
                      <w:lang w:val="en-US" w:eastAsia="zh-CN"/>
                    </w:rPr>
                    <w:t>7</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3529" w:type="dxa"/>
                  <w:gridSpan w:val="3"/>
                  <w:vMerge w:val="restart"/>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有组织排放总计</w:t>
                  </w:r>
                </w:p>
              </w:tc>
              <w:tc>
                <w:tcPr>
                  <w:tcW w:w="1665"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颗粒物</w:t>
                  </w:r>
                </w:p>
              </w:tc>
              <w:tc>
                <w:tcPr>
                  <w:tcW w:w="3019" w:type="dxa"/>
                  <w:gridSpan w:val="2"/>
                  <w:vAlign w:val="center"/>
                </w:tcPr>
                <w:p>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val="en-US" w:eastAsia="zh-CN"/>
                    </w:rPr>
                    <w:t>1.457</w:t>
                  </w:r>
                  <w:r>
                    <w:rPr>
                      <w:rFonts w:hint="default" w:ascii="Times New Roman" w:hAnsi="Times New Roman" w:cs="Times New Roman"/>
                      <w:color w:val="auto"/>
                      <w:sz w:val="21"/>
                      <w:szCs w:val="21"/>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3529" w:type="dxa"/>
                  <w:gridSpan w:val="3"/>
                  <w:vMerge w:val="continue"/>
                  <w:vAlign w:val="center"/>
                </w:tcPr>
                <w:p>
                  <w:pPr>
                    <w:jc w:val="center"/>
                    <w:rPr>
                      <w:rFonts w:hint="default" w:ascii="Times New Roman" w:hAnsi="Times New Roman" w:cs="Times New Roman"/>
                      <w:color w:val="auto"/>
                      <w:sz w:val="21"/>
                      <w:szCs w:val="21"/>
                      <w:highlight w:val="none"/>
                    </w:rPr>
                  </w:pPr>
                </w:p>
              </w:tc>
              <w:tc>
                <w:tcPr>
                  <w:tcW w:w="1665" w:type="dxa"/>
                  <w:vAlign w:val="center"/>
                </w:tcPr>
                <w:p>
                  <w:pPr>
                    <w:jc w:val="center"/>
                    <w:rPr>
                      <w:rFonts w:hint="default" w:ascii="Times New Roman" w:hAnsi="Times New Roman" w:cs="Times New Roman"/>
                      <w:color w:val="auto"/>
                      <w:sz w:val="21"/>
                      <w:szCs w:val="21"/>
                      <w:highlight w:val="none"/>
                    </w:rPr>
                  </w:pPr>
                  <w:r>
                    <w:rPr>
                      <w:rFonts w:hint="eastAsia" w:cs="Times New Roman"/>
                      <w:color w:val="auto"/>
                      <w:sz w:val="21"/>
                      <w:szCs w:val="21"/>
                      <w:highlight w:val="none"/>
                      <w:lang w:eastAsia="zh-CN"/>
                    </w:rPr>
                    <w:t>汞及其化合物</w:t>
                  </w:r>
                </w:p>
              </w:tc>
              <w:tc>
                <w:tcPr>
                  <w:tcW w:w="3019" w:type="dxa"/>
                  <w:gridSpan w:val="2"/>
                  <w:vAlign w:val="center"/>
                </w:tcPr>
                <w:p>
                  <w:pPr>
                    <w:jc w:val="center"/>
                    <w:rPr>
                      <w:rFonts w:hint="default" w:cs="Times New Roman"/>
                      <w:color w:val="auto"/>
                      <w:sz w:val="21"/>
                      <w:szCs w:val="21"/>
                      <w:highlight w:val="none"/>
                      <w:lang w:val="en-US" w:eastAsia="zh-CN"/>
                    </w:rPr>
                  </w:pPr>
                  <w:r>
                    <w:rPr>
                      <w:rFonts w:hint="eastAsia" w:cs="Times New Roman"/>
                      <w:color w:val="auto"/>
                      <w:sz w:val="21"/>
                      <w:szCs w:val="21"/>
                      <w:highlight w:val="none"/>
                      <w:lang w:val="en-US" w:eastAsia="zh-CN"/>
                    </w:rPr>
                    <w:t>0.0009t/a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3529" w:type="dxa"/>
                  <w:gridSpan w:val="3"/>
                  <w:vMerge w:val="continue"/>
                  <w:vAlign w:val="center"/>
                </w:tcPr>
                <w:p>
                  <w:pPr>
                    <w:widowControl/>
                    <w:jc w:val="left"/>
                    <w:rPr>
                      <w:rFonts w:hint="default" w:ascii="Times New Roman" w:hAnsi="Times New Roman" w:cs="Times New Roman"/>
                      <w:color w:val="auto"/>
                      <w:sz w:val="21"/>
                      <w:szCs w:val="21"/>
                      <w:highlight w:val="none"/>
                    </w:rPr>
                  </w:pPr>
                </w:p>
              </w:tc>
              <w:tc>
                <w:tcPr>
                  <w:tcW w:w="1665"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SO</w:t>
                  </w:r>
                  <w:r>
                    <w:rPr>
                      <w:rFonts w:hint="default" w:ascii="Times New Roman" w:hAnsi="Times New Roman" w:cs="Times New Roman"/>
                      <w:color w:val="auto"/>
                      <w:sz w:val="21"/>
                      <w:szCs w:val="21"/>
                      <w:highlight w:val="none"/>
                      <w:vertAlign w:val="subscript"/>
                    </w:rPr>
                    <w:t>2</w:t>
                  </w:r>
                </w:p>
              </w:tc>
              <w:tc>
                <w:tcPr>
                  <w:tcW w:w="3019" w:type="dxa"/>
                  <w:gridSpan w:val="2"/>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bCs w:val="0"/>
                      <w:color w:val="auto"/>
                      <w:sz w:val="21"/>
                      <w:szCs w:val="21"/>
                      <w:highlight w:val="none"/>
                      <w:lang w:val="en-US" w:eastAsia="zh-CN"/>
                    </w:rPr>
                    <w:t>9.</w:t>
                  </w:r>
                  <w:r>
                    <w:rPr>
                      <w:rFonts w:hint="eastAsia" w:cs="Times New Roman"/>
                      <w:bCs w:val="0"/>
                      <w:color w:val="auto"/>
                      <w:sz w:val="21"/>
                      <w:szCs w:val="21"/>
                      <w:highlight w:val="none"/>
                      <w:lang w:val="en-US" w:eastAsia="zh-CN"/>
                    </w:rPr>
                    <w:t>874</w:t>
                  </w:r>
                  <w:r>
                    <w:rPr>
                      <w:rFonts w:hint="default" w:ascii="Times New Roman" w:hAnsi="Times New Roman" w:cs="Times New Roman"/>
                      <w:color w:val="auto"/>
                      <w:sz w:val="21"/>
                      <w:szCs w:val="21"/>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gridAfter w:val="1"/>
                <w:wAfter w:w="9" w:type="dxa"/>
                <w:trHeight w:val="340" w:hRule="atLeast"/>
                <w:jc w:val="center"/>
              </w:trPr>
              <w:tc>
                <w:tcPr>
                  <w:tcW w:w="3529" w:type="dxa"/>
                  <w:gridSpan w:val="3"/>
                  <w:vMerge w:val="continue"/>
                  <w:vAlign w:val="center"/>
                </w:tcPr>
                <w:p>
                  <w:pPr>
                    <w:widowControl/>
                    <w:jc w:val="left"/>
                    <w:rPr>
                      <w:rFonts w:hint="default" w:ascii="Times New Roman" w:hAnsi="Times New Roman" w:cs="Times New Roman"/>
                      <w:color w:val="auto"/>
                      <w:sz w:val="21"/>
                      <w:szCs w:val="21"/>
                      <w:highlight w:val="none"/>
                    </w:rPr>
                  </w:pPr>
                </w:p>
              </w:tc>
              <w:tc>
                <w:tcPr>
                  <w:tcW w:w="1665" w:type="dxa"/>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NO</w:t>
                  </w:r>
                  <w:r>
                    <w:rPr>
                      <w:rFonts w:hint="default" w:ascii="Times New Roman" w:hAnsi="Times New Roman" w:cs="Times New Roman"/>
                      <w:color w:val="auto"/>
                      <w:sz w:val="21"/>
                      <w:szCs w:val="21"/>
                      <w:highlight w:val="none"/>
                      <w:vertAlign w:val="subscript"/>
                    </w:rPr>
                    <w:t>x</w:t>
                  </w:r>
                </w:p>
              </w:tc>
              <w:tc>
                <w:tcPr>
                  <w:tcW w:w="3019" w:type="dxa"/>
                  <w:gridSpan w:val="2"/>
                  <w:vAlign w:val="center"/>
                </w:tcPr>
                <w:p>
                  <w:pPr>
                    <w:jc w:val="center"/>
                    <w:rPr>
                      <w:rFonts w:hint="default" w:ascii="Times New Roman" w:hAnsi="Times New Roman" w:cs="Times New Roman"/>
                      <w:color w:val="auto"/>
                      <w:sz w:val="21"/>
                      <w:szCs w:val="21"/>
                      <w:highlight w:val="none"/>
                    </w:rPr>
                  </w:pPr>
                  <w:r>
                    <w:rPr>
                      <w:rFonts w:hint="default" w:ascii="Times New Roman" w:hAnsi="Times New Roman" w:cs="Times New Roman"/>
                      <w:bCs w:val="0"/>
                      <w:color w:val="auto"/>
                      <w:sz w:val="21"/>
                      <w:szCs w:val="21"/>
                      <w:highlight w:val="none"/>
                      <w:lang w:val="en-US" w:eastAsia="zh-CN"/>
                    </w:rPr>
                    <w:t>1</w:t>
                  </w:r>
                  <w:r>
                    <w:rPr>
                      <w:rFonts w:hint="eastAsia" w:cs="Times New Roman"/>
                      <w:bCs w:val="0"/>
                      <w:color w:val="auto"/>
                      <w:sz w:val="21"/>
                      <w:szCs w:val="21"/>
                      <w:highlight w:val="none"/>
                      <w:lang w:val="en-US" w:eastAsia="zh-CN"/>
                    </w:rPr>
                    <w:t>1.0</w:t>
                  </w:r>
                  <w:r>
                    <w:rPr>
                      <w:rFonts w:hint="default" w:ascii="Times New Roman" w:hAnsi="Times New Roman" w:cs="Times New Roman"/>
                      <w:bCs w:val="0"/>
                      <w:color w:val="auto"/>
                      <w:sz w:val="21"/>
                      <w:szCs w:val="21"/>
                      <w:highlight w:val="none"/>
                      <w:lang w:val="en-US" w:eastAsia="zh-CN"/>
                    </w:rPr>
                    <w:t>7</w:t>
                  </w:r>
                  <w:r>
                    <w:rPr>
                      <w:rFonts w:hint="default" w:ascii="Times New Roman" w:hAnsi="Times New Roman" w:cs="Times New Roman"/>
                      <w:color w:val="auto"/>
                      <w:sz w:val="21"/>
                      <w:szCs w:val="21"/>
                      <w:highlight w:val="none"/>
                    </w:rPr>
                    <w:t>t/a</w:t>
                  </w:r>
                </w:p>
              </w:tc>
            </w:tr>
          </w:tbl>
          <w:p>
            <w:pPr>
              <w:jc w:val="center"/>
              <w:rPr>
                <w:b/>
                <w:color w:val="auto"/>
                <w:sz w:val="24"/>
                <w:szCs w:val="28"/>
                <w:highlight w:val="none"/>
              </w:rPr>
            </w:pPr>
            <w:r>
              <w:rPr>
                <w:rFonts w:hint="eastAsia"/>
                <w:b/>
                <w:color w:val="auto"/>
                <w:sz w:val="24"/>
                <w:szCs w:val="28"/>
                <w:highlight w:val="none"/>
              </w:rPr>
              <w:t>表</w:t>
            </w:r>
            <w:r>
              <w:rPr>
                <w:b/>
                <w:color w:val="auto"/>
                <w:sz w:val="24"/>
                <w:szCs w:val="28"/>
                <w:highlight w:val="none"/>
              </w:rPr>
              <w:t>7-</w:t>
            </w:r>
            <w:r>
              <w:rPr>
                <w:rFonts w:hint="eastAsia"/>
                <w:b/>
                <w:color w:val="auto"/>
                <w:sz w:val="24"/>
                <w:szCs w:val="28"/>
                <w:highlight w:val="none"/>
                <w:lang w:val="en-US" w:eastAsia="zh-CN"/>
              </w:rPr>
              <w:t xml:space="preserve">6 </w:t>
            </w:r>
            <w:r>
              <w:rPr>
                <w:rFonts w:hint="eastAsia"/>
                <w:b/>
                <w:color w:val="auto"/>
                <w:sz w:val="24"/>
                <w:szCs w:val="28"/>
                <w:highlight w:val="none"/>
              </w:rPr>
              <w:t>大气污染物年排放量核算表</w:t>
            </w:r>
          </w:p>
          <w:tbl>
            <w:tblPr>
              <w:tblStyle w:val="36"/>
              <w:tblW w:w="82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24"/>
              <w:gridCol w:w="3280"/>
              <w:gridCol w:w="331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24" w:type="dxa"/>
                  <w:tcBorders>
                    <w:tl2br w:val="nil"/>
                    <w:tr2bl w:val="nil"/>
                  </w:tcBorders>
                  <w:vAlign w:val="center"/>
                </w:tcPr>
                <w:p>
                  <w:pPr>
                    <w:jc w:val="center"/>
                    <w:rPr>
                      <w:color w:val="auto"/>
                      <w:szCs w:val="21"/>
                      <w:highlight w:val="none"/>
                    </w:rPr>
                  </w:pPr>
                  <w:r>
                    <w:rPr>
                      <w:rFonts w:hint="eastAsia"/>
                      <w:color w:val="auto"/>
                      <w:szCs w:val="21"/>
                      <w:highlight w:val="none"/>
                    </w:rPr>
                    <w:t>序号</w:t>
                  </w:r>
                </w:p>
              </w:tc>
              <w:tc>
                <w:tcPr>
                  <w:tcW w:w="3280" w:type="dxa"/>
                  <w:tcBorders>
                    <w:tl2br w:val="nil"/>
                    <w:tr2bl w:val="nil"/>
                  </w:tcBorders>
                  <w:vAlign w:val="center"/>
                </w:tcPr>
                <w:p>
                  <w:pPr>
                    <w:jc w:val="center"/>
                    <w:rPr>
                      <w:color w:val="auto"/>
                      <w:szCs w:val="21"/>
                      <w:highlight w:val="none"/>
                    </w:rPr>
                  </w:pPr>
                  <w:r>
                    <w:rPr>
                      <w:rFonts w:hint="eastAsia"/>
                      <w:color w:val="auto"/>
                      <w:szCs w:val="21"/>
                      <w:highlight w:val="none"/>
                    </w:rPr>
                    <w:t>污染物</w:t>
                  </w:r>
                </w:p>
              </w:tc>
              <w:tc>
                <w:tcPr>
                  <w:tcW w:w="3318" w:type="dxa"/>
                  <w:tcBorders>
                    <w:tl2br w:val="nil"/>
                    <w:tr2bl w:val="nil"/>
                  </w:tcBorders>
                  <w:vAlign w:val="center"/>
                </w:tcPr>
                <w:p>
                  <w:pPr>
                    <w:jc w:val="center"/>
                    <w:rPr>
                      <w:color w:val="auto"/>
                      <w:szCs w:val="21"/>
                      <w:highlight w:val="none"/>
                    </w:rPr>
                  </w:pPr>
                  <w:r>
                    <w:rPr>
                      <w:rFonts w:hint="eastAsia"/>
                      <w:color w:val="auto"/>
                      <w:szCs w:val="21"/>
                      <w:highlight w:val="none"/>
                    </w:rPr>
                    <w:t>年排放量</w:t>
                  </w:r>
                  <w:r>
                    <w:rPr>
                      <w:color w:val="auto"/>
                      <w:szCs w:val="21"/>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24" w:type="dxa"/>
                  <w:tcBorders>
                    <w:tl2br w:val="nil"/>
                    <w:tr2bl w:val="nil"/>
                  </w:tcBorders>
                  <w:vAlign w:val="center"/>
                </w:tcPr>
                <w:p>
                  <w:pPr>
                    <w:jc w:val="center"/>
                    <w:rPr>
                      <w:color w:val="auto"/>
                      <w:szCs w:val="21"/>
                      <w:highlight w:val="none"/>
                    </w:rPr>
                  </w:pPr>
                  <w:r>
                    <w:rPr>
                      <w:color w:val="auto"/>
                      <w:szCs w:val="21"/>
                      <w:highlight w:val="none"/>
                    </w:rPr>
                    <w:t>1</w:t>
                  </w:r>
                </w:p>
              </w:tc>
              <w:tc>
                <w:tcPr>
                  <w:tcW w:w="3280" w:type="dxa"/>
                  <w:tcBorders>
                    <w:tl2br w:val="nil"/>
                    <w:tr2bl w:val="nil"/>
                  </w:tcBorders>
                  <w:vAlign w:val="center"/>
                </w:tcPr>
                <w:p>
                  <w:pPr>
                    <w:jc w:val="center"/>
                    <w:rPr>
                      <w:color w:val="auto"/>
                      <w:szCs w:val="21"/>
                      <w:highlight w:val="none"/>
                    </w:rPr>
                  </w:pPr>
                  <w:r>
                    <w:rPr>
                      <w:rFonts w:hint="eastAsia"/>
                      <w:color w:val="auto"/>
                      <w:szCs w:val="21"/>
                      <w:highlight w:val="none"/>
                    </w:rPr>
                    <w:t>颗粒物</w:t>
                  </w:r>
                </w:p>
              </w:tc>
              <w:tc>
                <w:tcPr>
                  <w:tcW w:w="3318" w:type="dxa"/>
                  <w:tcBorders>
                    <w:tl2br w:val="nil"/>
                    <w:tr2bl w:val="nil"/>
                  </w:tcBorders>
                  <w:vAlign w:val="center"/>
                </w:tcPr>
                <w:p>
                  <w:pPr>
                    <w:jc w:val="center"/>
                    <w:rPr>
                      <w:color w:val="auto"/>
                      <w:szCs w:val="21"/>
                      <w:highlight w:val="none"/>
                    </w:rPr>
                  </w:pPr>
                  <w:r>
                    <w:rPr>
                      <w:rFonts w:hint="eastAsia" w:cs="Times New Roman"/>
                      <w:color w:val="auto"/>
                      <w:sz w:val="21"/>
                      <w:szCs w:val="21"/>
                      <w:highlight w:val="none"/>
                      <w:lang w:val="en-US" w:eastAsia="zh-CN"/>
                    </w:rPr>
                    <w:t>1.457</w:t>
                  </w:r>
                  <w:r>
                    <w:rPr>
                      <w:rFonts w:hint="default" w:ascii="Times New Roman" w:hAnsi="Times New Roman" w:cs="Times New Roman"/>
                      <w:color w:val="auto"/>
                      <w:sz w:val="21"/>
                      <w:szCs w:val="21"/>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24" w:type="dxa"/>
                  <w:tcBorders>
                    <w:tl2br w:val="nil"/>
                    <w:tr2bl w:val="nil"/>
                  </w:tcBorders>
                  <w:vAlign w:val="center"/>
                </w:tcPr>
                <w:p>
                  <w:pPr>
                    <w:jc w:val="center"/>
                    <w:rPr>
                      <w:color w:val="auto"/>
                      <w:szCs w:val="21"/>
                      <w:highlight w:val="none"/>
                    </w:rPr>
                  </w:pPr>
                  <w:r>
                    <w:rPr>
                      <w:color w:val="auto"/>
                      <w:szCs w:val="21"/>
                      <w:highlight w:val="none"/>
                    </w:rPr>
                    <w:t>2</w:t>
                  </w:r>
                </w:p>
              </w:tc>
              <w:tc>
                <w:tcPr>
                  <w:tcW w:w="3280" w:type="dxa"/>
                  <w:tcBorders>
                    <w:tl2br w:val="nil"/>
                    <w:tr2bl w:val="nil"/>
                  </w:tcBorders>
                  <w:vAlign w:val="center"/>
                </w:tcPr>
                <w:p>
                  <w:pPr>
                    <w:jc w:val="center"/>
                    <w:rPr>
                      <w:color w:val="auto"/>
                      <w:szCs w:val="21"/>
                      <w:highlight w:val="none"/>
                    </w:rPr>
                  </w:pPr>
                  <w:r>
                    <w:rPr>
                      <w:color w:val="auto"/>
                      <w:szCs w:val="21"/>
                      <w:highlight w:val="none"/>
                    </w:rPr>
                    <w:t>SO</w:t>
                  </w:r>
                  <w:r>
                    <w:rPr>
                      <w:color w:val="auto"/>
                      <w:szCs w:val="21"/>
                      <w:highlight w:val="none"/>
                      <w:vertAlign w:val="subscript"/>
                    </w:rPr>
                    <w:t>2</w:t>
                  </w:r>
                </w:p>
              </w:tc>
              <w:tc>
                <w:tcPr>
                  <w:tcW w:w="3318" w:type="dxa"/>
                  <w:tcBorders>
                    <w:tl2br w:val="nil"/>
                    <w:tr2bl w:val="nil"/>
                  </w:tcBorders>
                  <w:vAlign w:val="center"/>
                </w:tcPr>
                <w:p>
                  <w:pPr>
                    <w:jc w:val="center"/>
                    <w:rPr>
                      <w:color w:val="auto"/>
                      <w:sz w:val="21"/>
                      <w:szCs w:val="21"/>
                      <w:highlight w:val="none"/>
                    </w:rPr>
                  </w:pPr>
                  <w:r>
                    <w:rPr>
                      <w:rFonts w:hint="default" w:ascii="Times New Roman" w:hAnsi="Times New Roman" w:cs="Times New Roman"/>
                      <w:bCs w:val="0"/>
                      <w:color w:val="auto"/>
                      <w:sz w:val="21"/>
                      <w:szCs w:val="21"/>
                      <w:highlight w:val="none"/>
                      <w:lang w:val="en-US" w:eastAsia="zh-CN"/>
                    </w:rPr>
                    <w:t>9.</w:t>
                  </w:r>
                  <w:r>
                    <w:rPr>
                      <w:rFonts w:hint="eastAsia" w:cs="Times New Roman"/>
                      <w:bCs w:val="0"/>
                      <w:color w:val="auto"/>
                      <w:sz w:val="21"/>
                      <w:szCs w:val="21"/>
                      <w:highlight w:val="none"/>
                      <w:lang w:val="en-US" w:eastAsia="zh-CN"/>
                    </w:rPr>
                    <w:t>874</w:t>
                  </w:r>
                  <w:r>
                    <w:rPr>
                      <w:rFonts w:hint="default" w:ascii="Times New Roman" w:hAnsi="Times New Roman" w:cs="Times New Roman"/>
                      <w:color w:val="auto"/>
                      <w:sz w:val="21"/>
                      <w:szCs w:val="21"/>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24" w:type="dxa"/>
                  <w:tcBorders>
                    <w:tl2br w:val="nil"/>
                    <w:tr2bl w:val="nil"/>
                  </w:tcBorders>
                  <w:vAlign w:val="center"/>
                </w:tcPr>
                <w:p>
                  <w:pPr>
                    <w:jc w:val="center"/>
                    <w:rPr>
                      <w:color w:val="auto"/>
                      <w:szCs w:val="21"/>
                      <w:highlight w:val="none"/>
                    </w:rPr>
                  </w:pPr>
                  <w:r>
                    <w:rPr>
                      <w:color w:val="auto"/>
                      <w:szCs w:val="21"/>
                      <w:highlight w:val="none"/>
                    </w:rPr>
                    <w:t>3</w:t>
                  </w:r>
                </w:p>
              </w:tc>
              <w:tc>
                <w:tcPr>
                  <w:tcW w:w="3280" w:type="dxa"/>
                  <w:tcBorders>
                    <w:tl2br w:val="nil"/>
                    <w:tr2bl w:val="nil"/>
                  </w:tcBorders>
                  <w:vAlign w:val="center"/>
                </w:tcPr>
                <w:p>
                  <w:pPr>
                    <w:jc w:val="center"/>
                    <w:rPr>
                      <w:color w:val="auto"/>
                      <w:szCs w:val="21"/>
                      <w:highlight w:val="none"/>
                    </w:rPr>
                  </w:pPr>
                  <w:r>
                    <w:rPr>
                      <w:color w:val="auto"/>
                      <w:szCs w:val="21"/>
                      <w:highlight w:val="none"/>
                    </w:rPr>
                    <w:t>NO</w:t>
                  </w:r>
                  <w:r>
                    <w:rPr>
                      <w:color w:val="auto"/>
                      <w:szCs w:val="21"/>
                      <w:highlight w:val="none"/>
                      <w:vertAlign w:val="subscript"/>
                    </w:rPr>
                    <w:t>x</w:t>
                  </w:r>
                </w:p>
              </w:tc>
              <w:tc>
                <w:tcPr>
                  <w:tcW w:w="3318" w:type="dxa"/>
                  <w:tcBorders>
                    <w:tl2br w:val="nil"/>
                    <w:tr2bl w:val="nil"/>
                  </w:tcBorders>
                  <w:vAlign w:val="center"/>
                </w:tcPr>
                <w:p>
                  <w:pPr>
                    <w:jc w:val="center"/>
                    <w:rPr>
                      <w:color w:val="auto"/>
                      <w:sz w:val="21"/>
                      <w:szCs w:val="21"/>
                      <w:highlight w:val="none"/>
                    </w:rPr>
                  </w:pPr>
                  <w:r>
                    <w:rPr>
                      <w:rFonts w:hint="default" w:ascii="Times New Roman" w:hAnsi="Times New Roman" w:cs="Times New Roman"/>
                      <w:bCs w:val="0"/>
                      <w:color w:val="auto"/>
                      <w:sz w:val="21"/>
                      <w:szCs w:val="21"/>
                      <w:highlight w:val="none"/>
                      <w:lang w:val="en-US" w:eastAsia="zh-CN"/>
                    </w:rPr>
                    <w:t>1</w:t>
                  </w:r>
                  <w:r>
                    <w:rPr>
                      <w:rFonts w:hint="eastAsia" w:cs="Times New Roman"/>
                      <w:bCs w:val="0"/>
                      <w:color w:val="auto"/>
                      <w:sz w:val="21"/>
                      <w:szCs w:val="21"/>
                      <w:highlight w:val="none"/>
                      <w:lang w:val="en-US" w:eastAsia="zh-CN"/>
                    </w:rPr>
                    <w:t>1.0</w:t>
                  </w:r>
                  <w:r>
                    <w:rPr>
                      <w:rFonts w:hint="default" w:ascii="Times New Roman" w:hAnsi="Times New Roman" w:cs="Times New Roman"/>
                      <w:bCs w:val="0"/>
                      <w:color w:val="auto"/>
                      <w:sz w:val="21"/>
                      <w:szCs w:val="21"/>
                      <w:highlight w:val="none"/>
                      <w:lang w:val="en-US" w:eastAsia="zh-CN"/>
                    </w:rPr>
                    <w:t>7</w:t>
                  </w:r>
                  <w:r>
                    <w:rPr>
                      <w:rFonts w:hint="default" w:ascii="Times New Roman" w:hAnsi="Times New Roman" w:cs="Times New Roman"/>
                      <w:color w:val="auto"/>
                      <w:sz w:val="21"/>
                      <w:szCs w:val="21"/>
                      <w:highlight w:val="none"/>
                    </w:rPr>
                    <w:t>t/a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624" w:type="dxa"/>
                  <w:tcBorders>
                    <w:tl2br w:val="nil"/>
                    <w:tr2bl w:val="nil"/>
                  </w:tcBorders>
                  <w:vAlign w:val="center"/>
                </w:tcPr>
                <w:p>
                  <w:pPr>
                    <w:jc w:val="center"/>
                    <w:rPr>
                      <w:rFonts w:hint="eastAsia" w:eastAsia="宋体"/>
                      <w:color w:val="auto"/>
                      <w:szCs w:val="21"/>
                      <w:highlight w:val="none"/>
                      <w:lang w:val="en-US" w:eastAsia="zh-CN"/>
                    </w:rPr>
                  </w:pPr>
                  <w:r>
                    <w:rPr>
                      <w:rFonts w:hint="eastAsia"/>
                      <w:color w:val="auto"/>
                      <w:szCs w:val="21"/>
                      <w:highlight w:val="none"/>
                      <w:lang w:val="en-US" w:eastAsia="zh-CN"/>
                    </w:rPr>
                    <w:t>4</w:t>
                  </w:r>
                </w:p>
              </w:tc>
              <w:tc>
                <w:tcPr>
                  <w:tcW w:w="3280" w:type="dxa"/>
                  <w:tcBorders>
                    <w:tl2br w:val="nil"/>
                    <w:tr2bl w:val="nil"/>
                  </w:tcBorders>
                  <w:vAlign w:val="center"/>
                </w:tcPr>
                <w:p>
                  <w:pPr>
                    <w:jc w:val="center"/>
                    <w:rPr>
                      <w:color w:val="auto"/>
                      <w:szCs w:val="21"/>
                      <w:highlight w:val="none"/>
                    </w:rPr>
                  </w:pPr>
                  <w:r>
                    <w:rPr>
                      <w:rFonts w:hint="eastAsia" w:cs="Times New Roman"/>
                      <w:color w:val="auto"/>
                      <w:sz w:val="21"/>
                      <w:szCs w:val="21"/>
                      <w:highlight w:val="none"/>
                      <w:lang w:eastAsia="zh-CN"/>
                    </w:rPr>
                    <w:t>汞及其化合物</w:t>
                  </w:r>
                </w:p>
              </w:tc>
              <w:tc>
                <w:tcPr>
                  <w:tcW w:w="3318" w:type="dxa"/>
                  <w:tcBorders>
                    <w:tl2br w:val="nil"/>
                    <w:tr2bl w:val="nil"/>
                  </w:tcBorders>
                  <w:vAlign w:val="center"/>
                </w:tcPr>
                <w:p>
                  <w:pPr>
                    <w:jc w:val="center"/>
                    <w:rPr>
                      <w:rFonts w:hint="default" w:ascii="Times New Roman" w:hAnsi="Times New Roman" w:cs="Times New Roman"/>
                      <w:bCs w:val="0"/>
                      <w:color w:val="auto"/>
                      <w:sz w:val="21"/>
                      <w:szCs w:val="21"/>
                      <w:highlight w:val="none"/>
                      <w:lang w:val="en-US" w:eastAsia="zh-CN"/>
                    </w:rPr>
                  </w:pPr>
                  <w:r>
                    <w:rPr>
                      <w:rFonts w:hint="eastAsia" w:cs="Times New Roman"/>
                      <w:color w:val="auto"/>
                      <w:sz w:val="21"/>
                      <w:szCs w:val="21"/>
                      <w:highlight w:val="none"/>
                      <w:lang w:val="en-US" w:eastAsia="zh-CN"/>
                    </w:rPr>
                    <w:t>0.0009t/a</w:t>
                  </w:r>
                </w:p>
              </w:tc>
            </w:tr>
          </w:tbl>
          <w:p>
            <w:pPr>
              <w:keepNext w:val="0"/>
              <w:keepLines w:val="0"/>
              <w:pageBreakBefore w:val="0"/>
              <w:widowControl w:val="0"/>
              <w:kinsoku/>
              <w:wordWrap/>
              <w:overflowPunct/>
              <w:topLinePunct w:val="0"/>
              <w:autoSpaceDE/>
              <w:autoSpaceDN/>
              <w:bidi w:val="0"/>
              <w:spacing w:line="360" w:lineRule="auto"/>
              <w:ind w:firstLine="482" w:firstLineChars="200"/>
              <w:textAlignment w:val="auto"/>
              <w:rPr>
                <w:b/>
                <w:color w:val="auto"/>
                <w:sz w:val="24"/>
                <w:highlight w:val="none"/>
              </w:rPr>
            </w:pPr>
            <w:r>
              <w:rPr>
                <w:b/>
                <w:color w:val="auto"/>
                <w:sz w:val="24"/>
                <w:highlight w:val="none"/>
              </w:rPr>
              <w:t>2、地表水环境影响分析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color w:val="auto"/>
                <w:sz w:val="24"/>
                <w:highlight w:val="none"/>
              </w:rPr>
            </w:pPr>
            <w:r>
              <w:rPr>
                <w:rFonts w:hint="eastAsia" w:hAnsi="宋体"/>
                <w:color w:val="auto"/>
                <w:sz w:val="24"/>
                <w:highlight w:val="none"/>
              </w:rPr>
              <w:t>本项目不新增员工，故不增加员工生活污水；生产废水主要是脱硫废水。脱硫水</w:t>
            </w:r>
            <w:r>
              <w:rPr>
                <w:rFonts w:hint="eastAsia" w:hAnsi="宋体"/>
                <w:color w:val="auto"/>
                <w:sz w:val="24"/>
                <w:highlight w:val="none"/>
                <w:lang w:eastAsia="zh-CN"/>
              </w:rPr>
              <w:t>消耗量按脱硫系统补水量的</w:t>
            </w:r>
            <w:r>
              <w:rPr>
                <w:rFonts w:hint="eastAsia" w:hAnsi="宋体"/>
                <w:color w:val="auto"/>
                <w:sz w:val="24"/>
                <w:highlight w:val="none"/>
                <w:lang w:val="en-US" w:eastAsia="zh-CN"/>
              </w:rPr>
              <w:t>25</w:t>
            </w:r>
            <w:r>
              <w:rPr>
                <w:rFonts w:hint="eastAsia" w:hAnsi="宋体"/>
                <w:color w:val="auto"/>
                <w:sz w:val="24"/>
                <w:highlight w:val="none"/>
              </w:rPr>
              <w:t>%，</w:t>
            </w:r>
            <w:r>
              <w:rPr>
                <w:rFonts w:hint="eastAsia" w:hAnsi="宋体"/>
                <w:color w:val="auto"/>
                <w:sz w:val="24"/>
                <w:highlight w:val="none"/>
                <w:lang w:eastAsia="zh-CN"/>
              </w:rPr>
              <w:t>消耗</w:t>
            </w:r>
            <w:r>
              <w:rPr>
                <w:rFonts w:hint="eastAsia" w:hAnsi="宋体"/>
                <w:color w:val="auto"/>
                <w:sz w:val="24"/>
                <w:highlight w:val="none"/>
              </w:rPr>
              <w:t>量为</w:t>
            </w:r>
            <w:r>
              <w:rPr>
                <w:rFonts w:hint="eastAsia" w:hAnsi="宋体"/>
                <w:color w:val="auto"/>
                <w:sz w:val="24"/>
                <w:highlight w:val="none"/>
                <w:lang w:val="en-US" w:eastAsia="zh-CN"/>
              </w:rPr>
              <w:t>2t/d，360</w:t>
            </w:r>
            <w:r>
              <w:rPr>
                <w:rFonts w:hint="eastAsia" w:hAnsi="宋体"/>
                <w:color w:val="auto"/>
                <w:sz w:val="24"/>
                <w:highlight w:val="none"/>
              </w:rPr>
              <w:t>t/</w:t>
            </w:r>
            <w:r>
              <w:rPr>
                <w:rFonts w:hint="eastAsia" w:hAnsi="宋体"/>
                <w:color w:val="auto"/>
                <w:sz w:val="24"/>
                <w:highlight w:val="none"/>
                <w:lang w:val="en-US" w:eastAsia="zh-CN"/>
              </w:rPr>
              <w:t>a</w:t>
            </w:r>
            <w:r>
              <w:rPr>
                <w:rFonts w:hint="eastAsia" w:hAnsi="宋体"/>
                <w:color w:val="auto"/>
                <w:sz w:val="24"/>
                <w:highlight w:val="none"/>
                <w:lang w:eastAsia="zh-CN"/>
              </w:rPr>
              <w:t>。</w:t>
            </w:r>
            <w:r>
              <w:rPr>
                <w:rFonts w:hint="eastAsia" w:hAnsi="宋体"/>
                <w:color w:val="auto"/>
                <w:sz w:val="24"/>
                <w:highlight w:val="none"/>
              </w:rPr>
              <w:t>脱硫</w:t>
            </w:r>
            <w:r>
              <w:rPr>
                <w:rFonts w:hint="eastAsia" w:hAnsi="宋体"/>
                <w:color w:val="auto"/>
                <w:sz w:val="24"/>
                <w:highlight w:val="none"/>
                <w:lang w:eastAsia="zh-CN"/>
              </w:rPr>
              <w:t>废</w:t>
            </w:r>
            <w:r>
              <w:rPr>
                <w:rFonts w:hint="eastAsia" w:hAnsi="宋体"/>
                <w:color w:val="auto"/>
                <w:sz w:val="24"/>
                <w:highlight w:val="none"/>
              </w:rPr>
              <w:t>水</w:t>
            </w:r>
            <w:r>
              <w:rPr>
                <w:rFonts w:hint="eastAsia" w:hAnsi="宋体"/>
                <w:color w:val="auto"/>
                <w:sz w:val="24"/>
                <w:highlight w:val="none"/>
                <w:lang w:eastAsia="zh-CN"/>
              </w:rPr>
              <w:t>经混凝沉淀处理后循环使用，不外排</w:t>
            </w:r>
            <w:r>
              <w:rPr>
                <w:rFonts w:hint="eastAsia" w:hAnsi="宋体"/>
                <w:color w:val="auto"/>
                <w:sz w:val="24"/>
                <w:highlight w:val="none"/>
              </w:rPr>
              <w:t>。</w:t>
            </w:r>
            <w:r>
              <w:rPr>
                <w:rFonts w:hint="eastAsia" w:hAnsi="宋体"/>
                <w:color w:val="auto"/>
                <w:sz w:val="24"/>
                <w:highlight w:val="none"/>
                <w:lang w:eastAsia="zh-CN"/>
              </w:rPr>
              <w:t>脱硫水循环水量</w:t>
            </w:r>
            <w:r>
              <w:rPr>
                <w:rFonts w:hint="eastAsia" w:hAnsi="宋体"/>
                <w:color w:val="auto"/>
                <w:sz w:val="24"/>
                <w:highlight w:val="none"/>
              </w:rPr>
              <w:t>为</w:t>
            </w:r>
            <w:r>
              <w:rPr>
                <w:rFonts w:hint="eastAsia" w:hAnsi="宋体"/>
                <w:color w:val="auto"/>
                <w:sz w:val="24"/>
                <w:highlight w:val="none"/>
                <w:lang w:val="en-US" w:eastAsia="zh-CN"/>
              </w:rPr>
              <w:t>6t/d，1080</w:t>
            </w:r>
            <w:r>
              <w:rPr>
                <w:rFonts w:hint="eastAsia" w:hAnsi="宋体"/>
                <w:color w:val="auto"/>
                <w:sz w:val="24"/>
                <w:highlight w:val="none"/>
              </w:rPr>
              <w:t>t/</w:t>
            </w:r>
            <w:r>
              <w:rPr>
                <w:rFonts w:hint="eastAsia" w:hAnsi="宋体"/>
                <w:color w:val="auto"/>
                <w:sz w:val="24"/>
                <w:highlight w:val="none"/>
                <w:lang w:val="en-US" w:eastAsia="zh-CN"/>
              </w:rPr>
              <w:t>a</w:t>
            </w:r>
            <w:r>
              <w:rPr>
                <w:rFonts w:hint="eastAsia" w:hAnsi="宋体"/>
                <w:color w:val="auto"/>
                <w:sz w:val="24"/>
                <w:highlight w:val="none"/>
                <w:lang w:eastAsia="zh-CN"/>
              </w:rPr>
              <w:t>。</w:t>
            </w:r>
            <w:r>
              <w:rPr>
                <w:rFonts w:hint="eastAsia" w:hAnsi="宋体"/>
                <w:color w:val="auto"/>
                <w:sz w:val="24"/>
                <w:highlight w:val="none"/>
              </w:rPr>
              <w:t>脱硫废水经</w:t>
            </w:r>
            <w:r>
              <w:rPr>
                <w:rFonts w:hint="eastAsia" w:hAnsi="宋体"/>
                <w:color w:val="auto"/>
                <w:sz w:val="24"/>
                <w:highlight w:val="none"/>
                <w:lang w:eastAsia="zh-CN"/>
              </w:rPr>
              <w:t>混凝沉淀</w:t>
            </w:r>
            <w:r>
              <w:rPr>
                <w:rFonts w:hint="eastAsia" w:hAnsi="宋体"/>
                <w:color w:val="auto"/>
                <w:sz w:val="24"/>
                <w:highlight w:val="none"/>
              </w:rPr>
              <w:t>处理后</w:t>
            </w:r>
            <w:r>
              <w:rPr>
                <w:rFonts w:hint="eastAsia" w:hAnsi="宋体"/>
                <w:color w:val="auto"/>
                <w:sz w:val="24"/>
                <w:highlight w:val="none"/>
                <w:lang w:eastAsia="zh-CN"/>
              </w:rPr>
              <w:t>循环使用，不外排</w:t>
            </w:r>
            <w:r>
              <w:rPr>
                <w:rFonts w:hint="eastAsia" w:hAnsi="宋体"/>
                <w:color w:val="auto"/>
                <w:sz w:val="24"/>
                <w:highlight w:val="none"/>
              </w:rPr>
              <w:t>。</w:t>
            </w:r>
          </w:p>
          <w:p>
            <w:pPr>
              <w:keepNext w:val="0"/>
              <w:keepLines w:val="0"/>
              <w:pageBreakBefore w:val="0"/>
              <w:widowControl w:val="0"/>
              <w:kinsoku/>
              <w:wordWrap/>
              <w:overflowPunct/>
              <w:topLinePunct w:val="0"/>
              <w:autoSpaceDE/>
              <w:autoSpaceDN/>
              <w:bidi w:val="0"/>
              <w:spacing w:line="360" w:lineRule="auto"/>
              <w:ind w:firstLine="482" w:firstLineChars="200"/>
              <w:textAlignment w:val="auto"/>
              <w:rPr>
                <w:b/>
                <w:color w:val="auto"/>
                <w:sz w:val="24"/>
                <w:highlight w:val="none"/>
              </w:rPr>
            </w:pPr>
            <w:r>
              <w:rPr>
                <w:b/>
                <w:color w:val="auto"/>
                <w:sz w:val="24"/>
                <w:highlight w:val="none"/>
              </w:rPr>
              <w:t>3、声环境影响分析</w:t>
            </w:r>
          </w:p>
          <w:p>
            <w:pPr>
              <w:keepNext w:val="0"/>
              <w:keepLines w:val="0"/>
              <w:pageBreakBefore w:val="0"/>
              <w:widowControl w:val="0"/>
              <w:kinsoku/>
              <w:wordWrap/>
              <w:overflowPunct/>
              <w:topLinePunct w:val="0"/>
              <w:autoSpaceDE/>
              <w:autoSpaceDN/>
              <w:bidi w:val="0"/>
              <w:spacing w:line="360" w:lineRule="auto"/>
              <w:ind w:firstLine="480" w:firstLineChars="200"/>
              <w:jc w:val="left"/>
              <w:textAlignment w:val="auto"/>
              <w:rPr>
                <w:snapToGrid w:val="0"/>
                <w:color w:val="auto"/>
                <w:kern w:val="0"/>
                <w:sz w:val="24"/>
                <w:szCs w:val="20"/>
                <w:highlight w:val="none"/>
              </w:rPr>
            </w:pPr>
            <w:r>
              <w:rPr>
                <w:rFonts w:hint="eastAsia"/>
                <w:color w:val="auto"/>
                <w:kern w:val="44"/>
                <w:sz w:val="24"/>
                <w:szCs w:val="28"/>
                <w:highlight w:val="none"/>
              </w:rPr>
              <w:t>本项目运营期噪声主要来源于各类生产设备（包括引风机、鼓风机、水泵等）运行产生的噪声，噪声源强在</w:t>
            </w:r>
            <w:r>
              <w:rPr>
                <w:color w:val="auto"/>
                <w:kern w:val="44"/>
                <w:sz w:val="24"/>
                <w:szCs w:val="28"/>
                <w:highlight w:val="none"/>
              </w:rPr>
              <w:t>70-85dB</w:t>
            </w:r>
            <w:r>
              <w:rPr>
                <w:rFonts w:hint="eastAsia"/>
                <w:color w:val="auto"/>
                <w:kern w:val="44"/>
                <w:sz w:val="24"/>
                <w:szCs w:val="28"/>
                <w:highlight w:val="none"/>
                <w:lang w:eastAsia="zh-CN"/>
              </w:rPr>
              <w:t>（</w:t>
            </w:r>
            <w:r>
              <w:rPr>
                <w:color w:val="auto"/>
                <w:kern w:val="44"/>
                <w:sz w:val="24"/>
                <w:szCs w:val="28"/>
                <w:highlight w:val="none"/>
              </w:rPr>
              <w:t>A</w:t>
            </w:r>
            <w:r>
              <w:rPr>
                <w:rFonts w:hint="eastAsia"/>
                <w:color w:val="auto"/>
                <w:kern w:val="44"/>
                <w:sz w:val="24"/>
                <w:szCs w:val="28"/>
                <w:highlight w:val="none"/>
                <w:lang w:eastAsia="zh-CN"/>
              </w:rPr>
              <w:t>）</w:t>
            </w:r>
            <w:r>
              <w:rPr>
                <w:rFonts w:hint="eastAsia"/>
                <w:color w:val="auto"/>
                <w:kern w:val="44"/>
                <w:sz w:val="24"/>
                <w:szCs w:val="28"/>
                <w:highlight w:val="none"/>
              </w:rPr>
              <w:t>之间。</w:t>
            </w:r>
            <w:r>
              <w:rPr>
                <w:rFonts w:hint="eastAsia"/>
                <w:snapToGrid w:val="0"/>
                <w:color w:val="auto"/>
                <w:kern w:val="0"/>
                <w:sz w:val="24"/>
                <w:szCs w:val="20"/>
                <w:highlight w:val="none"/>
              </w:rPr>
              <w:t>主要针对设备噪声预测</w:t>
            </w:r>
            <w:r>
              <w:rPr>
                <w:rFonts w:hint="eastAsia"/>
                <w:color w:val="auto"/>
                <w:kern w:val="44"/>
                <w:sz w:val="24"/>
                <w:szCs w:val="20"/>
                <w:highlight w:val="none"/>
              </w:rPr>
              <w:t>，</w:t>
            </w:r>
            <w:r>
              <w:rPr>
                <w:rFonts w:hint="eastAsia"/>
                <w:snapToGrid w:val="0"/>
                <w:color w:val="auto"/>
                <w:kern w:val="0"/>
                <w:sz w:val="24"/>
                <w:szCs w:val="20"/>
                <w:highlight w:val="none"/>
              </w:rPr>
              <w:t>项目噪声源强及治理情况见表</w:t>
            </w:r>
            <w:r>
              <w:rPr>
                <w:snapToGrid w:val="0"/>
                <w:color w:val="auto"/>
                <w:kern w:val="0"/>
                <w:sz w:val="24"/>
                <w:szCs w:val="20"/>
                <w:highlight w:val="none"/>
              </w:rPr>
              <w:t>7-</w:t>
            </w:r>
            <w:r>
              <w:rPr>
                <w:rFonts w:hint="eastAsia"/>
                <w:snapToGrid w:val="0"/>
                <w:color w:val="auto"/>
                <w:kern w:val="0"/>
                <w:sz w:val="24"/>
                <w:szCs w:val="20"/>
                <w:highlight w:val="none"/>
                <w:lang w:val="en-US" w:eastAsia="zh-CN"/>
              </w:rPr>
              <w:t>8</w:t>
            </w:r>
            <w:r>
              <w:rPr>
                <w:rFonts w:hint="eastAsia"/>
                <w:snapToGrid w:val="0"/>
                <w:color w:val="auto"/>
                <w:kern w:val="0"/>
                <w:sz w:val="24"/>
                <w:szCs w:val="20"/>
                <w:highlight w:val="none"/>
              </w:rPr>
              <w:t>。</w:t>
            </w:r>
          </w:p>
          <w:p>
            <w:pPr>
              <w:adjustRightInd w:val="0"/>
              <w:snapToGrid w:val="0"/>
              <w:ind w:firstLine="482" w:firstLineChars="200"/>
              <w:jc w:val="center"/>
              <w:textAlignment w:val="baseline"/>
              <w:rPr>
                <w:rFonts w:hint="eastAsia"/>
                <w:b/>
                <w:snapToGrid w:val="0"/>
                <w:color w:val="auto"/>
                <w:kern w:val="0"/>
                <w:sz w:val="24"/>
                <w:szCs w:val="20"/>
                <w:highlight w:val="none"/>
              </w:rPr>
            </w:pPr>
            <w:r>
              <w:rPr>
                <w:rFonts w:hint="eastAsia"/>
                <w:b/>
                <w:snapToGrid w:val="0"/>
                <w:color w:val="auto"/>
                <w:kern w:val="0"/>
                <w:sz w:val="24"/>
                <w:szCs w:val="20"/>
                <w:highlight w:val="none"/>
              </w:rPr>
              <w:t>表</w:t>
            </w:r>
            <w:r>
              <w:rPr>
                <w:b/>
                <w:snapToGrid w:val="0"/>
                <w:color w:val="auto"/>
                <w:kern w:val="0"/>
                <w:sz w:val="24"/>
                <w:szCs w:val="20"/>
                <w:highlight w:val="none"/>
              </w:rPr>
              <w:t>7-</w:t>
            </w:r>
            <w:r>
              <w:rPr>
                <w:rFonts w:hint="eastAsia"/>
                <w:b/>
                <w:snapToGrid w:val="0"/>
                <w:color w:val="auto"/>
                <w:kern w:val="0"/>
                <w:sz w:val="24"/>
                <w:szCs w:val="20"/>
                <w:highlight w:val="none"/>
                <w:lang w:val="en-US" w:eastAsia="zh-CN"/>
              </w:rPr>
              <w:t>8</w:t>
            </w:r>
            <w:r>
              <w:rPr>
                <w:b/>
                <w:snapToGrid w:val="0"/>
                <w:color w:val="auto"/>
                <w:kern w:val="0"/>
                <w:sz w:val="24"/>
                <w:szCs w:val="20"/>
                <w:highlight w:val="none"/>
              </w:rPr>
              <w:t xml:space="preserve"> </w:t>
            </w:r>
            <w:r>
              <w:rPr>
                <w:rFonts w:hint="eastAsia"/>
                <w:b/>
                <w:snapToGrid w:val="0"/>
                <w:color w:val="auto"/>
                <w:kern w:val="0"/>
                <w:sz w:val="24"/>
                <w:szCs w:val="20"/>
                <w:highlight w:val="none"/>
              </w:rPr>
              <w:t>噪声源强及治理措施一览表</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72"/>
              <w:gridCol w:w="1787"/>
              <w:gridCol w:w="1298"/>
              <w:gridCol w:w="1006"/>
              <w:gridCol w:w="1669"/>
              <w:gridCol w:w="1972"/>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jc w:val="center"/>
              </w:trPr>
              <w:tc>
                <w:tcPr>
                  <w:tcW w:w="772" w:type="dxa"/>
                  <w:noWrap w:val="0"/>
                  <w:vAlign w:val="center"/>
                </w:tcPr>
                <w:p>
                  <w:pPr>
                    <w:adjustRightInd w:val="0"/>
                    <w:jc w:val="center"/>
                    <w:textAlignment w:val="baseline"/>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序号</w:t>
                  </w:r>
                </w:p>
              </w:tc>
              <w:tc>
                <w:tcPr>
                  <w:tcW w:w="1787" w:type="dxa"/>
                  <w:noWrap w:val="0"/>
                  <w:vAlign w:val="center"/>
                </w:tcPr>
                <w:p>
                  <w:pPr>
                    <w:adjustRightInd w:val="0"/>
                    <w:jc w:val="center"/>
                    <w:textAlignment w:val="baseline"/>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名称</w:t>
                  </w:r>
                </w:p>
              </w:tc>
              <w:tc>
                <w:tcPr>
                  <w:tcW w:w="1298" w:type="dxa"/>
                  <w:noWrap w:val="0"/>
                  <w:vAlign w:val="center"/>
                </w:tcPr>
                <w:p>
                  <w:pPr>
                    <w:adjustRightInd w:val="0"/>
                    <w:jc w:val="center"/>
                    <w:textAlignment w:val="baseline"/>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单台设备源强dB(A)</w:t>
                  </w:r>
                </w:p>
              </w:tc>
              <w:tc>
                <w:tcPr>
                  <w:tcW w:w="1006" w:type="dxa"/>
                  <w:noWrap w:val="0"/>
                  <w:vAlign w:val="center"/>
                </w:tcPr>
                <w:p>
                  <w:pPr>
                    <w:adjustRightInd w:val="0"/>
                    <w:jc w:val="center"/>
                    <w:textAlignment w:val="baseline"/>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数量</w:t>
                  </w:r>
                </w:p>
              </w:tc>
              <w:tc>
                <w:tcPr>
                  <w:tcW w:w="1669" w:type="dxa"/>
                  <w:noWrap w:val="0"/>
                  <w:vAlign w:val="center"/>
                </w:tcPr>
                <w:p>
                  <w:pPr>
                    <w:adjustRightInd w:val="0"/>
                    <w:jc w:val="center"/>
                    <w:textAlignment w:val="baseline"/>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治理措施</w:t>
                  </w:r>
                </w:p>
              </w:tc>
              <w:tc>
                <w:tcPr>
                  <w:tcW w:w="1972" w:type="dxa"/>
                  <w:noWrap w:val="0"/>
                  <w:vAlign w:val="center"/>
                </w:tcPr>
                <w:p>
                  <w:pPr>
                    <w:adjustRightInd w:val="0"/>
                    <w:jc w:val="center"/>
                    <w:textAlignment w:val="baseline"/>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治理后的噪声源强dB(A)</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54" w:hRule="atLeast"/>
                <w:jc w:val="center"/>
              </w:trPr>
              <w:tc>
                <w:tcPr>
                  <w:tcW w:w="772" w:type="dxa"/>
                  <w:noWrap w:val="0"/>
                  <w:vAlign w:val="center"/>
                </w:tcPr>
                <w:p>
                  <w:pPr>
                    <w:adjustRightInd w:val="0"/>
                    <w:jc w:val="center"/>
                    <w:textAlignment w:val="baseline"/>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1</w:t>
                  </w:r>
                </w:p>
              </w:tc>
              <w:tc>
                <w:tcPr>
                  <w:tcW w:w="1787" w:type="dxa"/>
                  <w:noWrap w:val="0"/>
                  <w:vAlign w:val="center"/>
                </w:tcPr>
                <w:p>
                  <w:pPr>
                    <w:adjustRightInd w:val="0"/>
                    <w:jc w:val="center"/>
                    <w:textAlignment w:val="baseline"/>
                    <w:rPr>
                      <w:rFonts w:hint="default" w:ascii="Times New Roman" w:hAnsi="Times New Roman" w:cs="Times New Roman"/>
                      <w:snapToGrid w:val="0"/>
                      <w:color w:val="auto"/>
                      <w:kern w:val="0"/>
                      <w:szCs w:val="21"/>
                      <w:highlight w:val="none"/>
                    </w:rPr>
                  </w:pPr>
                  <w:r>
                    <w:rPr>
                      <w:rFonts w:hint="eastAsia"/>
                      <w:snapToGrid w:val="0"/>
                      <w:color w:val="auto"/>
                      <w:kern w:val="0"/>
                      <w:szCs w:val="21"/>
                      <w:highlight w:val="none"/>
                    </w:rPr>
                    <w:t>引风机</w:t>
                  </w:r>
                </w:p>
              </w:tc>
              <w:tc>
                <w:tcPr>
                  <w:tcW w:w="1298" w:type="dxa"/>
                  <w:noWrap w:val="0"/>
                  <w:vAlign w:val="center"/>
                </w:tcPr>
                <w:p>
                  <w:pPr>
                    <w:adjustRightInd w:val="0"/>
                    <w:jc w:val="center"/>
                    <w:rPr>
                      <w:rFonts w:hint="default" w:ascii="Times New Roman" w:hAnsi="Times New Roman" w:cs="Times New Roman"/>
                      <w:snapToGrid w:val="0"/>
                      <w:color w:val="auto"/>
                      <w:kern w:val="0"/>
                      <w:szCs w:val="21"/>
                      <w:highlight w:val="none"/>
                    </w:rPr>
                  </w:pPr>
                  <w:r>
                    <w:rPr>
                      <w:rFonts w:hint="eastAsia"/>
                      <w:snapToGrid w:val="0"/>
                      <w:color w:val="auto"/>
                      <w:szCs w:val="21"/>
                      <w:highlight w:val="none"/>
                    </w:rPr>
                    <w:t>85</w:t>
                  </w:r>
                </w:p>
              </w:tc>
              <w:tc>
                <w:tcPr>
                  <w:tcW w:w="1006" w:type="dxa"/>
                  <w:noWrap w:val="0"/>
                  <w:vAlign w:val="center"/>
                </w:tcPr>
                <w:p>
                  <w:pPr>
                    <w:widowControl/>
                    <w:jc w:val="center"/>
                    <w:rPr>
                      <w:rFonts w:hint="default" w:ascii="Times New Roman" w:hAnsi="Times New Roman" w:cs="Times New Roman"/>
                      <w:snapToGrid w:val="0"/>
                      <w:color w:val="auto"/>
                      <w:kern w:val="0"/>
                      <w:szCs w:val="21"/>
                      <w:highlight w:val="none"/>
                    </w:rPr>
                  </w:pPr>
                  <w:r>
                    <w:rPr>
                      <w:rFonts w:hint="eastAsia"/>
                      <w:color w:val="auto"/>
                      <w:szCs w:val="21"/>
                      <w:highlight w:val="none"/>
                      <w:lang w:val="en-US" w:eastAsia="zh-CN"/>
                    </w:rPr>
                    <w:t>3台</w:t>
                  </w:r>
                </w:p>
              </w:tc>
              <w:tc>
                <w:tcPr>
                  <w:tcW w:w="1669" w:type="dxa"/>
                  <w:vMerge w:val="restart"/>
                  <w:noWrap w:val="0"/>
                  <w:vAlign w:val="center"/>
                </w:tcPr>
                <w:p>
                  <w:pPr>
                    <w:adjustRightInd w:val="0"/>
                    <w:jc w:val="center"/>
                    <w:textAlignment w:val="baseline"/>
                    <w:rPr>
                      <w:rFonts w:hint="default" w:ascii="Times New Roman" w:hAnsi="Times New Roman" w:cs="Times New Roman"/>
                      <w:snapToGrid w:val="0"/>
                      <w:color w:val="auto"/>
                      <w:kern w:val="0"/>
                      <w:szCs w:val="21"/>
                      <w:highlight w:val="none"/>
                    </w:rPr>
                  </w:pPr>
                  <w:r>
                    <w:rPr>
                      <w:rFonts w:hint="default" w:ascii="Times New Roman" w:hAnsi="Times New Roman" w:cs="Times New Roman"/>
                      <w:snapToGrid w:val="0"/>
                      <w:color w:val="auto"/>
                      <w:kern w:val="0"/>
                      <w:szCs w:val="21"/>
                      <w:highlight w:val="none"/>
                    </w:rPr>
                    <w:t>低噪声设备、</w:t>
                  </w:r>
                  <w:r>
                    <w:rPr>
                      <w:rFonts w:hint="default" w:ascii="Times New Roman" w:hAnsi="Times New Roman" w:cs="Times New Roman"/>
                      <w:color w:val="auto"/>
                      <w:kern w:val="0"/>
                      <w:highlight w:val="none"/>
                    </w:rPr>
                    <w:t>基础减振</w:t>
                  </w:r>
                  <w:r>
                    <w:rPr>
                      <w:rFonts w:hint="default" w:ascii="Times New Roman" w:hAnsi="Times New Roman" w:cs="Times New Roman"/>
                      <w:snapToGrid w:val="0"/>
                      <w:color w:val="auto"/>
                      <w:kern w:val="0"/>
                      <w:szCs w:val="21"/>
                      <w:highlight w:val="none"/>
                    </w:rPr>
                    <w:t>、隔声</w:t>
                  </w:r>
                </w:p>
              </w:tc>
              <w:tc>
                <w:tcPr>
                  <w:tcW w:w="1972" w:type="dxa"/>
                  <w:noWrap w:val="0"/>
                  <w:vAlign w:val="center"/>
                </w:tcPr>
                <w:p>
                  <w:pPr>
                    <w:ind w:left="-42" w:leftChars="-20" w:right="-42" w:rightChars="-20"/>
                    <w:jc w:val="center"/>
                    <w:textAlignment w:val="center"/>
                    <w:rPr>
                      <w:rFonts w:hint="default" w:ascii="Times New Roman" w:hAnsi="Times New Roman" w:cs="Times New Roman"/>
                      <w:color w:val="auto"/>
                      <w:szCs w:val="21"/>
                      <w:highlight w:val="none"/>
                    </w:rPr>
                  </w:pPr>
                  <w:r>
                    <w:rPr>
                      <w:rFonts w:hint="eastAsia"/>
                      <w:color w:val="auto"/>
                      <w:szCs w:val="21"/>
                      <w:highlight w:val="none"/>
                    </w:rPr>
                    <w:t>65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772" w:type="dxa"/>
                  <w:noWrap w:val="0"/>
                  <w:vAlign w:val="center"/>
                </w:tcPr>
                <w:p>
                  <w:pPr>
                    <w:adjustRightInd w:val="0"/>
                    <w:jc w:val="center"/>
                    <w:textAlignment w:val="baseline"/>
                    <w:rPr>
                      <w:rFonts w:hint="eastAsia" w:ascii="Times New Roman" w:hAnsi="Times New Roman" w:eastAsia="宋体" w:cs="Times New Roman"/>
                      <w:snapToGrid w:val="0"/>
                      <w:color w:val="auto"/>
                      <w:kern w:val="0"/>
                      <w:szCs w:val="21"/>
                      <w:highlight w:val="none"/>
                      <w:lang w:eastAsia="zh-CN"/>
                    </w:rPr>
                  </w:pPr>
                  <w:r>
                    <w:rPr>
                      <w:rFonts w:hint="eastAsia" w:cs="Times New Roman"/>
                      <w:snapToGrid w:val="0"/>
                      <w:color w:val="auto"/>
                      <w:kern w:val="0"/>
                      <w:szCs w:val="21"/>
                      <w:highlight w:val="none"/>
                      <w:lang w:val="en-US" w:eastAsia="zh-CN"/>
                    </w:rPr>
                    <w:t>2</w:t>
                  </w:r>
                </w:p>
              </w:tc>
              <w:tc>
                <w:tcPr>
                  <w:tcW w:w="1787" w:type="dxa"/>
                  <w:noWrap w:val="0"/>
                  <w:vAlign w:val="center"/>
                </w:tcPr>
                <w:p>
                  <w:pPr>
                    <w:adjustRightInd w:val="0"/>
                    <w:jc w:val="center"/>
                    <w:textAlignment w:val="baseline"/>
                    <w:rPr>
                      <w:rFonts w:hint="default" w:ascii="Times New Roman" w:hAnsi="Times New Roman" w:cs="Times New Roman"/>
                      <w:snapToGrid w:val="0"/>
                      <w:color w:val="auto"/>
                      <w:kern w:val="0"/>
                      <w:szCs w:val="21"/>
                      <w:highlight w:val="none"/>
                    </w:rPr>
                  </w:pPr>
                  <w:r>
                    <w:rPr>
                      <w:rFonts w:hint="eastAsia"/>
                      <w:color w:val="auto"/>
                      <w:szCs w:val="21"/>
                      <w:highlight w:val="none"/>
                    </w:rPr>
                    <w:t>鼓风机</w:t>
                  </w:r>
                </w:p>
              </w:tc>
              <w:tc>
                <w:tcPr>
                  <w:tcW w:w="1298" w:type="dxa"/>
                  <w:noWrap w:val="0"/>
                  <w:vAlign w:val="center"/>
                </w:tcPr>
                <w:p>
                  <w:pPr>
                    <w:adjustRightInd w:val="0"/>
                    <w:jc w:val="center"/>
                    <w:rPr>
                      <w:rFonts w:hint="default" w:ascii="Times New Roman" w:hAnsi="Times New Roman" w:cs="Times New Roman"/>
                      <w:snapToGrid w:val="0"/>
                      <w:color w:val="auto"/>
                      <w:kern w:val="0"/>
                      <w:szCs w:val="21"/>
                      <w:highlight w:val="none"/>
                    </w:rPr>
                  </w:pPr>
                  <w:r>
                    <w:rPr>
                      <w:rFonts w:hint="eastAsia"/>
                      <w:snapToGrid w:val="0"/>
                      <w:color w:val="auto"/>
                      <w:szCs w:val="21"/>
                      <w:highlight w:val="none"/>
                      <w:lang w:val="en-US" w:eastAsia="zh-CN"/>
                    </w:rPr>
                    <w:t>70</w:t>
                  </w:r>
                </w:p>
              </w:tc>
              <w:tc>
                <w:tcPr>
                  <w:tcW w:w="1006" w:type="dxa"/>
                  <w:noWrap w:val="0"/>
                  <w:vAlign w:val="center"/>
                </w:tcPr>
                <w:p>
                  <w:pPr>
                    <w:widowControl/>
                    <w:jc w:val="center"/>
                    <w:rPr>
                      <w:rFonts w:hint="default" w:ascii="Times New Roman" w:hAnsi="Times New Roman" w:cs="Times New Roman"/>
                      <w:snapToGrid w:val="0"/>
                      <w:color w:val="auto"/>
                      <w:kern w:val="0"/>
                      <w:szCs w:val="21"/>
                      <w:highlight w:val="none"/>
                    </w:rPr>
                  </w:pPr>
                  <w:r>
                    <w:rPr>
                      <w:rFonts w:hint="eastAsia"/>
                      <w:color w:val="auto"/>
                      <w:szCs w:val="21"/>
                      <w:highlight w:val="none"/>
                      <w:lang w:val="en-US" w:eastAsia="zh-CN"/>
                    </w:rPr>
                    <w:t>3台</w:t>
                  </w:r>
                </w:p>
              </w:tc>
              <w:tc>
                <w:tcPr>
                  <w:tcW w:w="1669" w:type="dxa"/>
                  <w:vMerge w:val="continue"/>
                  <w:noWrap w:val="0"/>
                  <w:vAlign w:val="center"/>
                </w:tcPr>
                <w:p>
                  <w:pPr>
                    <w:widowControl/>
                    <w:jc w:val="center"/>
                    <w:rPr>
                      <w:rFonts w:hint="default" w:ascii="Times New Roman" w:hAnsi="Times New Roman" w:cs="Times New Roman"/>
                      <w:snapToGrid w:val="0"/>
                      <w:color w:val="auto"/>
                      <w:kern w:val="0"/>
                      <w:szCs w:val="21"/>
                      <w:highlight w:val="none"/>
                    </w:rPr>
                  </w:pPr>
                </w:p>
              </w:tc>
              <w:tc>
                <w:tcPr>
                  <w:tcW w:w="1972" w:type="dxa"/>
                  <w:noWrap w:val="0"/>
                  <w:vAlign w:val="center"/>
                </w:tcPr>
                <w:p>
                  <w:pPr>
                    <w:ind w:left="-42" w:leftChars="-20" w:right="-42" w:rightChars="-20"/>
                    <w:jc w:val="center"/>
                    <w:textAlignment w:val="center"/>
                    <w:rPr>
                      <w:rFonts w:hint="default" w:ascii="Times New Roman" w:hAnsi="Times New Roman" w:cs="Times New Roman"/>
                      <w:color w:val="auto"/>
                      <w:szCs w:val="21"/>
                      <w:highlight w:val="none"/>
                    </w:rPr>
                  </w:pPr>
                  <w:r>
                    <w:rPr>
                      <w:rFonts w:hint="eastAsia"/>
                      <w:color w:val="auto"/>
                      <w:szCs w:val="21"/>
                      <w:highlight w:val="none"/>
                      <w:lang w:val="en-US" w:eastAsia="zh-CN"/>
                    </w:rPr>
                    <w:t>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772" w:type="dxa"/>
                  <w:noWrap w:val="0"/>
                  <w:vAlign w:val="center"/>
                </w:tcPr>
                <w:p>
                  <w:pPr>
                    <w:adjustRightInd w:val="0"/>
                    <w:jc w:val="center"/>
                    <w:textAlignment w:val="baseline"/>
                    <w:rPr>
                      <w:rFonts w:hint="eastAsia" w:ascii="Times New Roman" w:hAnsi="Times New Roman" w:eastAsia="宋体" w:cs="Times New Roman"/>
                      <w:snapToGrid w:val="0"/>
                      <w:color w:val="auto"/>
                      <w:kern w:val="0"/>
                      <w:szCs w:val="21"/>
                      <w:highlight w:val="none"/>
                      <w:lang w:eastAsia="zh-CN"/>
                    </w:rPr>
                  </w:pPr>
                  <w:r>
                    <w:rPr>
                      <w:rFonts w:hint="eastAsia" w:cs="Times New Roman"/>
                      <w:snapToGrid w:val="0"/>
                      <w:color w:val="auto"/>
                      <w:kern w:val="0"/>
                      <w:szCs w:val="21"/>
                      <w:highlight w:val="none"/>
                      <w:lang w:val="en-US" w:eastAsia="zh-CN"/>
                    </w:rPr>
                    <w:t>3</w:t>
                  </w:r>
                </w:p>
              </w:tc>
              <w:tc>
                <w:tcPr>
                  <w:tcW w:w="1787" w:type="dxa"/>
                  <w:noWrap w:val="0"/>
                  <w:vAlign w:val="center"/>
                </w:tcPr>
                <w:p>
                  <w:pPr>
                    <w:adjustRightInd w:val="0"/>
                    <w:jc w:val="center"/>
                    <w:textAlignment w:val="baseline"/>
                    <w:rPr>
                      <w:rFonts w:hint="default" w:ascii="Times New Roman" w:hAnsi="Times New Roman" w:cs="Times New Roman"/>
                      <w:snapToGrid w:val="0"/>
                      <w:color w:val="auto"/>
                      <w:kern w:val="0"/>
                      <w:szCs w:val="21"/>
                      <w:highlight w:val="none"/>
                    </w:rPr>
                  </w:pPr>
                  <w:r>
                    <w:rPr>
                      <w:rFonts w:hint="eastAsia"/>
                      <w:snapToGrid w:val="0"/>
                      <w:color w:val="auto"/>
                      <w:kern w:val="0"/>
                      <w:szCs w:val="21"/>
                      <w:highlight w:val="none"/>
                    </w:rPr>
                    <w:t>水泵</w:t>
                  </w:r>
                </w:p>
              </w:tc>
              <w:tc>
                <w:tcPr>
                  <w:tcW w:w="1298" w:type="dxa"/>
                  <w:noWrap w:val="0"/>
                  <w:vAlign w:val="center"/>
                </w:tcPr>
                <w:p>
                  <w:pPr>
                    <w:adjustRightInd w:val="0"/>
                    <w:jc w:val="center"/>
                    <w:rPr>
                      <w:rFonts w:hint="default" w:ascii="Times New Roman" w:hAnsi="Times New Roman" w:cs="Times New Roman"/>
                      <w:snapToGrid w:val="0"/>
                      <w:color w:val="auto"/>
                      <w:kern w:val="0"/>
                      <w:szCs w:val="21"/>
                      <w:highlight w:val="none"/>
                    </w:rPr>
                  </w:pPr>
                  <w:r>
                    <w:rPr>
                      <w:rFonts w:hint="eastAsia"/>
                      <w:snapToGrid w:val="0"/>
                      <w:color w:val="auto"/>
                      <w:szCs w:val="21"/>
                      <w:highlight w:val="none"/>
                      <w:lang w:val="en-US" w:eastAsia="zh-CN"/>
                    </w:rPr>
                    <w:t>75</w:t>
                  </w:r>
                </w:p>
              </w:tc>
              <w:tc>
                <w:tcPr>
                  <w:tcW w:w="1006" w:type="dxa"/>
                  <w:noWrap w:val="0"/>
                  <w:vAlign w:val="center"/>
                </w:tcPr>
                <w:p>
                  <w:pPr>
                    <w:widowControl/>
                    <w:jc w:val="center"/>
                    <w:rPr>
                      <w:rFonts w:hint="default" w:ascii="Times New Roman" w:hAnsi="Times New Roman" w:cs="Times New Roman"/>
                      <w:snapToGrid w:val="0"/>
                      <w:color w:val="auto"/>
                      <w:kern w:val="0"/>
                      <w:szCs w:val="21"/>
                      <w:highlight w:val="none"/>
                    </w:rPr>
                  </w:pPr>
                  <w:r>
                    <w:rPr>
                      <w:rFonts w:hint="eastAsia"/>
                      <w:color w:val="auto"/>
                      <w:szCs w:val="21"/>
                      <w:highlight w:val="none"/>
                      <w:lang w:val="en-US" w:eastAsia="zh-CN"/>
                    </w:rPr>
                    <w:t>3台</w:t>
                  </w:r>
                </w:p>
              </w:tc>
              <w:tc>
                <w:tcPr>
                  <w:tcW w:w="1669" w:type="dxa"/>
                  <w:vMerge w:val="continue"/>
                  <w:noWrap w:val="0"/>
                  <w:vAlign w:val="center"/>
                </w:tcPr>
                <w:p>
                  <w:pPr>
                    <w:widowControl/>
                    <w:jc w:val="center"/>
                    <w:rPr>
                      <w:rFonts w:hint="default" w:ascii="Times New Roman" w:hAnsi="Times New Roman" w:cs="Times New Roman"/>
                      <w:snapToGrid w:val="0"/>
                      <w:color w:val="auto"/>
                      <w:kern w:val="0"/>
                      <w:szCs w:val="21"/>
                      <w:highlight w:val="none"/>
                    </w:rPr>
                  </w:pPr>
                </w:p>
              </w:tc>
              <w:tc>
                <w:tcPr>
                  <w:tcW w:w="1972" w:type="dxa"/>
                  <w:noWrap w:val="0"/>
                  <w:vAlign w:val="center"/>
                </w:tcPr>
                <w:p>
                  <w:pPr>
                    <w:ind w:left="-42" w:leftChars="-20" w:right="-42" w:rightChars="-20"/>
                    <w:jc w:val="center"/>
                    <w:textAlignment w:val="center"/>
                    <w:rPr>
                      <w:rFonts w:hint="default" w:ascii="Times New Roman" w:hAnsi="Times New Roman" w:cs="Times New Roman"/>
                      <w:color w:val="auto"/>
                      <w:szCs w:val="21"/>
                      <w:highlight w:val="none"/>
                    </w:rPr>
                  </w:pPr>
                  <w:r>
                    <w:rPr>
                      <w:rFonts w:hint="eastAsia"/>
                      <w:color w:val="auto"/>
                      <w:szCs w:val="21"/>
                      <w:highlight w:val="none"/>
                      <w:lang w:val="en-US" w:eastAsia="zh-CN"/>
                    </w:rPr>
                    <w:t>55</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93" w:hRule="atLeast"/>
                <w:jc w:val="center"/>
              </w:trPr>
              <w:tc>
                <w:tcPr>
                  <w:tcW w:w="772" w:type="dxa"/>
                  <w:noWrap w:val="0"/>
                  <w:vAlign w:val="center"/>
                </w:tcPr>
                <w:p>
                  <w:pPr>
                    <w:adjustRightInd w:val="0"/>
                    <w:jc w:val="center"/>
                    <w:textAlignment w:val="baseline"/>
                    <w:rPr>
                      <w:rFonts w:hint="default" w:cs="Times New Roman"/>
                      <w:snapToGrid w:val="0"/>
                      <w:color w:val="auto"/>
                      <w:kern w:val="0"/>
                      <w:szCs w:val="21"/>
                      <w:highlight w:val="none"/>
                      <w:lang w:val="en-US" w:eastAsia="zh-CN"/>
                    </w:rPr>
                  </w:pPr>
                  <w:r>
                    <w:rPr>
                      <w:rFonts w:hint="eastAsia" w:cs="Times New Roman"/>
                      <w:snapToGrid w:val="0"/>
                      <w:color w:val="auto"/>
                      <w:kern w:val="0"/>
                      <w:szCs w:val="21"/>
                      <w:highlight w:val="none"/>
                      <w:lang w:val="en-US" w:eastAsia="zh-CN"/>
                    </w:rPr>
                    <w:t>4</w:t>
                  </w:r>
                </w:p>
              </w:tc>
              <w:tc>
                <w:tcPr>
                  <w:tcW w:w="1787" w:type="dxa"/>
                  <w:noWrap w:val="0"/>
                  <w:vAlign w:val="center"/>
                </w:tcPr>
                <w:p>
                  <w:pPr>
                    <w:adjustRightInd w:val="0"/>
                    <w:jc w:val="center"/>
                    <w:textAlignment w:val="baseline"/>
                    <w:rPr>
                      <w:rFonts w:hint="eastAsia" w:eastAsia="宋体"/>
                      <w:snapToGrid w:val="0"/>
                      <w:color w:val="auto"/>
                      <w:kern w:val="0"/>
                      <w:szCs w:val="21"/>
                      <w:highlight w:val="none"/>
                      <w:lang w:eastAsia="zh-CN"/>
                    </w:rPr>
                  </w:pPr>
                  <w:r>
                    <w:rPr>
                      <w:rFonts w:hint="eastAsia"/>
                      <w:snapToGrid w:val="0"/>
                      <w:color w:val="auto"/>
                      <w:kern w:val="0"/>
                      <w:szCs w:val="21"/>
                      <w:highlight w:val="none"/>
                      <w:lang w:eastAsia="zh-CN"/>
                    </w:rPr>
                    <w:t>循环水泵</w:t>
                  </w:r>
                </w:p>
              </w:tc>
              <w:tc>
                <w:tcPr>
                  <w:tcW w:w="1298" w:type="dxa"/>
                  <w:noWrap w:val="0"/>
                  <w:vAlign w:val="center"/>
                </w:tcPr>
                <w:p>
                  <w:pPr>
                    <w:adjustRightInd w:val="0"/>
                    <w:jc w:val="center"/>
                    <w:rPr>
                      <w:rFonts w:hint="default"/>
                      <w:snapToGrid w:val="0"/>
                      <w:color w:val="auto"/>
                      <w:szCs w:val="21"/>
                      <w:highlight w:val="none"/>
                      <w:lang w:val="en-US" w:eastAsia="zh-CN"/>
                    </w:rPr>
                  </w:pPr>
                  <w:r>
                    <w:rPr>
                      <w:rFonts w:hint="eastAsia"/>
                      <w:snapToGrid w:val="0"/>
                      <w:color w:val="auto"/>
                      <w:szCs w:val="21"/>
                      <w:highlight w:val="none"/>
                      <w:lang w:val="en-US" w:eastAsia="zh-CN"/>
                    </w:rPr>
                    <w:t>75</w:t>
                  </w:r>
                </w:p>
              </w:tc>
              <w:tc>
                <w:tcPr>
                  <w:tcW w:w="1006" w:type="dxa"/>
                  <w:noWrap w:val="0"/>
                  <w:vAlign w:val="center"/>
                </w:tcPr>
                <w:p>
                  <w:pPr>
                    <w:widowControl/>
                    <w:jc w:val="center"/>
                    <w:rPr>
                      <w:rFonts w:hint="default"/>
                      <w:color w:val="auto"/>
                      <w:szCs w:val="21"/>
                      <w:highlight w:val="none"/>
                      <w:lang w:val="en-US" w:eastAsia="zh-CN"/>
                    </w:rPr>
                  </w:pPr>
                  <w:r>
                    <w:rPr>
                      <w:rFonts w:hint="eastAsia"/>
                      <w:color w:val="auto"/>
                      <w:szCs w:val="21"/>
                      <w:highlight w:val="none"/>
                      <w:lang w:val="en-US" w:eastAsia="zh-CN"/>
                    </w:rPr>
                    <w:t>3台</w:t>
                  </w:r>
                </w:p>
              </w:tc>
              <w:tc>
                <w:tcPr>
                  <w:tcW w:w="1669" w:type="dxa"/>
                  <w:vMerge w:val="continue"/>
                  <w:noWrap w:val="0"/>
                  <w:vAlign w:val="center"/>
                </w:tcPr>
                <w:p>
                  <w:pPr>
                    <w:widowControl/>
                    <w:jc w:val="center"/>
                    <w:rPr>
                      <w:rFonts w:hint="default" w:ascii="Times New Roman" w:hAnsi="Times New Roman" w:cs="Times New Roman"/>
                      <w:snapToGrid w:val="0"/>
                      <w:color w:val="auto"/>
                      <w:kern w:val="0"/>
                      <w:szCs w:val="21"/>
                      <w:highlight w:val="none"/>
                    </w:rPr>
                  </w:pPr>
                </w:p>
              </w:tc>
              <w:tc>
                <w:tcPr>
                  <w:tcW w:w="1972" w:type="dxa"/>
                  <w:noWrap w:val="0"/>
                  <w:vAlign w:val="center"/>
                </w:tcPr>
                <w:p>
                  <w:pPr>
                    <w:ind w:left="-42" w:leftChars="-20" w:right="-42" w:rightChars="-20"/>
                    <w:jc w:val="center"/>
                    <w:textAlignment w:val="center"/>
                    <w:rPr>
                      <w:rFonts w:hint="default"/>
                      <w:color w:val="auto"/>
                      <w:szCs w:val="21"/>
                      <w:highlight w:val="none"/>
                      <w:lang w:val="en-US" w:eastAsia="zh-CN"/>
                    </w:rPr>
                  </w:pPr>
                  <w:r>
                    <w:rPr>
                      <w:rFonts w:hint="eastAsia"/>
                      <w:color w:val="auto"/>
                      <w:szCs w:val="21"/>
                      <w:highlight w:val="none"/>
                      <w:lang w:val="en-US" w:eastAsia="zh-CN"/>
                    </w:rPr>
                    <w:t>55</w:t>
                  </w:r>
                </w:p>
              </w:tc>
            </w:tr>
          </w:tbl>
          <w:p>
            <w:pPr>
              <w:adjustRightInd w:val="0"/>
              <w:spacing w:line="360" w:lineRule="auto"/>
              <w:ind w:firstLine="720" w:firstLineChars="300"/>
              <w:rPr>
                <w:color w:val="auto"/>
                <w:sz w:val="24"/>
                <w:szCs w:val="20"/>
                <w:highlight w:val="none"/>
              </w:rPr>
            </w:pPr>
            <w:r>
              <w:rPr>
                <w:rFonts w:hint="eastAsia"/>
                <w:color w:val="auto"/>
                <w:sz w:val="24"/>
                <w:szCs w:val="20"/>
                <w:highlight w:val="none"/>
              </w:rPr>
              <w:t>点声源衰减公式：</w:t>
            </w:r>
          </w:p>
          <w:p>
            <w:pPr>
              <w:spacing w:line="360" w:lineRule="auto"/>
              <w:ind w:firstLine="1200" w:firstLineChars="500"/>
              <w:rPr>
                <w:color w:val="auto"/>
                <w:sz w:val="24"/>
                <w:szCs w:val="21"/>
                <w:highlight w:val="none"/>
              </w:rPr>
            </w:pPr>
            <w:r>
              <w:rPr>
                <w:color w:val="auto"/>
                <w:sz w:val="24"/>
                <w:szCs w:val="21"/>
                <w:highlight w:val="none"/>
              </w:rPr>
              <w:t>L</w:t>
            </w:r>
            <w:r>
              <w:rPr>
                <w:color w:val="auto"/>
                <w:sz w:val="24"/>
                <w:szCs w:val="21"/>
                <w:highlight w:val="none"/>
                <w:vertAlign w:val="subscript"/>
              </w:rPr>
              <w:t>P2</w:t>
            </w:r>
            <w:r>
              <w:rPr>
                <w:color w:val="auto"/>
                <w:sz w:val="24"/>
                <w:szCs w:val="21"/>
                <w:highlight w:val="none"/>
              </w:rPr>
              <w:t>=L</w:t>
            </w:r>
            <w:r>
              <w:rPr>
                <w:color w:val="auto"/>
                <w:sz w:val="24"/>
                <w:szCs w:val="21"/>
                <w:highlight w:val="none"/>
                <w:vertAlign w:val="subscript"/>
              </w:rPr>
              <w:t>P1</w:t>
            </w:r>
            <w:r>
              <w:rPr>
                <w:color w:val="auto"/>
                <w:sz w:val="24"/>
                <w:szCs w:val="21"/>
                <w:highlight w:val="none"/>
              </w:rPr>
              <w:t>-20Lg(r</w:t>
            </w:r>
            <w:r>
              <w:rPr>
                <w:color w:val="auto"/>
                <w:sz w:val="24"/>
                <w:szCs w:val="21"/>
                <w:highlight w:val="none"/>
                <w:vertAlign w:val="subscript"/>
              </w:rPr>
              <w:t>2</w:t>
            </w:r>
            <w:r>
              <w:rPr>
                <w:color w:val="auto"/>
                <w:sz w:val="24"/>
                <w:szCs w:val="21"/>
                <w:highlight w:val="none"/>
              </w:rPr>
              <w:t>/r</w:t>
            </w:r>
            <w:r>
              <w:rPr>
                <w:color w:val="auto"/>
                <w:sz w:val="24"/>
                <w:szCs w:val="21"/>
                <w:highlight w:val="none"/>
                <w:vertAlign w:val="subscript"/>
              </w:rPr>
              <w:t>1</w:t>
            </w:r>
            <w:r>
              <w:rPr>
                <w:color w:val="auto"/>
                <w:sz w:val="24"/>
                <w:szCs w:val="21"/>
                <w:highlight w:val="none"/>
              </w:rPr>
              <w:t>)</w:t>
            </w:r>
          </w:p>
          <w:p>
            <w:pPr>
              <w:spacing w:line="360" w:lineRule="auto"/>
              <w:ind w:firstLine="1200" w:firstLineChars="500"/>
              <w:rPr>
                <w:color w:val="auto"/>
                <w:sz w:val="24"/>
                <w:szCs w:val="21"/>
                <w:highlight w:val="none"/>
              </w:rPr>
            </w:pPr>
            <w:r>
              <w:rPr>
                <w:rFonts w:hint="eastAsia"/>
                <w:color w:val="auto"/>
                <w:sz w:val="24"/>
                <w:szCs w:val="21"/>
                <w:highlight w:val="none"/>
              </w:rPr>
              <w:t>其中：</w:t>
            </w:r>
            <w:r>
              <w:rPr>
                <w:color w:val="auto"/>
                <w:sz w:val="24"/>
                <w:szCs w:val="21"/>
                <w:highlight w:val="none"/>
              </w:rPr>
              <w:t>L</w:t>
            </w:r>
            <w:r>
              <w:rPr>
                <w:color w:val="auto"/>
                <w:sz w:val="24"/>
                <w:szCs w:val="21"/>
                <w:highlight w:val="none"/>
                <w:vertAlign w:val="subscript"/>
              </w:rPr>
              <w:t>P1</w:t>
            </w:r>
            <w:r>
              <w:rPr>
                <w:color w:val="auto"/>
                <w:sz w:val="24"/>
                <w:szCs w:val="21"/>
                <w:highlight w:val="none"/>
              </w:rPr>
              <w:t>—</w:t>
            </w:r>
            <w:r>
              <w:rPr>
                <w:rFonts w:hint="eastAsia"/>
                <w:color w:val="auto"/>
                <w:sz w:val="24"/>
                <w:szCs w:val="21"/>
                <w:highlight w:val="none"/>
              </w:rPr>
              <w:t>距声源</w:t>
            </w:r>
            <w:r>
              <w:rPr>
                <w:color w:val="auto"/>
                <w:sz w:val="24"/>
                <w:szCs w:val="21"/>
                <w:highlight w:val="none"/>
              </w:rPr>
              <w:t>r</w:t>
            </w:r>
            <w:r>
              <w:rPr>
                <w:color w:val="auto"/>
                <w:sz w:val="24"/>
                <w:szCs w:val="21"/>
                <w:highlight w:val="none"/>
                <w:vertAlign w:val="subscript"/>
              </w:rPr>
              <w:t>1</w:t>
            </w:r>
            <w:r>
              <w:rPr>
                <w:rFonts w:hint="eastAsia"/>
                <w:color w:val="auto"/>
                <w:sz w:val="24"/>
                <w:szCs w:val="21"/>
                <w:highlight w:val="none"/>
              </w:rPr>
              <w:t>米处的声压级</w:t>
            </w:r>
            <w:r>
              <w:rPr>
                <w:color w:val="auto"/>
                <w:sz w:val="24"/>
                <w:szCs w:val="21"/>
                <w:highlight w:val="none"/>
              </w:rPr>
              <w:t>dB(A)</w:t>
            </w:r>
            <w:r>
              <w:rPr>
                <w:rFonts w:hint="eastAsia"/>
                <w:color w:val="auto"/>
                <w:sz w:val="24"/>
                <w:szCs w:val="21"/>
                <w:highlight w:val="none"/>
              </w:rPr>
              <w:t>，</w:t>
            </w:r>
          </w:p>
          <w:p>
            <w:pPr>
              <w:spacing w:line="360" w:lineRule="auto"/>
              <w:ind w:firstLine="1920" w:firstLineChars="800"/>
              <w:rPr>
                <w:color w:val="auto"/>
                <w:sz w:val="24"/>
                <w:szCs w:val="21"/>
                <w:highlight w:val="none"/>
              </w:rPr>
            </w:pPr>
            <w:r>
              <w:rPr>
                <w:color w:val="auto"/>
                <w:sz w:val="24"/>
                <w:szCs w:val="21"/>
                <w:highlight w:val="none"/>
              </w:rPr>
              <w:t>L</w:t>
            </w:r>
            <w:r>
              <w:rPr>
                <w:color w:val="auto"/>
                <w:sz w:val="24"/>
                <w:szCs w:val="21"/>
                <w:highlight w:val="none"/>
                <w:vertAlign w:val="subscript"/>
              </w:rPr>
              <w:t>P2</w:t>
            </w:r>
            <w:r>
              <w:rPr>
                <w:color w:val="auto"/>
                <w:sz w:val="24"/>
                <w:szCs w:val="21"/>
                <w:highlight w:val="none"/>
              </w:rPr>
              <w:t>—</w:t>
            </w:r>
            <w:r>
              <w:rPr>
                <w:rFonts w:hint="eastAsia"/>
                <w:color w:val="auto"/>
                <w:sz w:val="24"/>
                <w:szCs w:val="21"/>
                <w:highlight w:val="none"/>
              </w:rPr>
              <w:t>距声源</w:t>
            </w:r>
            <w:r>
              <w:rPr>
                <w:color w:val="auto"/>
                <w:sz w:val="24"/>
                <w:szCs w:val="21"/>
                <w:highlight w:val="none"/>
              </w:rPr>
              <w:t>r</w:t>
            </w:r>
            <w:r>
              <w:rPr>
                <w:color w:val="auto"/>
                <w:sz w:val="24"/>
                <w:szCs w:val="21"/>
                <w:highlight w:val="none"/>
                <w:vertAlign w:val="subscript"/>
              </w:rPr>
              <w:t>2</w:t>
            </w:r>
            <w:r>
              <w:rPr>
                <w:rFonts w:hint="eastAsia"/>
                <w:color w:val="auto"/>
                <w:sz w:val="24"/>
                <w:szCs w:val="21"/>
                <w:highlight w:val="none"/>
              </w:rPr>
              <w:t>米处的声压级</w:t>
            </w:r>
            <w:r>
              <w:rPr>
                <w:color w:val="auto"/>
                <w:sz w:val="24"/>
                <w:szCs w:val="21"/>
                <w:highlight w:val="none"/>
              </w:rPr>
              <w:t>dB(A)</w:t>
            </w:r>
          </w:p>
          <w:p>
            <w:pPr>
              <w:spacing w:line="360" w:lineRule="auto"/>
              <w:ind w:firstLine="720" w:firstLineChars="300"/>
              <w:rPr>
                <w:color w:val="auto"/>
                <w:sz w:val="24"/>
                <w:szCs w:val="21"/>
                <w:highlight w:val="none"/>
              </w:rPr>
            </w:pPr>
            <w:r>
              <w:rPr>
                <w:rFonts w:hint="eastAsia"/>
                <w:color w:val="auto"/>
                <w:sz w:val="24"/>
                <w:szCs w:val="21"/>
                <w:highlight w:val="none"/>
              </w:rPr>
              <w:t>噪声级的叠加公式：</w:t>
            </w:r>
          </w:p>
          <w:p>
            <w:pPr>
              <w:spacing w:line="360" w:lineRule="auto"/>
              <w:ind w:firstLine="1200" w:firstLineChars="500"/>
              <w:rPr>
                <w:color w:val="auto"/>
                <w:sz w:val="24"/>
                <w:szCs w:val="21"/>
                <w:highlight w:val="none"/>
              </w:rPr>
            </w:pPr>
            <w:r>
              <w:rPr>
                <w:color w:val="auto"/>
                <w:sz w:val="24"/>
                <w:szCs w:val="21"/>
                <w:highlight w:val="none"/>
              </w:rPr>
              <w:t>L</w:t>
            </w:r>
            <w:r>
              <w:rPr>
                <w:color w:val="auto"/>
                <w:sz w:val="24"/>
                <w:szCs w:val="21"/>
                <w:highlight w:val="none"/>
                <w:vertAlign w:val="subscript"/>
              </w:rPr>
              <w:t>P</w:t>
            </w:r>
            <w:r>
              <w:rPr>
                <w:color w:val="auto"/>
                <w:sz w:val="24"/>
                <w:szCs w:val="21"/>
                <w:highlight w:val="none"/>
              </w:rPr>
              <w:t>=10Lg(10</w:t>
            </w:r>
            <w:r>
              <w:rPr>
                <w:color w:val="auto"/>
                <w:sz w:val="24"/>
                <w:szCs w:val="21"/>
                <w:highlight w:val="none"/>
                <w:vertAlign w:val="superscript"/>
              </w:rPr>
              <w:t>LP1/10</w:t>
            </w:r>
            <w:r>
              <w:rPr>
                <w:color w:val="auto"/>
                <w:sz w:val="24"/>
                <w:szCs w:val="21"/>
                <w:highlight w:val="none"/>
              </w:rPr>
              <w:t>+10</w:t>
            </w:r>
            <w:r>
              <w:rPr>
                <w:color w:val="auto"/>
                <w:sz w:val="24"/>
                <w:szCs w:val="21"/>
                <w:highlight w:val="none"/>
                <w:vertAlign w:val="superscript"/>
              </w:rPr>
              <w:t>LP2/10</w:t>
            </w:r>
            <w:r>
              <w:rPr>
                <w:color w:val="auto"/>
                <w:sz w:val="24"/>
                <w:szCs w:val="21"/>
                <w:highlight w:val="none"/>
              </w:rPr>
              <w:t>+…)</w:t>
            </w:r>
          </w:p>
          <w:p>
            <w:pPr>
              <w:spacing w:line="360" w:lineRule="auto"/>
              <w:ind w:firstLine="1200" w:firstLineChars="500"/>
              <w:rPr>
                <w:color w:val="auto"/>
                <w:sz w:val="24"/>
                <w:szCs w:val="21"/>
                <w:highlight w:val="none"/>
              </w:rPr>
            </w:pPr>
            <w:r>
              <w:rPr>
                <w:rFonts w:hint="eastAsia"/>
                <w:color w:val="auto"/>
                <w:sz w:val="24"/>
                <w:szCs w:val="21"/>
                <w:highlight w:val="none"/>
              </w:rPr>
              <w:t>其中：</w:t>
            </w:r>
            <w:r>
              <w:rPr>
                <w:color w:val="auto"/>
                <w:sz w:val="24"/>
                <w:szCs w:val="21"/>
                <w:highlight w:val="none"/>
              </w:rPr>
              <w:t>L</w:t>
            </w:r>
            <w:r>
              <w:rPr>
                <w:color w:val="auto"/>
                <w:sz w:val="24"/>
                <w:szCs w:val="21"/>
                <w:highlight w:val="none"/>
                <w:vertAlign w:val="subscript"/>
              </w:rPr>
              <w:t>P</w:t>
            </w:r>
            <w:r>
              <w:rPr>
                <w:color w:val="auto"/>
                <w:sz w:val="24"/>
                <w:szCs w:val="21"/>
                <w:highlight w:val="none"/>
              </w:rPr>
              <w:t>—</w:t>
            </w:r>
            <w:r>
              <w:rPr>
                <w:rFonts w:hint="eastAsia"/>
                <w:color w:val="auto"/>
                <w:sz w:val="24"/>
                <w:szCs w:val="21"/>
                <w:highlight w:val="none"/>
              </w:rPr>
              <w:t>某点叠加后的总声压级</w:t>
            </w:r>
            <w:r>
              <w:rPr>
                <w:color w:val="auto"/>
                <w:sz w:val="24"/>
                <w:szCs w:val="21"/>
                <w:highlight w:val="none"/>
              </w:rPr>
              <w:t>dB(A)</w:t>
            </w:r>
          </w:p>
          <w:p>
            <w:pPr>
              <w:spacing w:line="360" w:lineRule="auto"/>
              <w:ind w:firstLine="1920" w:firstLineChars="800"/>
              <w:rPr>
                <w:color w:val="auto"/>
                <w:sz w:val="24"/>
                <w:szCs w:val="21"/>
                <w:highlight w:val="none"/>
              </w:rPr>
            </w:pPr>
            <w:r>
              <w:rPr>
                <w:color w:val="auto"/>
                <w:sz w:val="24"/>
                <w:szCs w:val="21"/>
                <w:highlight w:val="none"/>
              </w:rPr>
              <w:t>L</w:t>
            </w:r>
            <w:r>
              <w:rPr>
                <w:color w:val="auto"/>
                <w:sz w:val="24"/>
                <w:szCs w:val="21"/>
                <w:highlight w:val="none"/>
                <w:vertAlign w:val="subscript"/>
              </w:rPr>
              <w:t>P1</w:t>
            </w:r>
            <w:r>
              <w:rPr>
                <w:rFonts w:hint="eastAsia"/>
                <w:color w:val="auto"/>
                <w:sz w:val="24"/>
                <w:szCs w:val="21"/>
                <w:highlight w:val="none"/>
              </w:rPr>
              <w:t>、</w:t>
            </w:r>
            <w:r>
              <w:rPr>
                <w:color w:val="auto"/>
                <w:sz w:val="24"/>
                <w:szCs w:val="21"/>
                <w:highlight w:val="none"/>
              </w:rPr>
              <w:t>L</w:t>
            </w:r>
            <w:r>
              <w:rPr>
                <w:color w:val="auto"/>
                <w:sz w:val="24"/>
                <w:szCs w:val="21"/>
                <w:highlight w:val="none"/>
                <w:vertAlign w:val="subscript"/>
              </w:rPr>
              <w:t>P2</w:t>
            </w:r>
            <w:r>
              <w:rPr>
                <w:color w:val="auto"/>
                <w:sz w:val="24"/>
                <w:szCs w:val="21"/>
                <w:highlight w:val="none"/>
              </w:rPr>
              <w:t>—</w:t>
            </w:r>
            <w:r>
              <w:rPr>
                <w:rFonts w:hint="eastAsia"/>
                <w:color w:val="auto"/>
                <w:sz w:val="24"/>
                <w:szCs w:val="21"/>
                <w:highlight w:val="none"/>
              </w:rPr>
              <w:t>每一个噪声源对该点的声压级</w:t>
            </w:r>
            <w:r>
              <w:rPr>
                <w:color w:val="auto"/>
                <w:sz w:val="24"/>
                <w:szCs w:val="21"/>
                <w:highlight w:val="none"/>
              </w:rPr>
              <w:t>dB(A)</w:t>
            </w:r>
          </w:p>
          <w:p>
            <w:pPr>
              <w:keepNext w:val="0"/>
              <w:keepLines w:val="0"/>
              <w:pageBreakBefore w:val="0"/>
              <w:widowControl w:val="0"/>
              <w:kinsoku/>
              <w:wordWrap/>
              <w:overflowPunct/>
              <w:topLinePunct w:val="0"/>
              <w:autoSpaceDE/>
              <w:autoSpaceDN/>
              <w:bidi w:val="0"/>
              <w:adjustRightInd/>
              <w:snapToGrid/>
              <w:spacing w:line="360" w:lineRule="auto"/>
              <w:ind w:firstLine="720" w:firstLineChars="300"/>
              <w:textAlignment w:val="auto"/>
              <w:rPr>
                <w:rFonts w:ascii="Times New Roman" w:hAnsi="Times New Roman" w:eastAsia="宋体" w:cs="Times New Roman"/>
                <w:bCs w:val="0"/>
                <w:color w:val="auto"/>
                <w:sz w:val="24"/>
                <w:highlight w:val="none"/>
              </w:rPr>
            </w:pPr>
            <w:r>
              <w:rPr>
                <w:rFonts w:hint="eastAsia" w:ascii="Times New Roman" w:hAnsi="Times New Roman" w:eastAsia="宋体" w:cs="Times New Roman"/>
                <w:bCs w:val="0"/>
                <w:color w:val="auto"/>
                <w:sz w:val="24"/>
                <w:highlight w:val="none"/>
              </w:rPr>
              <w:t>声源位于室内，室内声源可采用等效室外声源声功率级法进行计算。设靠近开口处（或窗户）室内、室外某倍频带的声压级分别为</w:t>
            </w:r>
            <w:r>
              <w:rPr>
                <w:rFonts w:ascii="Times New Roman" w:hAnsi="Times New Roman" w:eastAsia="宋体" w:cs="Times New Roman"/>
                <w:bCs w:val="0"/>
                <w:color w:val="auto"/>
                <w:sz w:val="24"/>
                <w:highlight w:val="none"/>
              </w:rPr>
              <w:t>Lp1</w:t>
            </w:r>
            <w:r>
              <w:rPr>
                <w:rFonts w:hint="eastAsia" w:ascii="Times New Roman" w:hAnsi="Times New Roman" w:eastAsia="宋体" w:cs="Times New Roman"/>
                <w:bCs w:val="0"/>
                <w:color w:val="auto"/>
                <w:sz w:val="24"/>
                <w:highlight w:val="none"/>
              </w:rPr>
              <w:t>和</w:t>
            </w:r>
            <w:r>
              <w:rPr>
                <w:rFonts w:ascii="Times New Roman" w:hAnsi="Times New Roman" w:eastAsia="宋体" w:cs="Times New Roman"/>
                <w:bCs w:val="0"/>
                <w:color w:val="auto"/>
                <w:sz w:val="24"/>
                <w:highlight w:val="none"/>
              </w:rPr>
              <w:t>Lp2</w:t>
            </w:r>
            <w:r>
              <w:rPr>
                <w:rFonts w:hint="eastAsia" w:ascii="Times New Roman" w:hAnsi="Times New Roman" w:eastAsia="宋体" w:cs="Times New Roman"/>
                <w:bCs w:val="0"/>
                <w:color w:val="auto"/>
                <w:sz w:val="24"/>
                <w:highlight w:val="none"/>
              </w:rPr>
              <w:t>。若声源所在室内声场为近似扩散声场，则室外的倍频带声压级可按公式（</w:t>
            </w:r>
            <w:r>
              <w:rPr>
                <w:rFonts w:ascii="Times New Roman" w:hAnsi="Times New Roman" w:eastAsia="宋体" w:cs="Times New Roman"/>
                <w:bCs w:val="0"/>
                <w:color w:val="auto"/>
                <w:sz w:val="24"/>
                <w:highlight w:val="none"/>
              </w:rPr>
              <w:t>A.1</w:t>
            </w:r>
            <w:r>
              <w:rPr>
                <w:rFonts w:hint="eastAsia" w:ascii="Times New Roman" w:hAnsi="Times New Roman" w:eastAsia="宋体" w:cs="Times New Roman"/>
                <w:bCs w:val="0"/>
                <w:color w:val="auto"/>
                <w:sz w:val="24"/>
                <w:highlight w:val="none"/>
              </w:rPr>
              <w:t>）近似求出：</w:t>
            </w:r>
          </w:p>
          <w:p>
            <w:pPr>
              <w:keepNext w:val="0"/>
              <w:keepLines w:val="0"/>
              <w:pageBreakBefore w:val="0"/>
              <w:widowControl w:val="0"/>
              <w:kinsoku/>
              <w:wordWrap/>
              <w:overflowPunct/>
              <w:topLinePunct w:val="0"/>
              <w:autoSpaceDE/>
              <w:autoSpaceDN/>
              <w:bidi w:val="0"/>
              <w:adjustRightInd/>
              <w:snapToGrid/>
              <w:spacing w:line="360" w:lineRule="auto"/>
              <w:ind w:firstLine="960" w:firstLineChars="400"/>
              <w:textAlignment w:val="auto"/>
              <w:rPr>
                <w:rFonts w:ascii="Times New Roman" w:hAnsi="Times New Roman" w:eastAsia="宋体" w:cs="Times New Roman"/>
                <w:bCs w:val="0"/>
                <w:color w:val="auto"/>
                <w:sz w:val="24"/>
                <w:highlight w:val="none"/>
              </w:rPr>
            </w:pPr>
            <w:r>
              <w:rPr>
                <w:rFonts w:ascii="Times New Roman" w:hAnsi="Times New Roman" w:eastAsia="宋体" w:cs="Times New Roman"/>
                <w:bCs w:val="0"/>
                <w:color w:val="auto"/>
                <w:sz w:val="24"/>
                <w:highlight w:val="none"/>
              </w:rPr>
              <w:drawing>
                <wp:inline distT="0" distB="0" distL="114300" distR="114300">
                  <wp:extent cx="1423035" cy="246380"/>
                  <wp:effectExtent l="0" t="0" r="5715" b="1270"/>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27"/>
                          <a:stretch>
                            <a:fillRect/>
                          </a:stretch>
                        </pic:blipFill>
                        <pic:spPr>
                          <a:xfrm>
                            <a:off x="0" y="0"/>
                            <a:ext cx="1423035" cy="246380"/>
                          </a:xfrm>
                          <a:prstGeom prst="rect">
                            <a:avLst/>
                          </a:prstGeom>
                          <a:noFill/>
                          <a:ln>
                            <a:noFill/>
                          </a:ln>
                        </pic:spPr>
                      </pic:pic>
                    </a:graphicData>
                  </a:graphic>
                </wp:inline>
              </w:drawing>
            </w:r>
            <w:r>
              <w:rPr>
                <w:rFonts w:ascii="Times New Roman" w:hAnsi="Times New Roman" w:eastAsia="宋体" w:cs="Times New Roman"/>
                <w:bCs w:val="0"/>
                <w:color w:val="auto"/>
                <w:sz w:val="24"/>
                <w:highlight w:val="none"/>
              </w:rPr>
              <w:t xml:space="preserve">                                    </w:t>
            </w:r>
            <w:r>
              <w:rPr>
                <w:rFonts w:hint="eastAsia" w:ascii="Times New Roman" w:hAnsi="Times New Roman" w:eastAsia="宋体" w:cs="Times New Roman"/>
                <w:bCs w:val="0"/>
                <w:color w:val="auto"/>
                <w:sz w:val="24"/>
                <w:highlight w:val="none"/>
              </w:rPr>
              <w:t>（</w:t>
            </w:r>
            <w:r>
              <w:rPr>
                <w:rFonts w:ascii="Times New Roman" w:hAnsi="Times New Roman" w:eastAsia="宋体" w:cs="Times New Roman"/>
                <w:bCs w:val="0"/>
                <w:color w:val="auto"/>
                <w:sz w:val="24"/>
                <w:highlight w:val="none"/>
              </w:rPr>
              <w:t>A.1</w:t>
            </w:r>
            <w:r>
              <w:rPr>
                <w:rFonts w:hint="eastAsia" w:ascii="Times New Roman" w:hAnsi="Times New Roman" w:eastAsia="宋体" w:cs="Times New Roman"/>
                <w:bCs w:val="0"/>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bCs w:val="0"/>
                <w:color w:val="auto"/>
                <w:sz w:val="24"/>
                <w:highlight w:val="none"/>
              </w:rPr>
            </w:pPr>
            <w:r>
              <w:rPr>
                <w:rFonts w:hint="eastAsia" w:ascii="Times New Roman" w:hAnsi="Times New Roman" w:eastAsia="宋体" w:cs="Times New Roman"/>
                <w:bCs w:val="0"/>
                <w:color w:val="auto"/>
                <w:sz w:val="24"/>
                <w:highlight w:val="none"/>
              </w:rPr>
              <w:t>根据防治措施及有关资料分析，隔声量取20</w:t>
            </w:r>
            <w:r>
              <w:rPr>
                <w:rFonts w:ascii="Times New Roman" w:hAnsi="Times New Roman" w:eastAsia="宋体" w:cs="Times New Roman"/>
                <w:bCs w:val="0"/>
                <w:color w:val="auto"/>
                <w:sz w:val="24"/>
                <w:highlight w:val="none"/>
              </w:rPr>
              <w:t>dB(A)</w:t>
            </w:r>
            <w:r>
              <w:rPr>
                <w:rFonts w:hint="eastAsia" w:ascii="Times New Roman" w:hAnsi="Times New Roman" w:eastAsia="宋体" w:cs="Times New Roman"/>
                <w:bCs w:val="0"/>
                <w:color w:val="auto"/>
                <w:sz w:val="24"/>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bCs w:val="0"/>
                <w:color w:val="auto"/>
                <w:sz w:val="24"/>
                <w:highlight w:val="none"/>
              </w:rPr>
            </w:pPr>
            <w:r>
              <w:rPr>
                <w:rFonts w:hint="eastAsia" w:ascii="Times New Roman" w:hAnsi="Times New Roman" w:eastAsia="宋体" w:cs="Times New Roman"/>
                <w:bCs w:val="0"/>
                <w:color w:val="auto"/>
                <w:sz w:val="24"/>
                <w:highlight w:val="none"/>
              </w:rPr>
              <w:t>无指向性点声源几何发散衰减模型：</w:t>
            </w:r>
          </w:p>
          <w:p>
            <w:pPr>
              <w:spacing w:line="360" w:lineRule="auto"/>
              <w:ind w:firstLine="480" w:firstLineChars="200"/>
              <w:rPr>
                <w:rFonts w:ascii="Times New Roman" w:hAnsi="Times New Roman" w:eastAsia="宋体" w:cs="Times New Roman"/>
                <w:bCs w:val="0"/>
                <w:color w:val="auto"/>
                <w:sz w:val="24"/>
                <w:highlight w:val="none"/>
              </w:rPr>
            </w:pPr>
            <w:r>
              <w:rPr>
                <w:rFonts w:hint="eastAsia" w:ascii="Times New Roman" w:hAnsi="Times New Roman" w:eastAsia="宋体" w:cs="Times New Roman"/>
                <w:bCs w:val="0"/>
                <w:color w:val="auto"/>
                <w:sz w:val="24"/>
                <w:highlight w:val="none"/>
                <w:lang w:val="en-US" w:eastAsia="zh-CN"/>
              </w:rPr>
              <w:t xml:space="preserve">   </w:t>
            </w:r>
            <w:r>
              <w:rPr>
                <w:rFonts w:ascii="Times New Roman" w:hAnsi="Times New Roman" w:eastAsia="宋体" w:cs="Times New Roman"/>
                <w:bCs w:val="0"/>
                <w:color w:val="auto"/>
                <w:sz w:val="24"/>
                <w:highlight w:val="none"/>
              </w:rPr>
              <w:drawing>
                <wp:inline distT="0" distB="0" distL="114300" distR="114300">
                  <wp:extent cx="2234565" cy="349885"/>
                  <wp:effectExtent l="0" t="0" r="13335" b="12065"/>
                  <wp:docPr id="1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
                          <pic:cNvPicPr>
                            <a:picLocks noChangeAspect="1"/>
                          </pic:cNvPicPr>
                        </pic:nvPicPr>
                        <pic:blipFill>
                          <a:blip r:embed="rId28"/>
                          <a:stretch>
                            <a:fillRect/>
                          </a:stretch>
                        </pic:blipFill>
                        <pic:spPr>
                          <a:xfrm>
                            <a:off x="0" y="0"/>
                            <a:ext cx="2234565" cy="349885"/>
                          </a:xfrm>
                          <a:prstGeom prst="rect">
                            <a:avLst/>
                          </a:prstGeom>
                          <a:noFill/>
                          <a:ln>
                            <a:noFill/>
                          </a:ln>
                        </pic:spPr>
                      </pic:pic>
                    </a:graphicData>
                  </a:graphic>
                </wp:inline>
              </w:drawing>
            </w:r>
            <w:r>
              <w:rPr>
                <w:rFonts w:ascii="Times New Roman" w:hAnsi="Times New Roman" w:eastAsia="宋体" w:cs="Times New Roman"/>
                <w:bCs w:val="0"/>
                <w:color w:val="auto"/>
                <w:sz w:val="24"/>
                <w:highlight w:val="none"/>
              </w:rPr>
              <w:t xml:space="preserve">  </w:t>
            </w:r>
          </w:p>
          <w:p>
            <w:pPr>
              <w:adjustRightInd w:val="0"/>
              <w:spacing w:line="360" w:lineRule="auto"/>
              <w:ind w:firstLine="480" w:firstLineChars="200"/>
              <w:rPr>
                <w:color w:val="auto"/>
                <w:sz w:val="24"/>
                <w:highlight w:val="none"/>
              </w:rPr>
            </w:pPr>
            <w:r>
              <w:rPr>
                <w:rFonts w:hint="eastAsia"/>
                <w:color w:val="auto"/>
                <w:sz w:val="24"/>
                <w:szCs w:val="20"/>
                <w:highlight w:val="none"/>
              </w:rPr>
              <w:t>经上述公式计算，厂界噪声预测结果见表</w:t>
            </w:r>
            <w:r>
              <w:rPr>
                <w:color w:val="auto"/>
                <w:sz w:val="24"/>
                <w:szCs w:val="20"/>
                <w:highlight w:val="none"/>
              </w:rPr>
              <w:t>7-</w:t>
            </w:r>
            <w:r>
              <w:rPr>
                <w:rFonts w:hint="eastAsia"/>
                <w:color w:val="auto"/>
                <w:sz w:val="24"/>
                <w:szCs w:val="20"/>
                <w:highlight w:val="none"/>
                <w:lang w:val="en-US" w:eastAsia="zh-CN"/>
              </w:rPr>
              <w:t>9</w:t>
            </w:r>
            <w:r>
              <w:rPr>
                <w:rFonts w:hint="eastAsia"/>
                <w:color w:val="auto"/>
                <w:sz w:val="24"/>
                <w:szCs w:val="20"/>
                <w:highlight w:val="none"/>
              </w:rPr>
              <w:t>。</w:t>
            </w:r>
          </w:p>
          <w:p>
            <w:pPr>
              <w:adjustRightInd w:val="0"/>
              <w:snapToGrid w:val="0"/>
              <w:jc w:val="center"/>
              <w:rPr>
                <w:b/>
                <w:color w:val="auto"/>
                <w:sz w:val="24"/>
                <w:szCs w:val="20"/>
                <w:highlight w:val="none"/>
              </w:rPr>
            </w:pPr>
            <w:r>
              <w:rPr>
                <w:rFonts w:hint="eastAsia"/>
                <w:b/>
                <w:color w:val="auto"/>
                <w:sz w:val="24"/>
                <w:szCs w:val="21"/>
                <w:highlight w:val="none"/>
              </w:rPr>
              <w:t>表</w:t>
            </w:r>
            <w:r>
              <w:rPr>
                <w:b/>
                <w:color w:val="auto"/>
                <w:sz w:val="24"/>
                <w:szCs w:val="21"/>
                <w:highlight w:val="none"/>
              </w:rPr>
              <w:t>7-</w:t>
            </w:r>
            <w:r>
              <w:rPr>
                <w:rFonts w:hint="eastAsia"/>
                <w:b/>
                <w:color w:val="auto"/>
                <w:sz w:val="24"/>
                <w:szCs w:val="21"/>
                <w:highlight w:val="none"/>
                <w:lang w:val="en-US" w:eastAsia="zh-CN"/>
              </w:rPr>
              <w:t>9</w:t>
            </w:r>
            <w:r>
              <w:rPr>
                <w:b/>
                <w:color w:val="auto"/>
                <w:sz w:val="24"/>
                <w:szCs w:val="21"/>
                <w:highlight w:val="none"/>
              </w:rPr>
              <w:t xml:space="preserve"> </w:t>
            </w:r>
            <w:r>
              <w:rPr>
                <w:rFonts w:hint="eastAsia"/>
                <w:b/>
                <w:color w:val="auto"/>
                <w:sz w:val="24"/>
                <w:szCs w:val="21"/>
                <w:highlight w:val="none"/>
              </w:rPr>
              <w:t>噪声预测结果</w:t>
            </w:r>
            <w:r>
              <w:rPr>
                <w:b/>
                <w:color w:val="auto"/>
                <w:sz w:val="24"/>
                <w:szCs w:val="21"/>
                <w:highlight w:val="none"/>
              </w:rPr>
              <w:t xml:space="preserve">  </w:t>
            </w:r>
            <w:r>
              <w:rPr>
                <w:rFonts w:hint="eastAsia"/>
                <w:b/>
                <w:color w:val="auto"/>
                <w:sz w:val="24"/>
                <w:szCs w:val="20"/>
                <w:highlight w:val="none"/>
              </w:rPr>
              <w:t>单位：</w:t>
            </w:r>
            <w:r>
              <w:rPr>
                <w:b/>
                <w:color w:val="auto"/>
                <w:sz w:val="24"/>
                <w:szCs w:val="20"/>
                <w:highlight w:val="none"/>
              </w:rPr>
              <w:t xml:space="preserve">dB(A) </w:t>
            </w:r>
          </w:p>
          <w:tbl>
            <w:tblPr>
              <w:tblStyle w:val="36"/>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6"/>
              <w:gridCol w:w="795"/>
              <w:gridCol w:w="840"/>
              <w:gridCol w:w="960"/>
              <w:gridCol w:w="960"/>
              <w:gridCol w:w="810"/>
              <w:gridCol w:w="990"/>
              <w:gridCol w:w="115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vMerge w:val="restart"/>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项目</w:t>
                  </w:r>
                </w:p>
              </w:tc>
              <w:tc>
                <w:tcPr>
                  <w:tcW w:w="1635" w:type="dxa"/>
                  <w:gridSpan w:val="2"/>
                  <w:noWrap w:val="0"/>
                  <w:vAlign w:val="center"/>
                </w:tcPr>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背景值</w:t>
                  </w:r>
                </w:p>
              </w:tc>
              <w:tc>
                <w:tcPr>
                  <w:tcW w:w="1920" w:type="dxa"/>
                  <w:gridSpan w:val="2"/>
                  <w:noWrap w:val="0"/>
                  <w:vAlign w:val="center"/>
                </w:tcPr>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贡献值</w:t>
                  </w:r>
                </w:p>
              </w:tc>
              <w:tc>
                <w:tcPr>
                  <w:tcW w:w="1800" w:type="dxa"/>
                  <w:gridSpan w:val="2"/>
                  <w:noWrap w:val="0"/>
                  <w:vAlign w:val="center"/>
                </w:tcPr>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预测值</w:t>
                  </w:r>
                </w:p>
              </w:tc>
              <w:tc>
                <w:tcPr>
                  <w:tcW w:w="1154" w:type="dxa"/>
                  <w:vMerge w:val="restart"/>
                  <w:noWrap w:val="0"/>
                  <w:vAlign w:val="center"/>
                </w:tcPr>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996" w:type="dxa"/>
                  <w:vMerge w:val="continue"/>
                  <w:noWrap w:val="0"/>
                  <w:vAlign w:val="center"/>
                </w:tcPr>
                <w:p>
                  <w:pPr>
                    <w:adjustRightInd w:val="0"/>
                    <w:snapToGrid w:val="0"/>
                    <w:jc w:val="center"/>
                    <w:rPr>
                      <w:rFonts w:hint="default" w:ascii="Times New Roman" w:hAnsi="Times New Roman" w:cs="Times New Roman"/>
                      <w:bCs/>
                      <w:color w:val="auto"/>
                      <w:sz w:val="21"/>
                      <w:szCs w:val="21"/>
                      <w:highlight w:val="none"/>
                    </w:rPr>
                  </w:pPr>
                </w:p>
              </w:tc>
              <w:tc>
                <w:tcPr>
                  <w:tcW w:w="795" w:type="dxa"/>
                  <w:noWrap w:val="0"/>
                  <w:vAlign w:val="center"/>
                </w:tcPr>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昼间</w:t>
                  </w:r>
                </w:p>
              </w:tc>
              <w:tc>
                <w:tcPr>
                  <w:tcW w:w="840" w:type="dxa"/>
                  <w:noWrap w:val="0"/>
                  <w:vAlign w:val="center"/>
                </w:tcPr>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夜间</w:t>
                  </w:r>
                </w:p>
              </w:tc>
              <w:tc>
                <w:tcPr>
                  <w:tcW w:w="960" w:type="dxa"/>
                  <w:noWrap w:val="0"/>
                  <w:vAlign w:val="center"/>
                </w:tcPr>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昼间</w:t>
                  </w:r>
                </w:p>
              </w:tc>
              <w:tc>
                <w:tcPr>
                  <w:tcW w:w="960" w:type="dxa"/>
                  <w:noWrap w:val="0"/>
                  <w:vAlign w:val="center"/>
                </w:tcPr>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夜间</w:t>
                  </w:r>
                </w:p>
              </w:tc>
              <w:tc>
                <w:tcPr>
                  <w:tcW w:w="810" w:type="dxa"/>
                  <w:noWrap w:val="0"/>
                  <w:vAlign w:val="center"/>
                </w:tcPr>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昼间</w:t>
                  </w:r>
                </w:p>
              </w:tc>
              <w:tc>
                <w:tcPr>
                  <w:tcW w:w="990" w:type="dxa"/>
                  <w:noWrap w:val="0"/>
                  <w:vAlign w:val="center"/>
                </w:tcPr>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夜间</w:t>
                  </w:r>
                </w:p>
              </w:tc>
              <w:tc>
                <w:tcPr>
                  <w:tcW w:w="1154" w:type="dxa"/>
                  <w:vMerge w:val="continue"/>
                  <w:noWrap w:val="0"/>
                  <w:vAlign w:val="center"/>
                </w:tcPr>
                <w:p>
                  <w:pPr>
                    <w:adjustRightInd w:val="0"/>
                    <w:snapToGrid w:val="0"/>
                    <w:jc w:val="center"/>
                    <w:rPr>
                      <w:rFonts w:hint="default" w:ascii="Times New Roman" w:hAnsi="Times New Roman" w:cs="Times New Roman"/>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5" w:hRule="atLeast"/>
                <w:jc w:val="center"/>
              </w:trPr>
              <w:tc>
                <w:tcPr>
                  <w:tcW w:w="1996" w:type="dxa"/>
                  <w:noWrap w:val="0"/>
                  <w:vAlign w:val="center"/>
                </w:tcPr>
                <w:p>
                  <w:pPr>
                    <w:jc w:val="center"/>
                    <w:rPr>
                      <w:rFonts w:hint="default" w:ascii="Times New Roman" w:hAnsi="Times New Roman" w:cs="Times New Roman"/>
                      <w:bCs/>
                      <w:color w:val="auto"/>
                      <w:sz w:val="21"/>
                      <w:szCs w:val="21"/>
                      <w:highlight w:val="none"/>
                    </w:rPr>
                  </w:pPr>
                  <w:r>
                    <w:rPr>
                      <w:rFonts w:hint="default" w:ascii="Times New Roman" w:hAnsi="Times New Roman" w:cs="Times New Roman"/>
                      <w:color w:val="auto"/>
                      <w:sz w:val="21"/>
                      <w:szCs w:val="21"/>
                      <w:highlight w:val="none"/>
                    </w:rPr>
                    <w:t>东侧厂界</w:t>
                  </w:r>
                </w:p>
              </w:tc>
              <w:tc>
                <w:tcPr>
                  <w:tcW w:w="79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56</w:t>
                  </w:r>
                </w:p>
              </w:tc>
              <w:tc>
                <w:tcPr>
                  <w:tcW w:w="84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44</w:t>
                  </w:r>
                </w:p>
              </w:tc>
              <w:tc>
                <w:tcPr>
                  <w:tcW w:w="960" w:type="dxa"/>
                  <w:noWrap w:val="0"/>
                  <w:vAlign w:val="center"/>
                </w:tcPr>
                <w:p>
                  <w:pPr>
                    <w:keepNext w:val="0"/>
                    <w:keepLines w:val="0"/>
                    <w:widowControl/>
                    <w:suppressLineNumbers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28.88</w:t>
                  </w:r>
                </w:p>
              </w:tc>
              <w:tc>
                <w:tcPr>
                  <w:tcW w:w="960" w:type="dxa"/>
                  <w:noWrap w:val="0"/>
                  <w:vAlign w:val="center"/>
                </w:tcPr>
                <w:p>
                  <w:pPr>
                    <w:keepNext w:val="0"/>
                    <w:keepLines w:val="0"/>
                    <w:widowControl/>
                    <w:suppressLineNumbers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28.88</w:t>
                  </w:r>
                </w:p>
              </w:tc>
              <w:tc>
                <w:tcPr>
                  <w:tcW w:w="810" w:type="dxa"/>
                  <w:noWrap w:val="0"/>
                  <w:vAlign w:val="center"/>
                </w:tcPr>
                <w:p>
                  <w:pPr>
                    <w:keepNext w:val="0"/>
                    <w:keepLines w:val="0"/>
                    <w:widowControl/>
                    <w:suppressLineNumbers w:val="0"/>
                    <w:jc w:val="center"/>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55.12</w:t>
                  </w:r>
                </w:p>
              </w:tc>
              <w:tc>
                <w:tcPr>
                  <w:tcW w:w="990" w:type="dxa"/>
                  <w:noWrap w:val="0"/>
                  <w:vAlign w:val="center"/>
                </w:tcPr>
                <w:p>
                  <w:pPr>
                    <w:keepNext w:val="0"/>
                    <w:keepLines w:val="0"/>
                    <w:widowControl/>
                    <w:suppressLineNumbers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46.06</w:t>
                  </w:r>
                </w:p>
              </w:tc>
              <w:tc>
                <w:tcPr>
                  <w:tcW w:w="1154" w:type="dxa"/>
                  <w:vMerge w:val="restart"/>
                  <w:noWrap w:val="0"/>
                  <w:vAlign w:val="center"/>
                </w:tcPr>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昼间：60</w:t>
                  </w:r>
                </w:p>
                <w:p>
                  <w:pPr>
                    <w:adjustRightInd w:val="0"/>
                    <w:snapToGrid w:val="0"/>
                    <w:jc w:val="center"/>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夜间：50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996" w:type="dxa"/>
                  <w:noWrap w:val="0"/>
                  <w:vAlign w:val="center"/>
                </w:tcPr>
                <w:p>
                  <w:pPr>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sz w:val="21"/>
                      <w:szCs w:val="21"/>
                      <w:highlight w:val="none"/>
                    </w:rPr>
                    <w:t>南侧厂界</w:t>
                  </w:r>
                </w:p>
              </w:tc>
              <w:tc>
                <w:tcPr>
                  <w:tcW w:w="795" w:type="dxa"/>
                  <w:noWrap w:val="0"/>
                  <w:vAlign w:val="center"/>
                </w:tcPr>
                <w:p>
                  <w:pPr>
                    <w:widowControl/>
                    <w:adjustRightInd w:val="0"/>
                    <w:snapToGrid w:val="0"/>
                    <w:jc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56</w:t>
                  </w:r>
                </w:p>
              </w:tc>
              <w:tc>
                <w:tcPr>
                  <w:tcW w:w="840" w:type="dxa"/>
                  <w:noWrap w:val="0"/>
                  <w:vAlign w:val="center"/>
                </w:tcPr>
                <w:p>
                  <w:pPr>
                    <w:widowControl/>
                    <w:adjustRightInd w:val="0"/>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w:t>
                  </w:r>
                </w:p>
              </w:tc>
              <w:tc>
                <w:tcPr>
                  <w:tcW w:w="960" w:type="dxa"/>
                  <w:noWrap w:val="0"/>
                  <w:vAlign w:val="center"/>
                </w:tcPr>
                <w:p>
                  <w:pPr>
                    <w:keepNext w:val="0"/>
                    <w:keepLines w:val="0"/>
                    <w:widowControl/>
                    <w:suppressLineNumbers w:val="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47.21</w:t>
                  </w:r>
                </w:p>
              </w:tc>
              <w:tc>
                <w:tcPr>
                  <w:tcW w:w="960" w:type="dxa"/>
                  <w:noWrap w:val="0"/>
                  <w:vAlign w:val="center"/>
                </w:tcPr>
                <w:p>
                  <w:pPr>
                    <w:keepNext w:val="0"/>
                    <w:keepLines w:val="0"/>
                    <w:widowControl/>
                    <w:suppressLineNumbers w:val="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47.21</w:t>
                  </w:r>
                </w:p>
              </w:tc>
              <w:tc>
                <w:tcPr>
                  <w:tcW w:w="810" w:type="dxa"/>
                  <w:noWrap w:val="0"/>
                  <w:vAlign w:val="center"/>
                </w:tcPr>
                <w:p>
                  <w:pPr>
                    <w:keepNext w:val="0"/>
                    <w:keepLines w:val="0"/>
                    <w:widowControl/>
                    <w:suppressLineNumbers w:val="0"/>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56.54</w:t>
                  </w:r>
                </w:p>
              </w:tc>
              <w:tc>
                <w:tcPr>
                  <w:tcW w:w="990" w:type="dxa"/>
                  <w:noWrap w:val="0"/>
                  <w:vAlign w:val="center"/>
                </w:tcPr>
                <w:p>
                  <w:pPr>
                    <w:keepNext w:val="0"/>
                    <w:keepLines w:val="0"/>
                    <w:widowControl/>
                    <w:suppressLineNumbers w:val="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49.26</w:t>
                  </w:r>
                </w:p>
              </w:tc>
              <w:tc>
                <w:tcPr>
                  <w:tcW w:w="1154" w:type="dxa"/>
                  <w:vMerge w:val="continue"/>
                  <w:noWrap w:val="0"/>
                  <w:vAlign w:val="center"/>
                </w:tcPr>
                <w:p>
                  <w:pPr>
                    <w:adjustRightInd w:val="0"/>
                    <w:snapToGrid w:val="0"/>
                    <w:jc w:val="center"/>
                    <w:rPr>
                      <w:rFonts w:hint="default" w:ascii="Times New Roman" w:hAnsi="Times New Roman" w:cs="Times New Roman"/>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8" w:hRule="atLeast"/>
                <w:jc w:val="center"/>
              </w:trPr>
              <w:tc>
                <w:tcPr>
                  <w:tcW w:w="1996" w:type="dxa"/>
                  <w:noWrap w:val="0"/>
                  <w:vAlign w:val="center"/>
                </w:tcPr>
                <w:p>
                  <w:pPr>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sz w:val="21"/>
                      <w:szCs w:val="21"/>
                      <w:highlight w:val="none"/>
                    </w:rPr>
                    <w:t>西侧厂界</w:t>
                  </w:r>
                </w:p>
              </w:tc>
              <w:tc>
                <w:tcPr>
                  <w:tcW w:w="79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54</w:t>
                  </w:r>
                </w:p>
              </w:tc>
              <w:tc>
                <w:tcPr>
                  <w:tcW w:w="84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45</w:t>
                  </w:r>
                </w:p>
              </w:tc>
              <w:tc>
                <w:tcPr>
                  <w:tcW w:w="960" w:type="dxa"/>
                  <w:noWrap w:val="0"/>
                  <w:vAlign w:val="center"/>
                </w:tcPr>
                <w:p>
                  <w:pPr>
                    <w:keepNext w:val="0"/>
                    <w:keepLines w:val="0"/>
                    <w:widowControl/>
                    <w:suppressLineNumbers w:val="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21.46</w:t>
                  </w:r>
                </w:p>
              </w:tc>
              <w:tc>
                <w:tcPr>
                  <w:tcW w:w="960" w:type="dxa"/>
                  <w:noWrap w:val="0"/>
                  <w:vAlign w:val="center"/>
                </w:tcPr>
                <w:p>
                  <w:pPr>
                    <w:keepNext w:val="0"/>
                    <w:keepLines w:val="0"/>
                    <w:widowControl/>
                    <w:suppressLineNumbers w:val="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21.46</w:t>
                  </w:r>
                </w:p>
              </w:tc>
              <w:tc>
                <w:tcPr>
                  <w:tcW w:w="810" w:type="dxa"/>
                  <w:noWrap w:val="0"/>
                  <w:vAlign w:val="center"/>
                </w:tcPr>
                <w:p>
                  <w:pPr>
                    <w:keepNext w:val="0"/>
                    <w:keepLines w:val="0"/>
                    <w:widowControl/>
                    <w:suppressLineNumbers w:val="0"/>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54.00</w:t>
                  </w:r>
                </w:p>
              </w:tc>
              <w:tc>
                <w:tcPr>
                  <w:tcW w:w="990" w:type="dxa"/>
                  <w:noWrap w:val="0"/>
                  <w:vAlign w:val="center"/>
                </w:tcPr>
                <w:p>
                  <w:pPr>
                    <w:keepNext w:val="0"/>
                    <w:keepLines w:val="0"/>
                    <w:widowControl/>
                    <w:suppressLineNumbers w:val="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45.02</w:t>
                  </w:r>
                </w:p>
              </w:tc>
              <w:tc>
                <w:tcPr>
                  <w:tcW w:w="1154" w:type="dxa"/>
                  <w:vMerge w:val="continue"/>
                  <w:noWrap w:val="0"/>
                  <w:vAlign w:val="center"/>
                </w:tcPr>
                <w:p>
                  <w:pPr>
                    <w:adjustRightInd w:val="0"/>
                    <w:snapToGrid w:val="0"/>
                    <w:jc w:val="center"/>
                    <w:rPr>
                      <w:rFonts w:hint="default" w:ascii="Times New Roman" w:hAnsi="Times New Roman" w:cs="Times New Roman"/>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7" w:hRule="atLeast"/>
                <w:jc w:val="center"/>
              </w:trPr>
              <w:tc>
                <w:tcPr>
                  <w:tcW w:w="1996" w:type="dxa"/>
                  <w:noWrap w:val="0"/>
                  <w:vAlign w:val="center"/>
                </w:tcPr>
                <w:p>
                  <w:pPr>
                    <w:jc w:val="center"/>
                    <w:rPr>
                      <w:rFonts w:hint="default" w:ascii="Times New Roman" w:hAnsi="Times New Roman" w:cs="Times New Roman"/>
                      <w:bCs/>
                      <w:color w:val="auto"/>
                      <w:sz w:val="21"/>
                      <w:szCs w:val="21"/>
                      <w:highlight w:val="none"/>
                      <w:lang w:eastAsia="zh-CN"/>
                    </w:rPr>
                  </w:pPr>
                  <w:r>
                    <w:rPr>
                      <w:rFonts w:hint="default" w:ascii="Times New Roman" w:hAnsi="Times New Roman" w:cs="Times New Roman"/>
                      <w:color w:val="auto"/>
                      <w:sz w:val="21"/>
                      <w:szCs w:val="21"/>
                      <w:highlight w:val="none"/>
                    </w:rPr>
                    <w:t>北侧厂界</w:t>
                  </w:r>
                </w:p>
              </w:tc>
              <w:tc>
                <w:tcPr>
                  <w:tcW w:w="795"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55</w:t>
                  </w:r>
                </w:p>
              </w:tc>
              <w:tc>
                <w:tcPr>
                  <w:tcW w:w="840" w:type="dxa"/>
                  <w:noWrap w:val="0"/>
                  <w:vAlign w:val="center"/>
                </w:tcPr>
                <w:p>
                  <w:pPr>
                    <w:keepNext w:val="0"/>
                    <w:keepLines w:val="0"/>
                    <w:pageBreakBefore w:val="0"/>
                    <w:widowControl/>
                    <w:suppressLineNumbers w:val="0"/>
                    <w:kinsoku/>
                    <w:wordWrap/>
                    <w:overflowPunct/>
                    <w:topLinePunct w:val="0"/>
                    <w:autoSpaceDE/>
                    <w:autoSpaceDN/>
                    <w:bidi w:val="0"/>
                    <w:adjustRightInd w:val="0"/>
                    <w:snapToGrid w:val="0"/>
                    <w:spacing w:before="0" w:beforeAutospacing="0" w:after="0" w:afterLines="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45</w:t>
                  </w:r>
                </w:p>
              </w:tc>
              <w:tc>
                <w:tcPr>
                  <w:tcW w:w="960" w:type="dxa"/>
                  <w:noWrap w:val="0"/>
                  <w:vAlign w:val="center"/>
                </w:tcPr>
                <w:p>
                  <w:pPr>
                    <w:keepNext w:val="0"/>
                    <w:keepLines w:val="0"/>
                    <w:widowControl/>
                    <w:suppressLineNumbers w:val="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39.43</w:t>
                  </w:r>
                </w:p>
              </w:tc>
              <w:tc>
                <w:tcPr>
                  <w:tcW w:w="960" w:type="dxa"/>
                  <w:noWrap w:val="0"/>
                  <w:vAlign w:val="center"/>
                </w:tcPr>
                <w:p>
                  <w:pPr>
                    <w:keepNext w:val="0"/>
                    <w:keepLines w:val="0"/>
                    <w:widowControl/>
                    <w:suppressLineNumbers w:val="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39.43</w:t>
                  </w:r>
                </w:p>
              </w:tc>
              <w:tc>
                <w:tcPr>
                  <w:tcW w:w="810" w:type="dxa"/>
                  <w:noWrap w:val="0"/>
                  <w:vAlign w:val="center"/>
                </w:tcPr>
                <w:p>
                  <w:pPr>
                    <w:keepNext w:val="0"/>
                    <w:keepLines w:val="0"/>
                    <w:widowControl/>
                    <w:suppressLineNumbers w:val="0"/>
                    <w:jc w:val="center"/>
                    <w:rPr>
                      <w:rFonts w:hint="default" w:ascii="Times New Roman" w:hAnsi="Times New Roman" w:cs="Times New Roman"/>
                      <w:b w:val="0"/>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56.01</w:t>
                  </w:r>
                </w:p>
              </w:tc>
              <w:tc>
                <w:tcPr>
                  <w:tcW w:w="990" w:type="dxa"/>
                  <w:noWrap w:val="0"/>
                  <w:vAlign w:val="center"/>
                </w:tcPr>
                <w:p>
                  <w:pPr>
                    <w:keepNext w:val="0"/>
                    <w:keepLines w:val="0"/>
                    <w:widowControl/>
                    <w:suppressLineNumbers w:val="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44.13</w:t>
                  </w:r>
                </w:p>
              </w:tc>
              <w:tc>
                <w:tcPr>
                  <w:tcW w:w="1154" w:type="dxa"/>
                  <w:vMerge w:val="continue"/>
                  <w:noWrap w:val="0"/>
                  <w:vAlign w:val="center"/>
                </w:tcPr>
                <w:p>
                  <w:pPr>
                    <w:adjustRightInd w:val="0"/>
                    <w:snapToGrid w:val="0"/>
                    <w:jc w:val="center"/>
                    <w:rPr>
                      <w:rFonts w:hint="default" w:ascii="Times New Roman" w:hAnsi="Times New Roman" w:cs="Times New Roman"/>
                      <w:bCs/>
                      <w:color w:val="auto"/>
                      <w:sz w:val="21"/>
                      <w:szCs w:val="21"/>
                      <w:highlight w:val="none"/>
                    </w:rPr>
                  </w:pPr>
                </w:p>
              </w:tc>
            </w:tr>
          </w:tbl>
          <w:p>
            <w:pPr>
              <w:spacing w:line="360" w:lineRule="auto"/>
              <w:ind w:firstLine="480" w:firstLineChars="200"/>
              <w:rPr>
                <w:rFonts w:hint="eastAsia"/>
                <w:color w:val="auto"/>
                <w:sz w:val="24"/>
                <w:szCs w:val="24"/>
                <w:highlight w:val="none"/>
              </w:rPr>
            </w:pPr>
            <w:r>
              <w:rPr>
                <w:rFonts w:hint="eastAsia"/>
                <w:color w:val="auto"/>
                <w:sz w:val="24"/>
                <w:szCs w:val="24"/>
                <w:highlight w:val="none"/>
              </w:rPr>
              <w:t>敏感点预测：</w:t>
            </w:r>
          </w:p>
          <w:p>
            <w:pPr>
              <w:spacing w:line="360" w:lineRule="auto"/>
              <w:ind w:firstLine="480" w:firstLineChars="200"/>
              <w:rPr>
                <w:color w:val="auto"/>
                <w:sz w:val="24"/>
                <w:szCs w:val="24"/>
                <w:highlight w:val="none"/>
              </w:rPr>
            </w:pPr>
            <w:r>
              <w:rPr>
                <w:rFonts w:hint="eastAsia"/>
                <w:color w:val="auto"/>
                <w:sz w:val="24"/>
                <w:szCs w:val="24"/>
                <w:highlight w:val="none"/>
              </w:rPr>
              <w:t>敏感点预测噪声值能够达到《声环境质量标准》（GB3096-2008）中2类标准，对周边的影响很小，敏感点预测结果见表7-</w:t>
            </w:r>
            <w:r>
              <w:rPr>
                <w:rFonts w:hint="eastAsia"/>
                <w:color w:val="auto"/>
                <w:sz w:val="24"/>
                <w:szCs w:val="24"/>
                <w:highlight w:val="none"/>
                <w:lang w:val="en-US" w:eastAsia="zh-CN"/>
              </w:rPr>
              <w:t>10</w:t>
            </w:r>
            <w:r>
              <w:rPr>
                <w:rFonts w:hint="eastAsia"/>
                <w:color w:val="auto"/>
                <w:sz w:val="24"/>
                <w:szCs w:val="24"/>
                <w:highlight w:val="none"/>
              </w:rPr>
              <w:t>。</w:t>
            </w:r>
          </w:p>
          <w:p>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b/>
                <w:color w:val="auto"/>
                <w:sz w:val="24"/>
                <w:szCs w:val="24"/>
                <w:highlight w:val="none"/>
              </w:rPr>
            </w:pPr>
            <w:r>
              <w:rPr>
                <w:b/>
                <w:color w:val="auto"/>
                <w:sz w:val="24"/>
                <w:szCs w:val="24"/>
                <w:highlight w:val="none"/>
              </w:rPr>
              <w:t xml:space="preserve"> </w:t>
            </w:r>
            <w:r>
              <w:rPr>
                <w:rFonts w:hint="eastAsia"/>
                <w:b/>
                <w:color w:val="auto"/>
                <w:sz w:val="24"/>
                <w:szCs w:val="24"/>
                <w:highlight w:val="none"/>
              </w:rPr>
              <w:t>表7-</w:t>
            </w:r>
            <w:r>
              <w:rPr>
                <w:rFonts w:hint="eastAsia"/>
                <w:b/>
                <w:color w:val="auto"/>
                <w:sz w:val="24"/>
                <w:szCs w:val="24"/>
                <w:highlight w:val="none"/>
                <w:lang w:val="en-US" w:eastAsia="zh-CN"/>
              </w:rPr>
              <w:t>10</w:t>
            </w:r>
            <w:r>
              <w:rPr>
                <w:rFonts w:hint="eastAsia"/>
                <w:b/>
                <w:color w:val="auto"/>
                <w:sz w:val="24"/>
                <w:szCs w:val="24"/>
                <w:highlight w:val="none"/>
              </w:rPr>
              <w:t xml:space="preserve">  噪声预测结果  单位：</w:t>
            </w:r>
            <w:r>
              <w:rPr>
                <w:b/>
                <w:color w:val="auto"/>
                <w:sz w:val="24"/>
                <w:szCs w:val="24"/>
                <w:highlight w:val="none"/>
              </w:rPr>
              <w:t>dB(A)</w:t>
            </w:r>
          </w:p>
          <w:tbl>
            <w:tblPr>
              <w:tblStyle w:val="36"/>
              <w:tblW w:w="8504"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64"/>
              <w:gridCol w:w="900"/>
              <w:gridCol w:w="782"/>
              <w:gridCol w:w="718"/>
              <w:gridCol w:w="750"/>
              <w:gridCol w:w="803"/>
              <w:gridCol w:w="729"/>
              <w:gridCol w:w="1058"/>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2" w:hRule="atLeast"/>
                <w:jc w:val="center"/>
              </w:trPr>
              <w:tc>
                <w:tcPr>
                  <w:tcW w:w="2764" w:type="dxa"/>
                  <w:vMerge w:val="restart"/>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预测位置</w:t>
                  </w:r>
                </w:p>
              </w:tc>
              <w:tc>
                <w:tcPr>
                  <w:tcW w:w="1682" w:type="dxa"/>
                  <w:gridSpan w:val="2"/>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背景值</w:t>
                  </w:r>
                </w:p>
              </w:tc>
              <w:tc>
                <w:tcPr>
                  <w:tcW w:w="1468" w:type="dxa"/>
                  <w:gridSpan w:val="2"/>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贡献值</w:t>
                  </w:r>
                </w:p>
              </w:tc>
              <w:tc>
                <w:tcPr>
                  <w:tcW w:w="1532" w:type="dxa"/>
                  <w:gridSpan w:val="2"/>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预测值</w:t>
                  </w:r>
                </w:p>
              </w:tc>
              <w:tc>
                <w:tcPr>
                  <w:tcW w:w="1058" w:type="dxa"/>
                  <w:vMerge w:val="restart"/>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标准值</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64"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p>
              </w:tc>
              <w:tc>
                <w:tcPr>
                  <w:tcW w:w="900"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昼间</w:t>
                  </w:r>
                </w:p>
              </w:tc>
              <w:tc>
                <w:tcPr>
                  <w:tcW w:w="782"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夜间</w:t>
                  </w:r>
                </w:p>
              </w:tc>
              <w:tc>
                <w:tcPr>
                  <w:tcW w:w="718"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昼间</w:t>
                  </w:r>
                </w:p>
              </w:tc>
              <w:tc>
                <w:tcPr>
                  <w:tcW w:w="750"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夜间</w:t>
                  </w:r>
                </w:p>
              </w:tc>
              <w:tc>
                <w:tcPr>
                  <w:tcW w:w="803"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昼间</w:t>
                  </w:r>
                </w:p>
              </w:tc>
              <w:tc>
                <w:tcPr>
                  <w:tcW w:w="729"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夜间</w:t>
                  </w:r>
                </w:p>
              </w:tc>
              <w:tc>
                <w:tcPr>
                  <w:tcW w:w="1058"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1" w:hRule="atLeast"/>
                <w:jc w:val="center"/>
              </w:trPr>
              <w:tc>
                <w:tcPr>
                  <w:tcW w:w="2764"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lang w:eastAsia="zh-CN"/>
                    </w:rPr>
                    <w:t>东侧居民</w:t>
                  </w:r>
                </w:p>
              </w:tc>
              <w:tc>
                <w:tcPr>
                  <w:tcW w:w="900"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53</w:t>
                  </w:r>
                </w:p>
              </w:tc>
              <w:tc>
                <w:tcPr>
                  <w:tcW w:w="7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42</w:t>
                  </w:r>
                </w:p>
              </w:tc>
              <w:tc>
                <w:tcPr>
                  <w:tcW w:w="718" w:type="dxa"/>
                  <w:noWrap w:val="0"/>
                  <w:vAlign w:val="center"/>
                </w:tcPr>
                <w:p>
                  <w:pPr>
                    <w:keepNext w:val="0"/>
                    <w:keepLines w:val="0"/>
                    <w:widowControl/>
                    <w:suppressLineNumbers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37.97</w:t>
                  </w:r>
                </w:p>
              </w:tc>
              <w:tc>
                <w:tcPr>
                  <w:tcW w:w="750" w:type="dxa"/>
                  <w:noWrap w:val="0"/>
                  <w:vAlign w:val="center"/>
                </w:tcPr>
                <w:p>
                  <w:pPr>
                    <w:keepNext w:val="0"/>
                    <w:keepLines w:val="0"/>
                    <w:widowControl/>
                    <w:suppressLineNumbers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37.97</w:t>
                  </w:r>
                </w:p>
              </w:tc>
              <w:tc>
                <w:tcPr>
                  <w:tcW w:w="803" w:type="dxa"/>
                  <w:noWrap w:val="0"/>
                  <w:vAlign w:val="center"/>
                </w:tcPr>
                <w:p>
                  <w:pPr>
                    <w:keepNext w:val="0"/>
                    <w:keepLines w:val="0"/>
                    <w:widowControl/>
                    <w:suppressLineNumbers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54.11</w:t>
                  </w:r>
                </w:p>
              </w:tc>
              <w:tc>
                <w:tcPr>
                  <w:tcW w:w="729" w:type="dxa"/>
                  <w:noWrap w:val="0"/>
                  <w:vAlign w:val="center"/>
                </w:tcPr>
                <w:p>
                  <w:pPr>
                    <w:keepNext w:val="0"/>
                    <w:keepLines w:val="0"/>
                    <w:widowControl/>
                    <w:suppressLineNumbers w:val="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color w:val="auto"/>
                      <w:kern w:val="0"/>
                      <w:sz w:val="21"/>
                      <w:szCs w:val="21"/>
                      <w:highlight w:val="none"/>
                      <w:lang w:val="en-US" w:eastAsia="zh-CN" w:bidi="ar"/>
                    </w:rPr>
                    <w:t>45.79</w:t>
                  </w:r>
                </w:p>
              </w:tc>
              <w:tc>
                <w:tcPr>
                  <w:tcW w:w="1058" w:type="dxa"/>
                  <w:vMerge w:val="restart"/>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昼间：60</w:t>
                  </w:r>
                </w:p>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r>
                    <w:rPr>
                      <w:rFonts w:hint="default" w:ascii="Times New Roman" w:hAnsi="Times New Roman" w:cs="Times New Roman"/>
                      <w:bCs/>
                      <w:color w:val="auto"/>
                      <w:sz w:val="21"/>
                      <w:szCs w:val="21"/>
                      <w:highlight w:val="none"/>
                    </w:rPr>
                    <w:t>夜间：50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2764"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北侧居民</w:t>
                  </w:r>
                </w:p>
              </w:tc>
              <w:tc>
                <w:tcPr>
                  <w:tcW w:w="900"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54</w:t>
                  </w:r>
                </w:p>
              </w:tc>
              <w:tc>
                <w:tcPr>
                  <w:tcW w:w="7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w:t>
                  </w:r>
                </w:p>
              </w:tc>
              <w:tc>
                <w:tcPr>
                  <w:tcW w:w="718"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27.61</w:t>
                  </w:r>
                </w:p>
              </w:tc>
              <w:tc>
                <w:tcPr>
                  <w:tcW w:w="750"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27.61</w:t>
                  </w:r>
                </w:p>
              </w:tc>
              <w:tc>
                <w:tcPr>
                  <w:tcW w:w="803"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53.01</w:t>
                  </w:r>
                </w:p>
              </w:tc>
              <w:tc>
                <w:tcPr>
                  <w:tcW w:w="729"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42.16</w:t>
                  </w:r>
                </w:p>
              </w:tc>
              <w:tc>
                <w:tcPr>
                  <w:tcW w:w="1058"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0" w:hRule="atLeast"/>
                <w:jc w:val="center"/>
              </w:trPr>
              <w:tc>
                <w:tcPr>
                  <w:tcW w:w="2764"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南侧江川农场学校</w:t>
                  </w:r>
                </w:p>
              </w:tc>
              <w:tc>
                <w:tcPr>
                  <w:tcW w:w="900"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58</w:t>
                  </w:r>
                </w:p>
              </w:tc>
              <w:tc>
                <w:tcPr>
                  <w:tcW w:w="7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45</w:t>
                  </w:r>
                </w:p>
              </w:tc>
              <w:tc>
                <w:tcPr>
                  <w:tcW w:w="718"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35.82</w:t>
                  </w:r>
                </w:p>
              </w:tc>
              <w:tc>
                <w:tcPr>
                  <w:tcW w:w="750"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35.82</w:t>
                  </w:r>
                </w:p>
              </w:tc>
              <w:tc>
                <w:tcPr>
                  <w:tcW w:w="803"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57.03</w:t>
                  </w:r>
                </w:p>
              </w:tc>
              <w:tc>
                <w:tcPr>
                  <w:tcW w:w="729"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43.76</w:t>
                  </w:r>
                </w:p>
              </w:tc>
              <w:tc>
                <w:tcPr>
                  <w:tcW w:w="1058"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64" w:type="dxa"/>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lang w:eastAsia="zh-CN"/>
                    </w:rPr>
                  </w:pPr>
                  <w:r>
                    <w:rPr>
                      <w:rFonts w:hint="default" w:ascii="Times New Roman" w:hAnsi="Times New Roman" w:cs="Times New Roman"/>
                      <w:bCs/>
                      <w:color w:val="auto"/>
                      <w:sz w:val="21"/>
                      <w:szCs w:val="21"/>
                      <w:highlight w:val="none"/>
                      <w:lang w:eastAsia="zh-CN"/>
                    </w:rPr>
                    <w:t>西南侧江川花园城</w:t>
                  </w:r>
                </w:p>
              </w:tc>
              <w:tc>
                <w:tcPr>
                  <w:tcW w:w="900"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kern w:val="0"/>
                      <w:sz w:val="21"/>
                      <w:szCs w:val="21"/>
                      <w:highlight w:val="none"/>
                      <w:lang w:val="en-US" w:eastAsia="zh-CN"/>
                    </w:rPr>
                  </w:pPr>
                  <w:r>
                    <w:rPr>
                      <w:rFonts w:hint="default" w:ascii="Times New Roman" w:hAnsi="Times New Roman" w:cs="Times New Roman"/>
                      <w:color w:val="auto"/>
                      <w:kern w:val="0"/>
                      <w:sz w:val="21"/>
                      <w:szCs w:val="21"/>
                      <w:highlight w:val="none"/>
                      <w:lang w:val="en-US" w:eastAsia="zh-CN"/>
                    </w:rPr>
                    <w:t>57</w:t>
                  </w:r>
                </w:p>
              </w:tc>
              <w:tc>
                <w:tcPr>
                  <w:tcW w:w="782" w:type="dxa"/>
                  <w:noWrap w:val="0"/>
                  <w:vAlign w:val="center"/>
                </w:tcPr>
                <w:p>
                  <w:pPr>
                    <w:keepNext w:val="0"/>
                    <w:keepLines w:val="0"/>
                    <w:pageBreakBefore w:val="0"/>
                    <w:widowControl/>
                    <w:kinsoku/>
                    <w:wordWrap/>
                    <w:overflowPunct/>
                    <w:topLinePunct w:val="0"/>
                    <w:autoSpaceDE/>
                    <w:autoSpaceDN/>
                    <w:bidi w:val="0"/>
                    <w:adjustRightInd w:val="0"/>
                    <w:snapToGrid w:val="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w:t>
                  </w:r>
                </w:p>
              </w:tc>
              <w:tc>
                <w:tcPr>
                  <w:tcW w:w="718"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27.15</w:t>
                  </w:r>
                </w:p>
              </w:tc>
              <w:tc>
                <w:tcPr>
                  <w:tcW w:w="750"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27.15</w:t>
                  </w:r>
                </w:p>
              </w:tc>
              <w:tc>
                <w:tcPr>
                  <w:tcW w:w="803"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58.00</w:t>
                  </w:r>
                </w:p>
              </w:tc>
              <w:tc>
                <w:tcPr>
                  <w:tcW w:w="729" w:type="dxa"/>
                  <w:noWrap w:val="0"/>
                  <w:vAlign w:val="center"/>
                </w:tcPr>
                <w:p>
                  <w:pPr>
                    <w:keepNext w:val="0"/>
                    <w:keepLines w:val="0"/>
                    <w:widowControl/>
                    <w:suppressLineNumbers w:val="0"/>
                    <w:jc w:val="center"/>
                    <w:rPr>
                      <w:rFonts w:hint="default" w:ascii="Times New Roman" w:hAnsi="Times New Roman" w:eastAsia="宋体" w:cs="Times New Roman"/>
                      <w:bCs/>
                      <w:color w:val="auto"/>
                      <w:kern w:val="0"/>
                      <w:sz w:val="21"/>
                      <w:szCs w:val="21"/>
                      <w:highlight w:val="none"/>
                      <w:lang w:val="en-US" w:eastAsia="zh-CN" w:bidi="ar"/>
                    </w:rPr>
                  </w:pPr>
                  <w:r>
                    <w:rPr>
                      <w:rFonts w:hint="default" w:ascii="Times New Roman" w:hAnsi="Times New Roman" w:eastAsia="宋体" w:cs="Times New Roman"/>
                      <w:color w:val="auto"/>
                      <w:kern w:val="0"/>
                      <w:sz w:val="21"/>
                      <w:szCs w:val="21"/>
                      <w:highlight w:val="none"/>
                      <w:lang w:val="en-US" w:eastAsia="zh-CN" w:bidi="ar"/>
                    </w:rPr>
                    <w:t>45.07</w:t>
                  </w:r>
                </w:p>
              </w:tc>
              <w:tc>
                <w:tcPr>
                  <w:tcW w:w="1058" w:type="dxa"/>
                  <w:vMerge w:val="continue"/>
                  <w:noWrap w:val="0"/>
                  <w:vAlign w:val="center"/>
                </w:tcPr>
                <w:p>
                  <w:pPr>
                    <w:keepNext w:val="0"/>
                    <w:keepLines w:val="0"/>
                    <w:pageBreakBefore w:val="0"/>
                    <w:kinsoku/>
                    <w:wordWrap/>
                    <w:overflowPunct/>
                    <w:topLinePunct w:val="0"/>
                    <w:autoSpaceDE/>
                    <w:autoSpaceDN/>
                    <w:bidi w:val="0"/>
                    <w:adjustRightInd w:val="0"/>
                    <w:snapToGrid w:val="0"/>
                    <w:jc w:val="center"/>
                    <w:textAlignment w:val="auto"/>
                    <w:rPr>
                      <w:rFonts w:hint="default" w:ascii="Times New Roman" w:hAnsi="Times New Roman" w:cs="Times New Roman"/>
                      <w:bCs/>
                      <w:color w:val="auto"/>
                      <w:sz w:val="21"/>
                      <w:szCs w:val="21"/>
                      <w:highlight w:val="none"/>
                    </w:rPr>
                  </w:pPr>
                </w:p>
              </w:tc>
            </w:tr>
          </w:tbl>
          <w:p>
            <w:pPr>
              <w:spacing w:line="360" w:lineRule="auto"/>
              <w:ind w:firstLine="480" w:firstLineChars="200"/>
              <w:jc w:val="center"/>
              <w:rPr>
                <w:rFonts w:hint="default" w:ascii="Times New Roman" w:hAnsi="Times New Roman" w:cs="Times New Roman"/>
                <w:color w:val="auto"/>
                <w:highlight w:val="none"/>
              </w:rPr>
            </w:pPr>
            <w:r>
              <w:rPr>
                <w:rFonts w:ascii="Times New Roman" w:hAnsi="Times New Roman"/>
                <w:snapToGrid w:val="0"/>
                <w:color w:val="auto"/>
                <w:kern w:val="0"/>
                <w:sz w:val="24"/>
                <w:szCs w:val="24"/>
                <w:highlight w:val="none"/>
              </w:rPr>
              <w:drawing>
                <wp:anchor distT="0" distB="0" distL="114300" distR="114300" simplePos="0" relativeHeight="251685888" behindDoc="0" locked="0" layoutInCell="1" allowOverlap="1">
                  <wp:simplePos x="0" y="0"/>
                  <wp:positionH relativeFrom="page">
                    <wp:posOffset>922020</wp:posOffset>
                  </wp:positionH>
                  <wp:positionV relativeFrom="page">
                    <wp:posOffset>13970</wp:posOffset>
                  </wp:positionV>
                  <wp:extent cx="915035" cy="951230"/>
                  <wp:effectExtent l="0" t="0" r="18415" b="1270"/>
                  <wp:wrapNone/>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5"/>
                          <a:stretch>
                            <a:fillRect/>
                          </a:stretch>
                        </pic:blipFill>
                        <pic:spPr>
                          <a:xfrm>
                            <a:off x="0" y="0"/>
                            <a:ext cx="915035" cy="951230"/>
                          </a:xfrm>
                          <a:prstGeom prst="rect">
                            <a:avLst/>
                          </a:prstGeom>
                          <a:noFill/>
                          <a:ln>
                            <a:noFill/>
                          </a:ln>
                        </pic:spPr>
                      </pic:pic>
                    </a:graphicData>
                  </a:graphic>
                </wp:anchor>
              </w:drawing>
            </w:r>
            <w:r>
              <w:rPr>
                <w:color w:val="auto"/>
                <w:highlight w:val="none"/>
              </w:rPr>
              <w:drawing>
                <wp:inline distT="0" distB="0" distL="114300" distR="114300">
                  <wp:extent cx="4340860" cy="3197860"/>
                  <wp:effectExtent l="0" t="0" r="2540" b="2540"/>
                  <wp:docPr id="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
                          <pic:cNvPicPr>
                            <a:picLocks noChangeAspect="1"/>
                          </pic:cNvPicPr>
                        </pic:nvPicPr>
                        <pic:blipFill>
                          <a:blip r:embed="rId29"/>
                          <a:stretch>
                            <a:fillRect/>
                          </a:stretch>
                        </pic:blipFill>
                        <pic:spPr>
                          <a:xfrm>
                            <a:off x="0" y="0"/>
                            <a:ext cx="4340860" cy="3197860"/>
                          </a:xfrm>
                          <a:prstGeom prst="rect">
                            <a:avLst/>
                          </a:prstGeom>
                          <a:noFill/>
                          <a:ln>
                            <a:noFill/>
                          </a:ln>
                        </pic:spPr>
                      </pic:pic>
                    </a:graphicData>
                  </a:graphic>
                </wp:inline>
              </w:drawing>
            </w:r>
          </w:p>
          <w:p>
            <w:pPr>
              <w:adjustRightInd w:val="0"/>
              <w:snapToGrid w:val="0"/>
              <w:jc w:val="center"/>
              <w:rPr>
                <w:rFonts w:hint="default" w:ascii="Times New Roman" w:hAnsi="Times New Roman" w:eastAsia="宋体" w:cs="Times New Roman"/>
                <w:b/>
                <w:bCs w:val="0"/>
                <w:color w:val="auto"/>
                <w:sz w:val="24"/>
                <w:szCs w:val="24"/>
                <w:highlight w:val="none"/>
                <w:lang w:eastAsia="zh-CN"/>
              </w:rPr>
            </w:pPr>
            <w:r>
              <w:rPr>
                <w:rFonts w:hint="default" w:ascii="Times New Roman" w:hAnsi="Times New Roman" w:cs="Times New Roman"/>
                <w:b/>
                <w:bCs w:val="0"/>
                <w:color w:val="auto"/>
                <w:sz w:val="24"/>
                <w:szCs w:val="24"/>
                <w:highlight w:val="none"/>
                <w:lang w:eastAsia="zh-CN"/>
              </w:rPr>
              <w:t>图</w:t>
            </w:r>
            <w:r>
              <w:rPr>
                <w:rFonts w:hint="default" w:ascii="Times New Roman" w:hAnsi="Times New Roman" w:cs="Times New Roman"/>
                <w:b/>
                <w:bCs w:val="0"/>
                <w:color w:val="auto"/>
                <w:sz w:val="24"/>
                <w:szCs w:val="24"/>
                <w:highlight w:val="none"/>
              </w:rPr>
              <w:t>7-</w:t>
            </w:r>
            <w:r>
              <w:rPr>
                <w:rFonts w:hint="default" w:ascii="Times New Roman" w:hAnsi="Times New Roman" w:cs="Times New Roman"/>
                <w:b/>
                <w:bCs w:val="0"/>
                <w:color w:val="auto"/>
                <w:sz w:val="24"/>
                <w:szCs w:val="24"/>
                <w:highlight w:val="none"/>
                <w:lang w:val="en-US" w:eastAsia="zh-CN"/>
              </w:rPr>
              <w:t>1</w:t>
            </w:r>
            <w:r>
              <w:rPr>
                <w:rFonts w:hint="default" w:ascii="Times New Roman" w:hAnsi="Times New Roman" w:cs="Times New Roman"/>
                <w:b/>
                <w:bCs w:val="0"/>
                <w:color w:val="auto"/>
                <w:sz w:val="24"/>
                <w:szCs w:val="24"/>
                <w:highlight w:val="none"/>
              </w:rPr>
              <w:t xml:space="preserve">  噪声</w:t>
            </w:r>
            <w:r>
              <w:rPr>
                <w:rFonts w:hint="default" w:ascii="Times New Roman" w:hAnsi="Times New Roman" w:cs="Times New Roman"/>
                <w:b/>
                <w:bCs w:val="0"/>
                <w:color w:val="auto"/>
                <w:sz w:val="24"/>
                <w:szCs w:val="24"/>
                <w:highlight w:val="none"/>
                <w:lang w:eastAsia="zh-CN"/>
              </w:rPr>
              <w:t>影响</w:t>
            </w:r>
            <w:r>
              <w:rPr>
                <w:rFonts w:hint="default" w:ascii="Times New Roman" w:hAnsi="Times New Roman" w:cs="Times New Roman"/>
                <w:b/>
                <w:bCs w:val="0"/>
                <w:color w:val="auto"/>
                <w:sz w:val="24"/>
                <w:szCs w:val="24"/>
                <w:highlight w:val="none"/>
              </w:rPr>
              <w:t>预测</w:t>
            </w:r>
            <w:r>
              <w:rPr>
                <w:rFonts w:hint="default" w:ascii="Times New Roman" w:hAnsi="Times New Roman" w:cs="Times New Roman"/>
                <w:b/>
                <w:bCs w:val="0"/>
                <w:color w:val="auto"/>
                <w:sz w:val="24"/>
                <w:szCs w:val="24"/>
                <w:highlight w:val="none"/>
                <w:lang w:eastAsia="zh-CN"/>
              </w:rPr>
              <w:t>图</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color w:val="auto"/>
                <w:sz w:val="24"/>
                <w:szCs w:val="24"/>
                <w:highlight w:val="none"/>
                <w:lang w:eastAsia="zh-CN"/>
              </w:rPr>
            </w:pPr>
            <w:r>
              <w:rPr>
                <w:rFonts w:hint="default"/>
                <w:color w:val="auto"/>
                <w:sz w:val="24"/>
                <w:szCs w:val="24"/>
                <w:highlight w:val="none"/>
                <w:lang w:eastAsia="zh-CN"/>
              </w:rPr>
              <w:t>根据预测结果表明，采取噪声治理措施后，本项目厂界噪声贡献值均符合《工业企业厂界环境噪声排放标准》（GB12348-2008）中2类标准的要求，敏感点预测满足《声环境质量标准》（GB3096-2008）2类标准的要求。本项目对周围声环境影响较小。</w:t>
            </w:r>
          </w:p>
          <w:p>
            <w:pPr>
              <w:keepNext w:val="0"/>
              <w:keepLines w:val="0"/>
              <w:pageBreakBefore w:val="0"/>
              <w:widowControl w:val="0"/>
              <w:kinsoku/>
              <w:wordWrap/>
              <w:overflowPunct/>
              <w:topLinePunct w:val="0"/>
              <w:bidi w:val="0"/>
              <w:snapToGrid/>
              <w:spacing w:line="360" w:lineRule="auto"/>
              <w:ind w:firstLine="482" w:firstLineChars="200"/>
              <w:textAlignment w:val="auto"/>
              <w:rPr>
                <w:b/>
                <w:color w:val="auto"/>
                <w:sz w:val="24"/>
                <w:highlight w:val="none"/>
              </w:rPr>
            </w:pPr>
            <w:r>
              <w:rPr>
                <w:b/>
                <w:color w:val="auto"/>
                <w:sz w:val="24"/>
                <w:highlight w:val="none"/>
              </w:rPr>
              <w:t>4、固体废物影响分析</w:t>
            </w:r>
          </w:p>
          <w:p>
            <w:pPr>
              <w:keepNext w:val="0"/>
              <w:keepLines w:val="0"/>
              <w:pageBreakBefore w:val="0"/>
              <w:widowControl w:val="0"/>
              <w:kinsoku/>
              <w:wordWrap/>
              <w:overflowPunct/>
              <w:topLinePunct w:val="0"/>
              <w:autoSpaceDE w:val="0"/>
              <w:autoSpaceDN w:val="0"/>
              <w:bidi w:val="0"/>
              <w:adjustRightInd w:val="0"/>
              <w:snapToGrid/>
              <w:spacing w:line="360" w:lineRule="auto"/>
              <w:ind w:firstLine="480" w:firstLineChars="200"/>
              <w:textAlignment w:val="auto"/>
              <w:rPr>
                <w:rStyle w:val="45"/>
                <w:color w:val="auto"/>
                <w:sz w:val="24"/>
                <w:highlight w:val="none"/>
              </w:rPr>
            </w:pPr>
            <w:r>
              <w:rPr>
                <w:color w:val="auto"/>
                <w:kern w:val="0"/>
                <w:sz w:val="24"/>
                <w:highlight w:val="none"/>
              </w:rPr>
              <w:t>本项目</w:t>
            </w:r>
            <w:r>
              <w:rPr>
                <w:rFonts w:hint="eastAsia"/>
                <w:color w:val="auto"/>
                <w:kern w:val="0"/>
                <w:sz w:val="24"/>
                <w:highlight w:val="none"/>
              </w:rPr>
              <w:t>无新增员工</w:t>
            </w:r>
            <w:r>
              <w:rPr>
                <w:color w:val="auto"/>
                <w:kern w:val="0"/>
                <w:sz w:val="24"/>
                <w:highlight w:val="none"/>
              </w:rPr>
              <w:t>，</w:t>
            </w:r>
            <w:r>
              <w:rPr>
                <w:rFonts w:hint="eastAsia"/>
                <w:color w:val="auto"/>
                <w:kern w:val="0"/>
                <w:sz w:val="24"/>
                <w:highlight w:val="none"/>
              </w:rPr>
              <w:t>因此无新增</w:t>
            </w:r>
            <w:r>
              <w:rPr>
                <w:color w:val="auto"/>
                <w:kern w:val="0"/>
                <w:sz w:val="24"/>
                <w:highlight w:val="none"/>
              </w:rPr>
              <w:t>生活垃圾量；</w:t>
            </w:r>
            <w:r>
              <w:rPr>
                <w:rFonts w:hint="default"/>
                <w:color w:val="auto"/>
                <w:kern w:val="0"/>
                <w:sz w:val="24"/>
                <w:highlight w:val="none"/>
                <w:lang w:eastAsia="zh-CN"/>
              </w:rPr>
              <w:t>本项目固废主要是除尘器回收粉尘</w:t>
            </w:r>
            <w:r>
              <w:rPr>
                <w:rFonts w:hint="eastAsia"/>
                <w:color w:val="auto"/>
                <w:kern w:val="0"/>
                <w:sz w:val="24"/>
                <w:highlight w:val="none"/>
                <w:lang w:eastAsia="zh-CN"/>
              </w:rPr>
              <w:t>及脱硫副产物</w:t>
            </w:r>
            <w:r>
              <w:rPr>
                <w:rFonts w:hint="default"/>
                <w:color w:val="auto"/>
                <w:kern w:val="0"/>
                <w:sz w:val="24"/>
                <w:highlight w:val="none"/>
              </w:rPr>
              <w:t>。</w:t>
            </w:r>
            <w:r>
              <w:rPr>
                <w:rFonts w:hint="default" w:ascii="Times New Roman" w:hAnsi="Times New Roman" w:cs="Times New Roman"/>
                <w:bCs w:val="0"/>
                <w:color w:val="auto"/>
                <w:sz w:val="24"/>
                <w:szCs w:val="24"/>
                <w:highlight w:val="none"/>
              </w:rPr>
              <w:t>除尘器回收粉尘量为</w:t>
            </w:r>
            <w:r>
              <w:rPr>
                <w:rFonts w:hint="eastAsia" w:cs="Times New Roman"/>
                <w:bCs w:val="0"/>
                <w:color w:val="auto"/>
                <w:sz w:val="24"/>
                <w:szCs w:val="24"/>
                <w:highlight w:val="none"/>
                <w:lang w:val="en-US" w:eastAsia="zh-CN"/>
              </w:rPr>
              <w:t>1455.543</w:t>
            </w:r>
            <w:r>
              <w:rPr>
                <w:rFonts w:hint="default" w:ascii="Times New Roman" w:hAnsi="Times New Roman" w:cs="Times New Roman"/>
                <w:bCs w:val="0"/>
                <w:color w:val="auto"/>
                <w:sz w:val="24"/>
                <w:szCs w:val="24"/>
                <w:highlight w:val="none"/>
              </w:rPr>
              <w:t>t/a</w:t>
            </w:r>
            <w:r>
              <w:rPr>
                <w:rFonts w:hint="eastAsia" w:cs="Times New Roman"/>
                <w:bCs w:val="0"/>
                <w:color w:val="auto"/>
                <w:sz w:val="24"/>
                <w:szCs w:val="24"/>
                <w:highlight w:val="none"/>
                <w:lang w:eastAsia="zh-CN"/>
              </w:rPr>
              <w:t>，</w:t>
            </w:r>
            <w:r>
              <w:rPr>
                <w:rFonts w:hint="default" w:ascii="Times New Roman" w:hAnsi="Times New Roman" w:cs="Times New Roman"/>
                <w:color w:val="auto"/>
                <w:sz w:val="24"/>
                <w:szCs w:val="24"/>
                <w:highlight w:val="none"/>
                <w:lang w:eastAsia="zh-CN"/>
              </w:rPr>
              <w:t>脱硫副产物年</w:t>
            </w:r>
            <w:r>
              <w:rPr>
                <w:rFonts w:hint="default" w:ascii="Times New Roman" w:hAnsi="Times New Roman" w:cs="Times New Roman"/>
                <w:color w:val="auto"/>
                <w:sz w:val="24"/>
                <w:szCs w:val="24"/>
                <w:highlight w:val="none"/>
              </w:rPr>
              <w:t>产生量为</w:t>
            </w:r>
            <w:r>
              <w:rPr>
                <w:rFonts w:hint="eastAsia" w:cs="Times New Roman"/>
                <w:color w:val="auto"/>
                <w:sz w:val="24"/>
                <w:szCs w:val="24"/>
                <w:highlight w:val="none"/>
                <w:lang w:val="en-US" w:eastAsia="zh-CN"/>
              </w:rPr>
              <w:t>91.43</w:t>
            </w:r>
            <w:r>
              <w:rPr>
                <w:rFonts w:hint="default" w:ascii="Times New Roman" w:hAnsi="Times New Roman" w:cs="Times New Roman"/>
                <w:color w:val="auto"/>
                <w:sz w:val="24"/>
                <w:szCs w:val="24"/>
                <w:highlight w:val="none"/>
              </w:rPr>
              <w:t>t/a，</w:t>
            </w:r>
            <w:r>
              <w:rPr>
                <w:rFonts w:hint="eastAsia" w:cs="Times New Roman"/>
                <w:bCs w:val="0"/>
                <w:color w:val="auto"/>
                <w:sz w:val="24"/>
                <w:szCs w:val="24"/>
                <w:highlight w:val="none"/>
                <w:lang w:eastAsia="zh-CN"/>
              </w:rPr>
              <w:t>集中收集后外售，综合利用。</w:t>
            </w:r>
            <w:r>
              <w:rPr>
                <w:rStyle w:val="45"/>
                <w:color w:val="auto"/>
                <w:sz w:val="24"/>
                <w:highlight w:val="none"/>
              </w:rPr>
              <w:t>各项固废均得到妥善处置，不会对周边造成明显影响。</w:t>
            </w:r>
          </w:p>
          <w:p>
            <w:pPr>
              <w:spacing w:line="360" w:lineRule="auto"/>
              <w:ind w:firstLine="472" w:firstLineChars="196"/>
              <w:rPr>
                <w:b/>
                <w:bCs/>
                <w:color w:val="auto"/>
                <w:sz w:val="24"/>
                <w:highlight w:val="none"/>
              </w:rPr>
            </w:pPr>
            <w:r>
              <w:rPr>
                <w:rFonts w:hint="eastAsia"/>
                <w:b/>
                <w:bCs/>
                <w:color w:val="auto"/>
                <w:sz w:val="24"/>
                <w:highlight w:val="none"/>
                <w:lang w:val="en-US" w:eastAsia="zh-CN"/>
              </w:rPr>
              <w:t>5</w:t>
            </w:r>
            <w:r>
              <w:rPr>
                <w:rFonts w:hint="eastAsia"/>
                <w:b/>
                <w:bCs/>
                <w:color w:val="auto"/>
                <w:sz w:val="24"/>
                <w:highlight w:val="none"/>
              </w:rPr>
              <w:t>、环境管理与监测</w:t>
            </w:r>
          </w:p>
          <w:p>
            <w:pPr>
              <w:widowControl/>
              <w:spacing w:line="360" w:lineRule="auto"/>
              <w:ind w:firstLine="480" w:firstLineChars="200"/>
              <w:rPr>
                <w:color w:val="auto"/>
                <w:sz w:val="24"/>
                <w:highlight w:val="none"/>
              </w:rPr>
            </w:pPr>
            <w:r>
              <w:rPr>
                <w:rFonts w:hint="eastAsia"/>
                <w:color w:val="auto"/>
                <w:sz w:val="24"/>
                <w:highlight w:val="none"/>
              </w:rPr>
              <w:t>项目在建设和运行过程中，会对周围环境造成一定的影响，应建立比较合理的环境管理体制和管理机构，采取相应的环境保护措施减轻和消除不利的环境影响，以实现预定的各项环保目标。</w:t>
            </w:r>
          </w:p>
          <w:p>
            <w:pPr>
              <w:widowControl/>
              <w:spacing w:line="360" w:lineRule="auto"/>
              <w:ind w:firstLine="480" w:firstLineChars="200"/>
              <w:rPr>
                <w:color w:val="auto"/>
                <w:sz w:val="24"/>
                <w:highlight w:val="none"/>
              </w:rPr>
            </w:pPr>
            <w:r>
              <w:rPr>
                <w:rFonts w:hint="eastAsia"/>
                <w:color w:val="auto"/>
                <w:sz w:val="24"/>
                <w:highlight w:val="none"/>
              </w:rPr>
              <w:t>同时，项目在施工期和运行期，应实行环境监测，以验证环境影响的实际情况和环境保护措施的效果，以便更好地保护环境，为项目环境管理提供依据，更大地发挥工程建设的环境、社会、经济效益。</w:t>
            </w:r>
          </w:p>
          <w:p>
            <w:pPr>
              <w:widowControl/>
              <w:spacing w:line="360" w:lineRule="auto"/>
              <w:ind w:firstLine="482" w:firstLineChars="200"/>
              <w:rPr>
                <w:b/>
                <w:bCs/>
                <w:color w:val="auto"/>
                <w:sz w:val="24"/>
                <w:highlight w:val="none"/>
              </w:rPr>
            </w:pPr>
            <w:r>
              <w:rPr>
                <w:rFonts w:hint="eastAsia"/>
                <w:b/>
                <w:bCs/>
                <w:color w:val="auto"/>
                <w:sz w:val="24"/>
                <w:highlight w:val="none"/>
              </w:rPr>
              <w:t>（</w:t>
            </w:r>
            <w:r>
              <w:rPr>
                <w:b/>
                <w:bCs/>
                <w:color w:val="auto"/>
                <w:sz w:val="24"/>
                <w:highlight w:val="none"/>
              </w:rPr>
              <w:t>1</w:t>
            </w:r>
            <w:r>
              <w:rPr>
                <w:rFonts w:hint="eastAsia"/>
                <w:b/>
                <w:bCs/>
                <w:color w:val="auto"/>
                <w:sz w:val="24"/>
                <w:highlight w:val="none"/>
              </w:rPr>
              <w:t>）环境管理</w:t>
            </w:r>
          </w:p>
          <w:p>
            <w:pPr>
              <w:widowControl/>
              <w:spacing w:line="360" w:lineRule="auto"/>
              <w:ind w:firstLine="480" w:firstLineChars="200"/>
              <w:rPr>
                <w:color w:val="auto"/>
                <w:sz w:val="24"/>
                <w:highlight w:val="none"/>
              </w:rPr>
            </w:pPr>
            <w:r>
              <w:rPr>
                <w:rFonts w:hint="eastAsia"/>
                <w:color w:val="auto"/>
                <w:sz w:val="24"/>
                <w:highlight w:val="none"/>
              </w:rPr>
              <w:t>环境管理是企业管理的一项重要内容。加强环境监督管理力度，是实现环境、生产、经济协调发展和走可持续发展道路的重要保证。为了最大限度地减轻施工作业及生产工艺过程中对环境的影响，确保工厂环保安全高效的生产，建立科学有效的环境管理体制，落实各项环保和安全措施显得尤为重要。通过建立环境管理体系，提高员工环保意识、规范企业管理、推行清洁生产，实现污染控制，保护环境质量，以实现环境效益、社会效益、经济效益的统一。</w:t>
            </w:r>
          </w:p>
          <w:p>
            <w:pPr>
              <w:widowControl/>
              <w:spacing w:line="360" w:lineRule="auto"/>
              <w:ind w:firstLine="480" w:firstLineChars="200"/>
              <w:rPr>
                <w:color w:val="auto"/>
                <w:sz w:val="24"/>
                <w:highlight w:val="none"/>
              </w:rPr>
            </w:pPr>
            <w:r>
              <w:rPr>
                <w:rFonts w:hint="eastAsia" w:ascii="宋体" w:hAnsi="宋体" w:cs="宋体"/>
                <w:color w:val="auto"/>
                <w:sz w:val="24"/>
                <w:highlight w:val="none"/>
              </w:rPr>
              <w:t>①</w:t>
            </w:r>
            <w:r>
              <w:rPr>
                <w:rFonts w:hint="eastAsia"/>
                <w:color w:val="auto"/>
                <w:sz w:val="24"/>
                <w:highlight w:val="none"/>
              </w:rPr>
              <w:t>根据国家环保政策、标准及环境监测要求，制定该项目运行期环保管理规章制度、各种污染物排放控制指标；</w:t>
            </w:r>
          </w:p>
          <w:p>
            <w:pPr>
              <w:widowControl/>
              <w:spacing w:line="360" w:lineRule="auto"/>
              <w:ind w:firstLine="480" w:firstLineChars="200"/>
              <w:rPr>
                <w:color w:val="auto"/>
                <w:sz w:val="24"/>
                <w:highlight w:val="none"/>
              </w:rPr>
            </w:pPr>
            <w:r>
              <w:rPr>
                <w:rFonts w:hint="eastAsia" w:ascii="宋体" w:hAnsi="宋体" w:cs="宋体"/>
                <w:color w:val="auto"/>
                <w:sz w:val="24"/>
                <w:highlight w:val="none"/>
              </w:rPr>
              <w:t>②</w:t>
            </w:r>
            <w:r>
              <w:rPr>
                <w:rFonts w:hint="eastAsia"/>
                <w:color w:val="auto"/>
                <w:sz w:val="24"/>
                <w:highlight w:val="none"/>
              </w:rPr>
              <w:t>负责该项目内所有环保设施的日常运行管理，保障各环保设施的正常运行，并对环保设施的改进提出积极的建议；</w:t>
            </w:r>
          </w:p>
          <w:p>
            <w:pPr>
              <w:widowControl/>
              <w:spacing w:line="360" w:lineRule="auto"/>
              <w:ind w:firstLine="480" w:firstLineChars="200"/>
              <w:rPr>
                <w:color w:val="auto"/>
                <w:sz w:val="24"/>
                <w:highlight w:val="none"/>
              </w:rPr>
            </w:pPr>
            <w:r>
              <w:rPr>
                <w:rFonts w:hint="eastAsia" w:ascii="宋体" w:hAnsi="宋体" w:cs="宋体"/>
                <w:color w:val="auto"/>
                <w:sz w:val="24"/>
                <w:highlight w:val="none"/>
              </w:rPr>
              <w:t>③</w:t>
            </w:r>
            <w:r>
              <w:rPr>
                <w:rFonts w:hint="eastAsia"/>
                <w:color w:val="auto"/>
                <w:sz w:val="24"/>
                <w:highlight w:val="none"/>
              </w:rPr>
              <w:t>负责该项目运行期环境监测工作，及时掌握该项目污染状况，整理监测数据，建立污染源档案；</w:t>
            </w:r>
          </w:p>
          <w:p>
            <w:pPr>
              <w:widowControl/>
              <w:spacing w:line="360" w:lineRule="auto"/>
              <w:ind w:firstLine="480" w:firstLineChars="200"/>
              <w:rPr>
                <w:color w:val="auto"/>
                <w:sz w:val="24"/>
                <w:highlight w:val="none"/>
              </w:rPr>
            </w:pPr>
            <w:r>
              <w:rPr>
                <w:rFonts w:hint="eastAsia"/>
                <w:color w:val="auto"/>
                <w:sz w:val="24"/>
                <w:highlight w:val="none"/>
              </w:rPr>
              <w:t>④项目运行期的环境管理由安全环保部承担；负责该项目内所有环保设施的日常运行管理，保障各环保设施的正常运行，并对环保设施的改进提出积极的建议；</w:t>
            </w:r>
          </w:p>
          <w:p>
            <w:pPr>
              <w:widowControl/>
              <w:spacing w:line="360" w:lineRule="auto"/>
              <w:ind w:firstLine="480" w:firstLineChars="200"/>
              <w:rPr>
                <w:color w:val="auto"/>
                <w:sz w:val="24"/>
                <w:highlight w:val="none"/>
              </w:rPr>
            </w:pPr>
            <w:r>
              <w:rPr>
                <w:rFonts w:hint="eastAsia" w:ascii="宋体" w:hAnsi="宋体" w:cs="宋体"/>
                <w:color w:val="auto"/>
                <w:sz w:val="24"/>
                <w:highlight w:val="none"/>
              </w:rPr>
              <w:t>⑤</w:t>
            </w:r>
            <w:r>
              <w:rPr>
                <w:rFonts w:hint="eastAsia"/>
                <w:color w:val="auto"/>
                <w:sz w:val="24"/>
                <w:highlight w:val="none"/>
              </w:rPr>
              <w:t>负责对职工进行环保宣传教育工作，检查、监督各单位环保制度的执行情况；</w:t>
            </w:r>
          </w:p>
          <w:p>
            <w:pPr>
              <w:widowControl/>
              <w:spacing w:line="360" w:lineRule="auto"/>
              <w:ind w:firstLine="480" w:firstLineChars="200"/>
              <w:rPr>
                <w:color w:val="auto"/>
                <w:sz w:val="24"/>
                <w:highlight w:val="none"/>
              </w:rPr>
            </w:pPr>
            <w:r>
              <w:rPr>
                <w:rFonts w:hint="eastAsia"/>
                <w:color w:val="auto"/>
                <w:sz w:val="24"/>
                <w:highlight w:val="none"/>
              </w:rPr>
              <w:t>⑥建立健全环境档案管理与保密制度、污染防治设施设计技术改进及运行资料、污染源调查技术档案、环境监测及评价资料、项目平面图等；</w:t>
            </w:r>
          </w:p>
          <w:p>
            <w:pPr>
              <w:widowControl/>
              <w:spacing w:line="360" w:lineRule="auto"/>
              <w:ind w:firstLine="482" w:firstLineChars="200"/>
              <w:rPr>
                <w:b/>
                <w:bCs/>
                <w:color w:val="auto"/>
                <w:sz w:val="24"/>
                <w:highlight w:val="none"/>
              </w:rPr>
            </w:pPr>
            <w:r>
              <w:rPr>
                <w:rFonts w:hint="eastAsia"/>
                <w:b/>
                <w:bCs/>
                <w:color w:val="auto"/>
                <w:sz w:val="24"/>
                <w:highlight w:val="none"/>
              </w:rPr>
              <w:t>（</w:t>
            </w:r>
            <w:r>
              <w:rPr>
                <w:b/>
                <w:bCs/>
                <w:color w:val="auto"/>
                <w:sz w:val="24"/>
                <w:highlight w:val="none"/>
              </w:rPr>
              <w:t>2</w:t>
            </w:r>
            <w:r>
              <w:rPr>
                <w:rFonts w:hint="eastAsia"/>
                <w:b/>
                <w:bCs/>
                <w:color w:val="auto"/>
                <w:sz w:val="24"/>
                <w:highlight w:val="none"/>
              </w:rPr>
              <w:t>）监测计划</w:t>
            </w:r>
          </w:p>
          <w:p>
            <w:pPr>
              <w:pStyle w:val="46"/>
              <w:rPr>
                <w:rFonts w:ascii="Times New Roman" w:hAnsi="Times New Roman"/>
                <w:color w:val="auto"/>
                <w:kern w:val="44"/>
                <w:szCs w:val="28"/>
                <w:highlight w:val="none"/>
              </w:rPr>
            </w:pPr>
            <w:r>
              <w:rPr>
                <w:rFonts w:hint="eastAsia" w:ascii="Times New Roman" w:hAnsi="Times New Roman"/>
                <w:color w:val="auto"/>
                <w:kern w:val="44"/>
                <w:szCs w:val="28"/>
                <w:highlight w:val="none"/>
              </w:rPr>
              <w:t>建设项目运营期环境监控主要目的是为了项目建成后的环境监测，防止污染事故发生，为环境管理提供依据，主要包括噪声、固废监测。根据《排污单</w:t>
            </w:r>
            <w:r>
              <w:rPr>
                <w:rFonts w:hint="eastAsia" w:ascii="Times New Roman"/>
                <w:color w:val="auto"/>
                <w:kern w:val="44"/>
                <w:szCs w:val="28"/>
                <w:highlight w:val="none"/>
              </w:rPr>
              <w:t>位自行监测技术指南火力发电及锅炉》</w:t>
            </w:r>
            <w:r>
              <w:rPr>
                <w:rFonts w:ascii="Times New Roman" w:hAnsi="Times New Roman"/>
                <w:color w:val="auto"/>
                <w:kern w:val="44"/>
                <w:szCs w:val="28"/>
                <w:highlight w:val="none"/>
              </w:rPr>
              <w:t>(HJ820-2017)</w:t>
            </w:r>
            <w:r>
              <w:rPr>
                <w:rFonts w:hint="eastAsia" w:ascii="Times New Roman"/>
                <w:color w:val="auto"/>
                <w:kern w:val="44"/>
                <w:szCs w:val="28"/>
                <w:highlight w:val="none"/>
              </w:rPr>
              <w:t>，确定本项目环境监测计划。</w:t>
            </w:r>
          </w:p>
          <w:p>
            <w:pPr>
              <w:pStyle w:val="4"/>
              <w:spacing w:line="240" w:lineRule="auto"/>
              <w:ind w:firstLine="482" w:firstLineChars="200"/>
              <w:jc w:val="center"/>
              <w:rPr>
                <w:rFonts w:ascii="Times New Roman" w:hAnsi="Times New Roman"/>
                <w:b/>
                <w:color w:val="auto"/>
                <w:kern w:val="2"/>
                <w:szCs w:val="24"/>
                <w:highlight w:val="none"/>
              </w:rPr>
            </w:pPr>
            <w:r>
              <w:rPr>
                <w:rFonts w:hint="eastAsia" w:ascii="Times New Roman" w:hAnsi="Times New Roman"/>
                <w:b/>
                <w:color w:val="auto"/>
                <w:szCs w:val="24"/>
                <w:highlight w:val="none"/>
              </w:rPr>
              <w:t>表</w:t>
            </w:r>
            <w:r>
              <w:rPr>
                <w:rFonts w:ascii="Times New Roman" w:hAnsi="Times New Roman"/>
                <w:b/>
                <w:color w:val="auto"/>
                <w:szCs w:val="24"/>
                <w:highlight w:val="none"/>
              </w:rPr>
              <w:t>7-</w:t>
            </w:r>
            <w:r>
              <w:rPr>
                <w:rFonts w:hint="eastAsia" w:ascii="Times New Roman" w:hAnsi="Times New Roman"/>
                <w:b/>
                <w:color w:val="auto"/>
                <w:szCs w:val="24"/>
                <w:highlight w:val="none"/>
              </w:rPr>
              <w:t>1</w:t>
            </w:r>
            <w:r>
              <w:rPr>
                <w:rFonts w:hint="eastAsia" w:ascii="Times New Roman" w:hAnsi="Times New Roman"/>
                <w:b/>
                <w:color w:val="auto"/>
                <w:szCs w:val="24"/>
                <w:highlight w:val="none"/>
                <w:lang w:val="en-US" w:eastAsia="zh-CN"/>
              </w:rPr>
              <w:t>4</w:t>
            </w:r>
            <w:r>
              <w:rPr>
                <w:rFonts w:ascii="Times New Roman" w:hAnsi="Times New Roman"/>
                <w:b/>
                <w:color w:val="auto"/>
                <w:szCs w:val="24"/>
                <w:highlight w:val="none"/>
              </w:rPr>
              <w:t xml:space="preserve">  </w:t>
            </w:r>
            <w:r>
              <w:rPr>
                <w:rFonts w:hint="eastAsia" w:ascii="Times New Roman" w:hAnsi="Times New Roman"/>
                <w:b/>
                <w:color w:val="auto"/>
                <w:szCs w:val="24"/>
                <w:highlight w:val="none"/>
              </w:rPr>
              <w:t>环境监测计划一览表</w:t>
            </w:r>
          </w:p>
          <w:tbl>
            <w:tblPr>
              <w:tblStyle w:val="36"/>
              <w:tblW w:w="82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03"/>
              <w:gridCol w:w="1843"/>
              <w:gridCol w:w="1533"/>
              <w:gridCol w:w="1522"/>
              <w:gridCol w:w="2321"/>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3"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环境要素</w:t>
                  </w:r>
                </w:p>
              </w:tc>
              <w:tc>
                <w:tcPr>
                  <w:tcW w:w="1843"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监测点位</w:t>
                  </w:r>
                </w:p>
              </w:tc>
              <w:tc>
                <w:tcPr>
                  <w:tcW w:w="1533"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监测指标</w:t>
                  </w:r>
                </w:p>
              </w:tc>
              <w:tc>
                <w:tcPr>
                  <w:tcW w:w="1522"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监测频次</w:t>
                  </w:r>
                </w:p>
              </w:tc>
              <w:tc>
                <w:tcPr>
                  <w:tcW w:w="2321"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执行排放指标</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003"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声环境</w:t>
                  </w:r>
                </w:p>
              </w:tc>
              <w:tc>
                <w:tcPr>
                  <w:tcW w:w="1843"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厂界</w:t>
                  </w:r>
                </w:p>
              </w:tc>
              <w:tc>
                <w:tcPr>
                  <w:tcW w:w="1533" w:type="dxa"/>
                  <w:vAlign w:val="center"/>
                </w:tcPr>
                <w:p>
                  <w:pPr>
                    <w:pStyle w:val="46"/>
                    <w:spacing w:line="240" w:lineRule="auto"/>
                    <w:ind w:firstLine="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Leq</w:t>
                  </w:r>
                  <w:r>
                    <w:rPr>
                      <w:rFonts w:hint="eastAsia" w:ascii="Times New Roman" w:hAnsi="Times New Roman"/>
                      <w:color w:val="auto"/>
                      <w:kern w:val="2"/>
                      <w:sz w:val="21"/>
                      <w:szCs w:val="21"/>
                      <w:highlight w:val="none"/>
                    </w:rPr>
                    <w:t>（</w:t>
                  </w:r>
                  <w:r>
                    <w:rPr>
                      <w:rFonts w:ascii="Times New Roman" w:hAnsi="Times New Roman"/>
                      <w:color w:val="auto"/>
                      <w:kern w:val="2"/>
                      <w:sz w:val="21"/>
                      <w:szCs w:val="21"/>
                      <w:highlight w:val="none"/>
                    </w:rPr>
                    <w:t>A</w:t>
                  </w:r>
                  <w:r>
                    <w:rPr>
                      <w:rFonts w:hint="eastAsia" w:ascii="Times New Roman" w:hAnsi="Times New Roman"/>
                      <w:color w:val="auto"/>
                      <w:kern w:val="2"/>
                      <w:sz w:val="21"/>
                      <w:szCs w:val="21"/>
                      <w:highlight w:val="none"/>
                    </w:rPr>
                    <w:t>）</w:t>
                  </w:r>
                </w:p>
              </w:tc>
              <w:tc>
                <w:tcPr>
                  <w:tcW w:w="1522"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每季度监测</w:t>
                  </w:r>
                  <w:r>
                    <w:rPr>
                      <w:rFonts w:ascii="Times New Roman" w:hAnsi="Times New Roman"/>
                      <w:color w:val="auto"/>
                      <w:kern w:val="2"/>
                      <w:sz w:val="21"/>
                      <w:szCs w:val="21"/>
                      <w:highlight w:val="none"/>
                    </w:rPr>
                    <w:t>1</w:t>
                  </w:r>
                  <w:r>
                    <w:rPr>
                      <w:rFonts w:hint="eastAsia" w:ascii="Times New Roman" w:hAnsi="Times New Roman"/>
                      <w:color w:val="auto"/>
                      <w:kern w:val="2"/>
                      <w:sz w:val="21"/>
                      <w:szCs w:val="21"/>
                      <w:highlight w:val="none"/>
                    </w:rPr>
                    <w:t>次</w:t>
                  </w:r>
                </w:p>
              </w:tc>
              <w:tc>
                <w:tcPr>
                  <w:tcW w:w="2321"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《工业企业厂界环境噪声排放标准》（</w:t>
                  </w:r>
                  <w:r>
                    <w:rPr>
                      <w:rFonts w:ascii="Times New Roman" w:hAnsi="Times New Roman"/>
                      <w:color w:val="auto"/>
                      <w:kern w:val="2"/>
                      <w:sz w:val="21"/>
                      <w:szCs w:val="21"/>
                      <w:highlight w:val="none"/>
                    </w:rPr>
                    <w:t>GB12348-2008</w:t>
                  </w:r>
                  <w:r>
                    <w:rPr>
                      <w:rFonts w:hint="eastAsia" w:ascii="Times New Roman" w:hAnsi="Times New Roman"/>
                      <w:color w:val="auto"/>
                      <w:kern w:val="2"/>
                      <w:sz w:val="21"/>
                      <w:szCs w:val="21"/>
                      <w:highlight w:val="none"/>
                    </w:rPr>
                    <w:t>）</w:t>
                  </w:r>
                  <w:r>
                    <w:rPr>
                      <w:rFonts w:ascii="Times New Roman" w:hAnsi="Times New Roman"/>
                      <w:color w:val="auto"/>
                      <w:kern w:val="2"/>
                      <w:sz w:val="21"/>
                      <w:szCs w:val="21"/>
                      <w:highlight w:val="none"/>
                    </w:rPr>
                    <w:t>2</w:t>
                  </w:r>
                  <w:r>
                    <w:rPr>
                      <w:rFonts w:hint="eastAsia" w:ascii="Times New Roman" w:hAnsi="Times New Roman"/>
                      <w:color w:val="auto"/>
                      <w:kern w:val="2"/>
                      <w:sz w:val="21"/>
                      <w:szCs w:val="21"/>
                      <w:highlight w:val="none"/>
                    </w:rPr>
                    <w:t>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jc w:val="center"/>
              </w:trPr>
              <w:tc>
                <w:tcPr>
                  <w:tcW w:w="1003" w:type="dxa"/>
                  <w:vMerge w:val="restart"/>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大气环境</w:t>
                  </w:r>
                </w:p>
              </w:tc>
              <w:tc>
                <w:tcPr>
                  <w:tcW w:w="1843" w:type="dxa"/>
                  <w:vMerge w:val="restart"/>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锅炉烟囱</w:t>
                  </w:r>
                </w:p>
              </w:tc>
              <w:tc>
                <w:tcPr>
                  <w:tcW w:w="1533"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颗粒物</w:t>
                  </w:r>
                </w:p>
              </w:tc>
              <w:tc>
                <w:tcPr>
                  <w:tcW w:w="1522" w:type="dxa"/>
                  <w:vMerge w:val="restart"/>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自动监测</w:t>
                  </w:r>
                </w:p>
              </w:tc>
              <w:tc>
                <w:tcPr>
                  <w:tcW w:w="2321" w:type="dxa"/>
                  <w:vMerge w:val="restart"/>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《锅炉大气污染物排放标准》（</w:t>
                  </w:r>
                  <w:r>
                    <w:rPr>
                      <w:rFonts w:ascii="Times New Roman" w:hAnsi="Times New Roman"/>
                      <w:color w:val="auto"/>
                      <w:kern w:val="2"/>
                      <w:sz w:val="21"/>
                      <w:szCs w:val="21"/>
                      <w:highlight w:val="none"/>
                    </w:rPr>
                    <w:t>GB13271-2014</w:t>
                  </w:r>
                  <w:r>
                    <w:rPr>
                      <w:rFonts w:hint="eastAsia" w:ascii="Times New Roman" w:hAnsi="Times New Roman"/>
                      <w:color w:val="auto"/>
                      <w:kern w:val="2"/>
                      <w:sz w:val="21"/>
                      <w:szCs w:val="21"/>
                      <w:highlight w:val="none"/>
                    </w:rPr>
                    <w:t>）中表</w:t>
                  </w:r>
                  <w:r>
                    <w:rPr>
                      <w:rFonts w:hint="eastAsia" w:ascii="Times New Roman" w:hAnsi="Times New Roman"/>
                      <w:color w:val="auto"/>
                      <w:kern w:val="2"/>
                      <w:sz w:val="21"/>
                      <w:szCs w:val="21"/>
                      <w:highlight w:val="none"/>
                      <w:lang w:val="en-US" w:eastAsia="zh-CN"/>
                    </w:rPr>
                    <w:t>2</w:t>
                  </w:r>
                  <w:r>
                    <w:rPr>
                      <w:rFonts w:hint="eastAsia" w:ascii="Times New Roman" w:hAnsi="Times New Roman"/>
                      <w:color w:val="auto"/>
                      <w:kern w:val="2"/>
                      <w:sz w:val="21"/>
                      <w:szCs w:val="21"/>
                      <w:highlight w:val="none"/>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jc w:val="center"/>
              </w:trPr>
              <w:tc>
                <w:tcPr>
                  <w:tcW w:w="1003" w:type="dxa"/>
                  <w:vMerge w:val="continue"/>
                  <w:vAlign w:val="center"/>
                </w:tcPr>
                <w:p>
                  <w:pPr>
                    <w:widowControl/>
                    <w:jc w:val="center"/>
                    <w:rPr>
                      <w:color w:val="auto"/>
                      <w:szCs w:val="21"/>
                      <w:highlight w:val="none"/>
                    </w:rPr>
                  </w:pPr>
                </w:p>
              </w:tc>
              <w:tc>
                <w:tcPr>
                  <w:tcW w:w="1843" w:type="dxa"/>
                  <w:vMerge w:val="continue"/>
                  <w:vAlign w:val="center"/>
                </w:tcPr>
                <w:p>
                  <w:pPr>
                    <w:widowControl/>
                    <w:jc w:val="center"/>
                    <w:rPr>
                      <w:color w:val="auto"/>
                      <w:szCs w:val="21"/>
                      <w:highlight w:val="none"/>
                    </w:rPr>
                  </w:pPr>
                </w:p>
              </w:tc>
              <w:tc>
                <w:tcPr>
                  <w:tcW w:w="1533" w:type="dxa"/>
                  <w:vAlign w:val="center"/>
                </w:tcPr>
                <w:p>
                  <w:pPr>
                    <w:pStyle w:val="46"/>
                    <w:spacing w:line="240" w:lineRule="auto"/>
                    <w:ind w:firstLine="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SO</w:t>
                  </w:r>
                  <w:r>
                    <w:rPr>
                      <w:rFonts w:ascii="Times New Roman" w:hAnsi="Times New Roman"/>
                      <w:color w:val="auto"/>
                      <w:kern w:val="2"/>
                      <w:sz w:val="21"/>
                      <w:szCs w:val="21"/>
                      <w:highlight w:val="none"/>
                      <w:vertAlign w:val="subscript"/>
                    </w:rPr>
                    <w:t>2</w:t>
                  </w:r>
                </w:p>
              </w:tc>
              <w:tc>
                <w:tcPr>
                  <w:tcW w:w="1522" w:type="dxa"/>
                  <w:vMerge w:val="continue"/>
                  <w:vAlign w:val="center"/>
                </w:tcPr>
                <w:p>
                  <w:pPr>
                    <w:widowControl/>
                    <w:jc w:val="center"/>
                    <w:rPr>
                      <w:color w:val="auto"/>
                      <w:szCs w:val="21"/>
                      <w:highlight w:val="none"/>
                    </w:rPr>
                  </w:pPr>
                </w:p>
              </w:tc>
              <w:tc>
                <w:tcPr>
                  <w:tcW w:w="2321" w:type="dxa"/>
                  <w:vMerge w:val="continue"/>
                  <w:vAlign w:val="center"/>
                </w:tcPr>
                <w:p>
                  <w:pPr>
                    <w:widowControl/>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3" w:hRule="atLeast"/>
                <w:jc w:val="center"/>
              </w:trPr>
              <w:tc>
                <w:tcPr>
                  <w:tcW w:w="1003" w:type="dxa"/>
                  <w:vMerge w:val="continue"/>
                  <w:vAlign w:val="center"/>
                </w:tcPr>
                <w:p>
                  <w:pPr>
                    <w:widowControl/>
                    <w:jc w:val="center"/>
                    <w:rPr>
                      <w:color w:val="auto"/>
                      <w:szCs w:val="21"/>
                      <w:highlight w:val="none"/>
                    </w:rPr>
                  </w:pPr>
                </w:p>
              </w:tc>
              <w:tc>
                <w:tcPr>
                  <w:tcW w:w="1843" w:type="dxa"/>
                  <w:vMerge w:val="continue"/>
                  <w:vAlign w:val="center"/>
                </w:tcPr>
                <w:p>
                  <w:pPr>
                    <w:widowControl/>
                    <w:jc w:val="center"/>
                    <w:rPr>
                      <w:color w:val="auto"/>
                      <w:szCs w:val="21"/>
                      <w:highlight w:val="none"/>
                    </w:rPr>
                  </w:pPr>
                </w:p>
              </w:tc>
              <w:tc>
                <w:tcPr>
                  <w:tcW w:w="1533" w:type="dxa"/>
                  <w:vAlign w:val="center"/>
                </w:tcPr>
                <w:p>
                  <w:pPr>
                    <w:pStyle w:val="46"/>
                    <w:spacing w:line="240" w:lineRule="auto"/>
                    <w:ind w:firstLine="0"/>
                    <w:jc w:val="center"/>
                    <w:rPr>
                      <w:rFonts w:ascii="Times New Roman" w:hAnsi="Times New Roman"/>
                      <w:color w:val="auto"/>
                      <w:kern w:val="2"/>
                      <w:sz w:val="21"/>
                      <w:szCs w:val="21"/>
                      <w:highlight w:val="none"/>
                    </w:rPr>
                  </w:pPr>
                  <w:r>
                    <w:rPr>
                      <w:rFonts w:ascii="Times New Roman" w:hAnsi="Times New Roman"/>
                      <w:color w:val="auto"/>
                      <w:kern w:val="2"/>
                      <w:sz w:val="21"/>
                      <w:szCs w:val="21"/>
                      <w:highlight w:val="none"/>
                    </w:rPr>
                    <w:t>NO</w:t>
                  </w:r>
                  <w:r>
                    <w:rPr>
                      <w:rFonts w:ascii="Times New Roman" w:hAnsi="Times New Roman"/>
                      <w:color w:val="auto"/>
                      <w:kern w:val="2"/>
                      <w:sz w:val="21"/>
                      <w:szCs w:val="21"/>
                      <w:highlight w:val="none"/>
                      <w:vertAlign w:val="subscript"/>
                    </w:rPr>
                    <w:t>X</w:t>
                  </w:r>
                </w:p>
              </w:tc>
              <w:tc>
                <w:tcPr>
                  <w:tcW w:w="1522" w:type="dxa"/>
                  <w:vMerge w:val="continue"/>
                  <w:vAlign w:val="center"/>
                </w:tcPr>
                <w:p>
                  <w:pPr>
                    <w:widowControl/>
                    <w:jc w:val="center"/>
                    <w:rPr>
                      <w:color w:val="auto"/>
                      <w:szCs w:val="21"/>
                      <w:highlight w:val="none"/>
                    </w:rPr>
                  </w:pPr>
                </w:p>
              </w:tc>
              <w:tc>
                <w:tcPr>
                  <w:tcW w:w="2321" w:type="dxa"/>
                  <w:vMerge w:val="continue"/>
                  <w:vAlign w:val="center"/>
                </w:tcPr>
                <w:p>
                  <w:pPr>
                    <w:widowControl/>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58" w:hRule="atLeast"/>
                <w:jc w:val="center"/>
              </w:trPr>
              <w:tc>
                <w:tcPr>
                  <w:tcW w:w="1003" w:type="dxa"/>
                  <w:vMerge w:val="continue"/>
                  <w:vAlign w:val="center"/>
                </w:tcPr>
                <w:p>
                  <w:pPr>
                    <w:widowControl/>
                    <w:jc w:val="center"/>
                    <w:rPr>
                      <w:color w:val="auto"/>
                      <w:szCs w:val="21"/>
                      <w:highlight w:val="none"/>
                    </w:rPr>
                  </w:pPr>
                </w:p>
              </w:tc>
              <w:tc>
                <w:tcPr>
                  <w:tcW w:w="1843" w:type="dxa"/>
                  <w:vMerge w:val="continue"/>
                  <w:vAlign w:val="center"/>
                </w:tcPr>
                <w:p>
                  <w:pPr>
                    <w:widowControl/>
                    <w:jc w:val="center"/>
                    <w:rPr>
                      <w:color w:val="auto"/>
                      <w:szCs w:val="21"/>
                      <w:highlight w:val="none"/>
                    </w:rPr>
                  </w:pPr>
                </w:p>
              </w:tc>
              <w:tc>
                <w:tcPr>
                  <w:tcW w:w="1533"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汞及其化合物</w:t>
                  </w:r>
                </w:p>
              </w:tc>
              <w:tc>
                <w:tcPr>
                  <w:tcW w:w="1522" w:type="dxa"/>
                  <w:vMerge w:val="restart"/>
                  <w:vAlign w:val="center"/>
                </w:tcPr>
                <w:p>
                  <w:pPr>
                    <w:widowControl/>
                    <w:jc w:val="center"/>
                    <w:rPr>
                      <w:color w:val="auto"/>
                      <w:szCs w:val="21"/>
                      <w:highlight w:val="none"/>
                    </w:rPr>
                  </w:pPr>
                  <w:r>
                    <w:rPr>
                      <w:rFonts w:hint="eastAsia"/>
                      <w:color w:val="auto"/>
                      <w:szCs w:val="21"/>
                      <w:highlight w:val="none"/>
                    </w:rPr>
                    <w:t>每季度监测</w:t>
                  </w:r>
                  <w:r>
                    <w:rPr>
                      <w:color w:val="auto"/>
                      <w:szCs w:val="21"/>
                      <w:highlight w:val="none"/>
                    </w:rPr>
                    <w:t>1</w:t>
                  </w:r>
                  <w:r>
                    <w:rPr>
                      <w:rFonts w:hint="eastAsia"/>
                      <w:color w:val="auto"/>
                      <w:szCs w:val="21"/>
                      <w:highlight w:val="none"/>
                    </w:rPr>
                    <w:t>次</w:t>
                  </w:r>
                </w:p>
              </w:tc>
              <w:tc>
                <w:tcPr>
                  <w:tcW w:w="2321" w:type="dxa"/>
                  <w:vMerge w:val="continue"/>
                  <w:vAlign w:val="center"/>
                </w:tcPr>
                <w:p>
                  <w:pPr>
                    <w:widowControl/>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2" w:hRule="atLeast"/>
                <w:jc w:val="center"/>
              </w:trPr>
              <w:tc>
                <w:tcPr>
                  <w:tcW w:w="1003" w:type="dxa"/>
                  <w:vMerge w:val="continue"/>
                  <w:vAlign w:val="center"/>
                </w:tcPr>
                <w:p>
                  <w:pPr>
                    <w:widowControl/>
                    <w:jc w:val="center"/>
                    <w:rPr>
                      <w:color w:val="auto"/>
                      <w:szCs w:val="21"/>
                      <w:highlight w:val="none"/>
                    </w:rPr>
                  </w:pPr>
                </w:p>
              </w:tc>
              <w:tc>
                <w:tcPr>
                  <w:tcW w:w="1843" w:type="dxa"/>
                  <w:vMerge w:val="continue"/>
                  <w:vAlign w:val="center"/>
                </w:tcPr>
                <w:p>
                  <w:pPr>
                    <w:widowControl/>
                    <w:jc w:val="center"/>
                    <w:rPr>
                      <w:color w:val="auto"/>
                      <w:szCs w:val="21"/>
                      <w:highlight w:val="none"/>
                    </w:rPr>
                  </w:pPr>
                </w:p>
              </w:tc>
              <w:tc>
                <w:tcPr>
                  <w:tcW w:w="1533"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林格曼黑度</w:t>
                  </w:r>
                </w:p>
              </w:tc>
              <w:tc>
                <w:tcPr>
                  <w:tcW w:w="1522" w:type="dxa"/>
                  <w:vMerge w:val="continue"/>
                  <w:vAlign w:val="center"/>
                </w:tcPr>
                <w:p>
                  <w:pPr>
                    <w:widowControl/>
                    <w:jc w:val="center"/>
                    <w:rPr>
                      <w:color w:val="auto"/>
                      <w:szCs w:val="21"/>
                      <w:highlight w:val="none"/>
                    </w:rPr>
                  </w:pPr>
                </w:p>
              </w:tc>
              <w:tc>
                <w:tcPr>
                  <w:tcW w:w="2321" w:type="dxa"/>
                  <w:vMerge w:val="continue"/>
                  <w:vAlign w:val="center"/>
                </w:tcPr>
                <w:p>
                  <w:pPr>
                    <w:widowControl/>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1003" w:type="dxa"/>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固废</w:t>
                  </w:r>
                </w:p>
              </w:tc>
              <w:tc>
                <w:tcPr>
                  <w:tcW w:w="7219" w:type="dxa"/>
                  <w:gridSpan w:val="4"/>
                  <w:vAlign w:val="center"/>
                </w:tcPr>
                <w:p>
                  <w:pPr>
                    <w:pStyle w:val="46"/>
                    <w:spacing w:line="240" w:lineRule="auto"/>
                    <w:ind w:firstLine="0"/>
                    <w:jc w:val="center"/>
                    <w:rPr>
                      <w:rFonts w:ascii="Times New Roman" w:hAnsi="Times New Roman"/>
                      <w:color w:val="auto"/>
                      <w:kern w:val="2"/>
                      <w:sz w:val="21"/>
                      <w:szCs w:val="21"/>
                      <w:highlight w:val="none"/>
                    </w:rPr>
                  </w:pPr>
                  <w:r>
                    <w:rPr>
                      <w:rFonts w:hint="eastAsia" w:ascii="Times New Roman" w:hAnsi="Times New Roman"/>
                      <w:color w:val="auto"/>
                      <w:kern w:val="2"/>
                      <w:sz w:val="21"/>
                      <w:szCs w:val="21"/>
                      <w:highlight w:val="none"/>
                    </w:rPr>
                    <w:t>记录各类固体废物的产生量、综合利用量、处置量、贮存量、倾倒丢弃量及其具体去向等相关内容</w:t>
                  </w:r>
                </w:p>
              </w:tc>
            </w:tr>
          </w:tbl>
          <w:p>
            <w:pPr>
              <w:spacing w:line="500" w:lineRule="exact"/>
              <w:ind w:firstLine="472" w:firstLineChars="196"/>
              <w:rPr>
                <w:b/>
                <w:bCs/>
                <w:color w:val="auto"/>
                <w:sz w:val="24"/>
                <w:highlight w:val="none"/>
              </w:rPr>
            </w:pPr>
            <w:r>
              <w:rPr>
                <w:rFonts w:hint="eastAsia"/>
                <w:b/>
                <w:bCs/>
                <w:color w:val="auto"/>
                <w:sz w:val="24"/>
                <w:highlight w:val="none"/>
              </w:rPr>
              <w:t>7、竣工验收一览表</w:t>
            </w:r>
          </w:p>
          <w:p>
            <w:pPr>
              <w:spacing w:line="360" w:lineRule="auto"/>
              <w:ind w:firstLine="480" w:firstLineChars="200"/>
              <w:rPr>
                <w:color w:val="auto"/>
                <w:sz w:val="24"/>
                <w:szCs w:val="28"/>
                <w:highlight w:val="none"/>
              </w:rPr>
            </w:pPr>
            <w:r>
              <w:rPr>
                <w:rFonts w:hint="eastAsia"/>
                <w:color w:val="auto"/>
                <w:sz w:val="24"/>
                <w:szCs w:val="28"/>
                <w:highlight w:val="none"/>
              </w:rPr>
              <w:t>三同时验收一览表见表</w:t>
            </w:r>
            <w:r>
              <w:rPr>
                <w:color w:val="auto"/>
                <w:sz w:val="24"/>
                <w:szCs w:val="28"/>
                <w:highlight w:val="none"/>
              </w:rPr>
              <w:t>7-</w:t>
            </w:r>
            <w:r>
              <w:rPr>
                <w:rFonts w:hint="eastAsia"/>
                <w:color w:val="auto"/>
                <w:sz w:val="24"/>
                <w:szCs w:val="28"/>
                <w:highlight w:val="none"/>
              </w:rPr>
              <w:t>1</w:t>
            </w:r>
            <w:r>
              <w:rPr>
                <w:rFonts w:hint="eastAsia"/>
                <w:color w:val="auto"/>
                <w:sz w:val="24"/>
                <w:szCs w:val="28"/>
                <w:highlight w:val="none"/>
                <w:lang w:val="en-US" w:eastAsia="zh-CN"/>
              </w:rPr>
              <w:t>5</w:t>
            </w:r>
            <w:r>
              <w:rPr>
                <w:rFonts w:hint="eastAsia"/>
                <w:color w:val="auto"/>
                <w:sz w:val="24"/>
                <w:szCs w:val="28"/>
                <w:highlight w:val="none"/>
              </w:rPr>
              <w:t>。</w:t>
            </w:r>
          </w:p>
          <w:p>
            <w:pPr>
              <w:pStyle w:val="4"/>
              <w:spacing w:line="240" w:lineRule="auto"/>
              <w:ind w:firstLine="482" w:firstLineChars="200"/>
              <w:jc w:val="center"/>
              <w:rPr>
                <w:rFonts w:hint="eastAsia" w:ascii="Times New Roman" w:hAnsi="Times New Roman"/>
                <w:b/>
                <w:color w:val="auto"/>
                <w:szCs w:val="24"/>
                <w:highlight w:val="none"/>
              </w:rPr>
            </w:pPr>
          </w:p>
          <w:p>
            <w:pPr>
              <w:pStyle w:val="4"/>
              <w:spacing w:line="240" w:lineRule="auto"/>
              <w:ind w:firstLine="482" w:firstLineChars="200"/>
              <w:jc w:val="center"/>
              <w:rPr>
                <w:rFonts w:hint="eastAsia" w:ascii="Times New Roman" w:hAnsi="Times New Roman"/>
                <w:b/>
                <w:color w:val="auto"/>
                <w:szCs w:val="24"/>
                <w:highlight w:val="none"/>
              </w:rPr>
            </w:pPr>
          </w:p>
          <w:p>
            <w:pPr>
              <w:pStyle w:val="4"/>
              <w:spacing w:line="240" w:lineRule="auto"/>
              <w:ind w:firstLine="482" w:firstLineChars="200"/>
              <w:jc w:val="center"/>
              <w:rPr>
                <w:rFonts w:ascii="Times New Roman" w:hAnsi="Times New Roman"/>
                <w:b/>
                <w:color w:val="auto"/>
                <w:szCs w:val="24"/>
                <w:highlight w:val="none"/>
              </w:rPr>
            </w:pPr>
            <w:r>
              <w:rPr>
                <w:rFonts w:hint="eastAsia" w:ascii="Times New Roman" w:hAnsi="Times New Roman"/>
                <w:b/>
                <w:color w:val="auto"/>
                <w:szCs w:val="24"/>
                <w:highlight w:val="none"/>
              </w:rPr>
              <w:t>表</w:t>
            </w:r>
            <w:r>
              <w:rPr>
                <w:rFonts w:ascii="Times New Roman" w:hAnsi="Times New Roman"/>
                <w:b/>
                <w:color w:val="auto"/>
                <w:szCs w:val="24"/>
                <w:highlight w:val="none"/>
              </w:rPr>
              <w:t>7-</w:t>
            </w:r>
            <w:r>
              <w:rPr>
                <w:rFonts w:hint="eastAsia" w:ascii="Times New Roman" w:hAnsi="Times New Roman"/>
                <w:b/>
                <w:color w:val="auto"/>
                <w:szCs w:val="24"/>
                <w:highlight w:val="none"/>
              </w:rPr>
              <w:t>1</w:t>
            </w:r>
            <w:r>
              <w:rPr>
                <w:rFonts w:hint="eastAsia" w:ascii="Times New Roman" w:hAnsi="Times New Roman"/>
                <w:b/>
                <w:color w:val="auto"/>
                <w:szCs w:val="24"/>
                <w:highlight w:val="none"/>
                <w:lang w:val="en-US" w:eastAsia="zh-CN"/>
              </w:rPr>
              <w:t>5</w:t>
            </w:r>
            <w:r>
              <w:rPr>
                <w:rFonts w:ascii="Times New Roman" w:hAnsi="Times New Roman"/>
                <w:b/>
                <w:color w:val="auto"/>
                <w:szCs w:val="24"/>
                <w:highlight w:val="none"/>
              </w:rPr>
              <w:t xml:space="preserve"> </w:t>
            </w:r>
            <w:r>
              <w:rPr>
                <w:rFonts w:hint="eastAsia" w:ascii="Times New Roman" w:hAnsi="Times New Roman"/>
                <w:b/>
                <w:color w:val="auto"/>
                <w:szCs w:val="24"/>
                <w:highlight w:val="none"/>
              </w:rPr>
              <w:t>竣工环境保护验收一览表</w:t>
            </w:r>
          </w:p>
          <w:tbl>
            <w:tblPr>
              <w:tblStyle w:val="36"/>
              <w:tblW w:w="822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72"/>
              <w:gridCol w:w="1869"/>
              <w:gridCol w:w="2307"/>
              <w:gridCol w:w="3474"/>
            </w:tblGrid>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441" w:type="dxa"/>
                  <w:gridSpan w:val="2"/>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污染治理</w:t>
                  </w:r>
                </w:p>
              </w:tc>
              <w:tc>
                <w:tcPr>
                  <w:tcW w:w="2307" w:type="dxa"/>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治理措施</w:t>
                  </w:r>
                </w:p>
              </w:tc>
              <w:tc>
                <w:tcPr>
                  <w:tcW w:w="3474" w:type="dxa"/>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验收内容及标准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dxa"/>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噪声</w:t>
                  </w:r>
                </w:p>
              </w:tc>
              <w:tc>
                <w:tcPr>
                  <w:tcW w:w="1869" w:type="dxa"/>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设备噪声</w:t>
                  </w:r>
                </w:p>
              </w:tc>
              <w:tc>
                <w:tcPr>
                  <w:tcW w:w="2307" w:type="dxa"/>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设备：隔声、减振</w:t>
                  </w:r>
                </w:p>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运输车辆：低速慢行，禁止鸣笛；绿化降噪等</w:t>
                  </w:r>
                </w:p>
              </w:tc>
              <w:tc>
                <w:tcPr>
                  <w:tcW w:w="3474" w:type="dxa"/>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《工业企业厂界环境噪声排放标准》（GB12348-2008）2类标准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dxa"/>
                  <w:vAlign w:val="center"/>
                </w:tcPr>
                <w:p>
                  <w:pPr>
                    <w:spacing w:line="320" w:lineRule="exact"/>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废水</w:t>
                  </w:r>
                </w:p>
              </w:tc>
              <w:tc>
                <w:tcPr>
                  <w:tcW w:w="1869" w:type="dxa"/>
                  <w:vAlign w:val="center"/>
                </w:tcPr>
                <w:p>
                  <w:pPr>
                    <w:spacing w:line="100" w:lineRule="atLeas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脱硫塔</w:t>
                  </w:r>
                </w:p>
              </w:tc>
              <w:tc>
                <w:tcPr>
                  <w:tcW w:w="2307" w:type="dxa"/>
                  <w:vAlign w:val="center"/>
                </w:tcPr>
                <w:p>
                  <w:pPr>
                    <w:spacing w:line="100" w:lineRule="atLeast"/>
                    <w:jc w:val="center"/>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脱硫废水</w:t>
                  </w:r>
                  <w:r>
                    <w:rPr>
                      <w:rFonts w:hint="eastAsia" w:cs="Times New Roman"/>
                      <w:color w:val="auto"/>
                      <w:sz w:val="21"/>
                      <w:szCs w:val="21"/>
                      <w:highlight w:val="none"/>
                      <w:lang w:eastAsia="zh-CN"/>
                    </w:rPr>
                    <w:t>，</w:t>
                  </w:r>
                  <w:r>
                    <w:rPr>
                      <w:rFonts w:hint="eastAsia" w:hAnsi="宋体"/>
                      <w:color w:val="auto"/>
                      <w:szCs w:val="21"/>
                      <w:highlight w:val="none"/>
                      <w:lang w:eastAsia="zh-CN"/>
                    </w:rPr>
                    <w:t>混凝沉淀处理后</w:t>
                  </w:r>
                  <w:r>
                    <w:rPr>
                      <w:rFonts w:hint="eastAsia" w:cs="Times New Roman"/>
                      <w:color w:val="auto"/>
                      <w:sz w:val="21"/>
                      <w:szCs w:val="21"/>
                      <w:highlight w:val="none"/>
                      <w:lang w:eastAsia="zh-CN"/>
                    </w:rPr>
                    <w:t>回用，不外排</w:t>
                  </w:r>
                </w:p>
              </w:tc>
              <w:tc>
                <w:tcPr>
                  <w:tcW w:w="3474" w:type="dxa"/>
                  <w:vAlign w:val="center"/>
                </w:tcPr>
                <w:p>
                  <w:pPr>
                    <w:spacing w:line="320" w:lineRule="exact"/>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72" w:type="dxa"/>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废气</w:t>
                  </w:r>
                </w:p>
              </w:tc>
              <w:tc>
                <w:tcPr>
                  <w:tcW w:w="1869" w:type="dxa"/>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锅炉烟气</w:t>
                  </w:r>
                </w:p>
              </w:tc>
              <w:tc>
                <w:tcPr>
                  <w:tcW w:w="2307" w:type="dxa"/>
                  <w:vAlign w:val="center"/>
                </w:tcPr>
                <w:p>
                  <w:pPr>
                    <w:spacing w:line="320" w:lineRule="exact"/>
                    <w:jc w:val="center"/>
                    <w:rPr>
                      <w:rFonts w:hint="default" w:ascii="Times New Roman" w:hAnsi="Times New Roman" w:eastAsia="宋体" w:cs="Times New Roman"/>
                      <w:bCs/>
                      <w:color w:val="auto"/>
                      <w:sz w:val="21"/>
                      <w:szCs w:val="21"/>
                      <w:highlight w:val="none"/>
                    </w:rPr>
                  </w:pPr>
                  <w:r>
                    <w:rPr>
                      <w:rFonts w:hint="default" w:ascii="Times New Roman" w:hAnsi="Times New Roman" w:eastAsia="宋体" w:cs="Times New Roman"/>
                      <w:bCs/>
                      <w:color w:val="auto"/>
                      <w:sz w:val="21"/>
                      <w:szCs w:val="21"/>
                      <w:highlight w:val="none"/>
                    </w:rPr>
                    <w:t>锅炉烟气通过氧化镁脱硫</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rPr>
                    <w:t>SNCR脱硝</w:t>
                  </w:r>
                  <w:r>
                    <w:rPr>
                      <w:rFonts w:hint="default" w:ascii="Times New Roman" w:hAnsi="Times New Roman" w:eastAsia="宋体" w:cs="Times New Roman"/>
                      <w:bCs/>
                      <w:color w:val="auto"/>
                      <w:sz w:val="21"/>
                      <w:szCs w:val="21"/>
                      <w:highlight w:val="none"/>
                      <w:lang w:val="en-US" w:eastAsia="zh-CN"/>
                    </w:rPr>
                    <w:t>+</w:t>
                  </w:r>
                  <w:r>
                    <w:rPr>
                      <w:rFonts w:hint="eastAsia" w:cs="Times New Roman"/>
                      <w:bCs/>
                      <w:color w:val="auto"/>
                      <w:sz w:val="21"/>
                      <w:szCs w:val="21"/>
                      <w:highlight w:val="none"/>
                      <w:lang w:eastAsia="zh-CN"/>
                    </w:rPr>
                    <w:t>干式</w:t>
                  </w:r>
                  <w:r>
                    <w:rPr>
                      <w:rFonts w:hint="default" w:ascii="Times New Roman" w:hAnsi="Times New Roman" w:eastAsia="宋体" w:cs="Times New Roman"/>
                      <w:bCs/>
                      <w:color w:val="auto"/>
                      <w:sz w:val="21"/>
                      <w:szCs w:val="21"/>
                      <w:highlight w:val="none"/>
                      <w:lang w:eastAsia="zh-CN"/>
                    </w:rPr>
                    <w:t>除尘器</w:t>
                  </w:r>
                  <w:r>
                    <w:rPr>
                      <w:rFonts w:hint="default" w:ascii="Times New Roman" w:hAnsi="Times New Roman" w:eastAsia="宋体" w:cs="Times New Roman"/>
                      <w:bCs/>
                      <w:color w:val="auto"/>
                      <w:sz w:val="21"/>
                      <w:szCs w:val="21"/>
                      <w:highlight w:val="none"/>
                      <w:lang w:val="en-US" w:eastAsia="zh-CN"/>
                    </w:rPr>
                    <w:t>+</w:t>
                  </w:r>
                  <w:r>
                    <w:rPr>
                      <w:rFonts w:hint="default" w:ascii="Times New Roman" w:hAnsi="Times New Roman" w:eastAsia="宋体" w:cs="Times New Roman"/>
                      <w:bCs/>
                      <w:color w:val="auto"/>
                      <w:sz w:val="21"/>
                      <w:szCs w:val="21"/>
                      <w:highlight w:val="none"/>
                    </w:rPr>
                    <w:t>布袋除尘器</w:t>
                  </w:r>
                  <w:r>
                    <w:rPr>
                      <w:rFonts w:hint="default" w:ascii="Times New Roman" w:hAnsi="Times New Roman" w:eastAsia="宋体" w:cs="Times New Roman"/>
                      <w:bCs/>
                      <w:color w:val="auto"/>
                      <w:sz w:val="21"/>
                      <w:szCs w:val="21"/>
                      <w:highlight w:val="none"/>
                      <w:lang w:eastAsia="zh-CN"/>
                    </w:rPr>
                    <w:t>处理后</w:t>
                  </w:r>
                  <w:r>
                    <w:rPr>
                      <w:rFonts w:hint="default" w:ascii="Times New Roman" w:hAnsi="Times New Roman" w:eastAsia="宋体" w:cs="Times New Roman"/>
                      <w:bCs/>
                      <w:color w:val="auto"/>
                      <w:sz w:val="21"/>
                      <w:szCs w:val="21"/>
                      <w:highlight w:val="none"/>
                    </w:rPr>
                    <w:t>通过现有</w:t>
                  </w:r>
                  <w:r>
                    <w:rPr>
                      <w:rFonts w:hint="default" w:ascii="Times New Roman" w:hAnsi="Times New Roman" w:eastAsia="宋体" w:cs="Times New Roman"/>
                      <w:bCs/>
                      <w:color w:val="auto"/>
                      <w:sz w:val="21"/>
                      <w:szCs w:val="21"/>
                      <w:highlight w:val="none"/>
                      <w:lang w:val="en-US" w:eastAsia="zh-CN"/>
                    </w:rPr>
                    <w:t>60</w:t>
                  </w:r>
                  <w:r>
                    <w:rPr>
                      <w:rFonts w:hint="default" w:ascii="Times New Roman" w:hAnsi="Times New Roman" w:eastAsia="宋体" w:cs="Times New Roman"/>
                      <w:bCs/>
                      <w:color w:val="auto"/>
                      <w:sz w:val="21"/>
                      <w:szCs w:val="21"/>
                      <w:highlight w:val="none"/>
                    </w:rPr>
                    <w:t>m高烟囱排放</w:t>
                  </w:r>
                </w:p>
              </w:tc>
              <w:tc>
                <w:tcPr>
                  <w:tcW w:w="3474" w:type="dxa"/>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11"/>
                      <w:sz w:val="21"/>
                      <w:szCs w:val="21"/>
                      <w:highlight w:val="none"/>
                    </w:rPr>
                    <w:t>《锅炉大气污染物排放标准》（GB13271-2014）表</w:t>
                  </w:r>
                  <w:r>
                    <w:rPr>
                      <w:rFonts w:hint="default" w:ascii="Times New Roman" w:hAnsi="Times New Roman" w:eastAsia="宋体" w:cs="Times New Roman"/>
                      <w:color w:val="auto"/>
                      <w:spacing w:val="-11"/>
                      <w:sz w:val="21"/>
                      <w:szCs w:val="21"/>
                      <w:highlight w:val="none"/>
                      <w:lang w:val="en-US" w:eastAsia="zh-CN"/>
                    </w:rPr>
                    <w:t>2</w:t>
                  </w:r>
                  <w:r>
                    <w:rPr>
                      <w:rFonts w:hint="default" w:ascii="Times New Roman" w:hAnsi="Times New Roman" w:eastAsia="宋体" w:cs="Times New Roman"/>
                      <w:color w:val="auto"/>
                      <w:spacing w:val="-11"/>
                      <w:sz w:val="21"/>
                      <w:szCs w:val="21"/>
                      <w:highlight w:val="none"/>
                    </w:rPr>
                    <w:t>排放标准</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572" w:type="dxa"/>
                  <w:vMerge w:val="restart"/>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固废</w:t>
                  </w:r>
                </w:p>
              </w:tc>
              <w:tc>
                <w:tcPr>
                  <w:tcW w:w="1869" w:type="dxa"/>
                  <w:vAlign w:val="center"/>
                </w:tcPr>
                <w:p>
                  <w:pPr>
                    <w:spacing w:line="320" w:lineRule="exact"/>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除尘器回收粉尘</w:t>
                  </w:r>
                </w:p>
              </w:tc>
              <w:tc>
                <w:tcPr>
                  <w:tcW w:w="2307" w:type="dxa"/>
                  <w:vMerge w:val="restart"/>
                  <w:vAlign w:val="center"/>
                </w:tcPr>
                <w:p>
                  <w:pPr>
                    <w:adjustRightInd w:val="0"/>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统一收集后外售，综合利用</w:t>
                  </w:r>
                </w:p>
              </w:tc>
              <w:tc>
                <w:tcPr>
                  <w:tcW w:w="3474" w:type="dxa"/>
                  <w:vMerge w:val="restart"/>
                  <w:vAlign w:val="center"/>
                </w:tcPr>
                <w:p>
                  <w:pPr>
                    <w:spacing w:line="320" w:lineRule="exact"/>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处置率100%</w:t>
                  </w:r>
                </w:p>
              </w:tc>
            </w:tr>
            <w:tr>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2" w:type="dxa"/>
                  <w:vMerge w:val="continue"/>
                  <w:vAlign w:val="center"/>
                </w:tcPr>
                <w:p>
                  <w:pPr>
                    <w:spacing w:line="320" w:lineRule="exact"/>
                    <w:jc w:val="center"/>
                    <w:rPr>
                      <w:rFonts w:hint="default" w:ascii="Times New Roman" w:hAnsi="Times New Roman" w:eastAsia="宋体" w:cs="Times New Roman"/>
                      <w:color w:val="auto"/>
                      <w:sz w:val="21"/>
                      <w:szCs w:val="21"/>
                      <w:highlight w:val="none"/>
                    </w:rPr>
                  </w:pPr>
                </w:p>
              </w:tc>
              <w:tc>
                <w:tcPr>
                  <w:tcW w:w="1869" w:type="dxa"/>
                  <w:vAlign w:val="center"/>
                </w:tcPr>
                <w:p>
                  <w:pPr>
                    <w:spacing w:line="320" w:lineRule="exact"/>
                    <w:jc w:val="center"/>
                    <w:rPr>
                      <w:rFonts w:hint="default" w:ascii="Times New Roman" w:hAnsi="Times New Roman" w:eastAsia="宋体" w:cs="Times New Roman"/>
                      <w:color w:val="auto"/>
                      <w:spacing w:val="6"/>
                      <w:sz w:val="21"/>
                      <w:szCs w:val="21"/>
                      <w:highlight w:val="none"/>
                    </w:rPr>
                  </w:pPr>
                  <w:r>
                    <w:rPr>
                      <w:rFonts w:hint="default" w:ascii="Times New Roman" w:hAnsi="Times New Roman" w:eastAsia="宋体" w:cs="Times New Roman"/>
                      <w:color w:val="auto"/>
                      <w:spacing w:val="6"/>
                      <w:sz w:val="21"/>
                      <w:szCs w:val="21"/>
                      <w:highlight w:val="none"/>
                    </w:rPr>
                    <w:t>脱硫副产物</w:t>
                  </w:r>
                </w:p>
              </w:tc>
              <w:tc>
                <w:tcPr>
                  <w:tcW w:w="2307" w:type="dxa"/>
                  <w:vMerge w:val="continue"/>
                  <w:vAlign w:val="center"/>
                </w:tcPr>
                <w:p>
                  <w:pPr>
                    <w:adjustRightInd w:val="0"/>
                    <w:spacing w:line="320" w:lineRule="exact"/>
                    <w:jc w:val="center"/>
                    <w:rPr>
                      <w:rFonts w:hint="default" w:ascii="Times New Roman" w:hAnsi="Times New Roman" w:eastAsia="宋体" w:cs="Times New Roman"/>
                      <w:color w:val="auto"/>
                      <w:sz w:val="21"/>
                      <w:szCs w:val="21"/>
                      <w:highlight w:val="none"/>
                    </w:rPr>
                  </w:pPr>
                </w:p>
              </w:tc>
              <w:tc>
                <w:tcPr>
                  <w:tcW w:w="3474" w:type="dxa"/>
                  <w:vMerge w:val="continue"/>
                  <w:vAlign w:val="center"/>
                </w:tcPr>
                <w:p>
                  <w:pPr>
                    <w:spacing w:line="320" w:lineRule="exact"/>
                    <w:jc w:val="center"/>
                    <w:rPr>
                      <w:rFonts w:hint="default" w:ascii="Times New Roman" w:hAnsi="Times New Roman" w:eastAsia="宋体" w:cs="Times New Roman"/>
                      <w:color w:val="auto"/>
                      <w:sz w:val="21"/>
                      <w:szCs w:val="21"/>
                      <w:highlight w:val="none"/>
                    </w:rPr>
                  </w:pPr>
                </w:p>
              </w:tc>
            </w:tr>
          </w:tbl>
          <w:p>
            <w:pPr>
              <w:spacing w:line="500" w:lineRule="exact"/>
              <w:ind w:firstLine="472" w:firstLineChars="196"/>
              <w:rPr>
                <w:b/>
                <w:bCs/>
                <w:color w:val="auto"/>
                <w:sz w:val="24"/>
                <w:highlight w:val="none"/>
              </w:rPr>
            </w:pPr>
            <w:r>
              <w:rPr>
                <w:rFonts w:hint="eastAsia"/>
                <w:b/>
                <w:bCs/>
                <w:color w:val="auto"/>
                <w:sz w:val="24"/>
                <w:highlight w:val="none"/>
              </w:rPr>
              <w:t>8、污染物排放清单</w:t>
            </w:r>
          </w:p>
          <w:p>
            <w:pPr>
              <w:spacing w:line="360" w:lineRule="auto"/>
              <w:ind w:firstLine="480" w:firstLineChars="200"/>
              <w:rPr>
                <w:color w:val="auto"/>
                <w:sz w:val="24"/>
                <w:szCs w:val="28"/>
                <w:highlight w:val="none"/>
              </w:rPr>
            </w:pPr>
            <w:r>
              <w:rPr>
                <w:rFonts w:hint="eastAsia"/>
                <w:color w:val="auto"/>
                <w:sz w:val="24"/>
                <w:szCs w:val="28"/>
                <w:highlight w:val="none"/>
              </w:rPr>
              <w:t>本项目污染物排放清单见表</w:t>
            </w:r>
            <w:r>
              <w:rPr>
                <w:color w:val="auto"/>
                <w:sz w:val="24"/>
                <w:szCs w:val="28"/>
                <w:highlight w:val="none"/>
              </w:rPr>
              <w:t>7-1</w:t>
            </w:r>
            <w:r>
              <w:rPr>
                <w:rFonts w:hint="eastAsia"/>
                <w:color w:val="auto"/>
                <w:sz w:val="24"/>
                <w:szCs w:val="28"/>
                <w:highlight w:val="none"/>
                <w:lang w:val="en-US" w:eastAsia="zh-CN"/>
              </w:rPr>
              <w:t>6</w:t>
            </w:r>
            <w:r>
              <w:rPr>
                <w:rFonts w:hint="eastAsia"/>
                <w:color w:val="auto"/>
                <w:sz w:val="24"/>
                <w:szCs w:val="28"/>
                <w:highlight w:val="none"/>
              </w:rPr>
              <w:t>。</w:t>
            </w:r>
          </w:p>
          <w:p>
            <w:pPr>
              <w:jc w:val="center"/>
              <w:rPr>
                <w:b/>
                <w:color w:val="auto"/>
                <w:sz w:val="24"/>
                <w:szCs w:val="20"/>
                <w:highlight w:val="none"/>
              </w:rPr>
            </w:pPr>
            <w:r>
              <w:rPr>
                <w:rFonts w:hint="eastAsia"/>
                <w:b/>
                <w:color w:val="auto"/>
                <w:sz w:val="24"/>
                <w:szCs w:val="20"/>
                <w:highlight w:val="none"/>
              </w:rPr>
              <w:t>表</w:t>
            </w:r>
            <w:r>
              <w:rPr>
                <w:b/>
                <w:color w:val="auto"/>
                <w:sz w:val="24"/>
                <w:szCs w:val="20"/>
                <w:highlight w:val="none"/>
              </w:rPr>
              <w:t>7-1</w:t>
            </w:r>
            <w:r>
              <w:rPr>
                <w:rFonts w:hint="eastAsia"/>
                <w:b/>
                <w:color w:val="auto"/>
                <w:sz w:val="24"/>
                <w:szCs w:val="20"/>
                <w:highlight w:val="none"/>
                <w:lang w:val="en-US" w:eastAsia="zh-CN"/>
              </w:rPr>
              <w:t>6</w:t>
            </w:r>
            <w:r>
              <w:rPr>
                <w:b/>
                <w:color w:val="auto"/>
                <w:sz w:val="24"/>
                <w:szCs w:val="20"/>
                <w:highlight w:val="none"/>
              </w:rPr>
              <w:t xml:space="preserve"> </w:t>
            </w:r>
            <w:r>
              <w:rPr>
                <w:rFonts w:hint="eastAsia"/>
                <w:b/>
                <w:color w:val="auto"/>
                <w:sz w:val="24"/>
                <w:szCs w:val="20"/>
                <w:highlight w:val="none"/>
              </w:rPr>
              <w:t>项目污染物排放清单</w:t>
            </w:r>
          </w:p>
          <w:tbl>
            <w:tblPr>
              <w:tblStyle w:val="36"/>
              <w:tblW w:w="8505"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23" w:type="dxa"/>
                <w:bottom w:w="0" w:type="dxa"/>
                <w:right w:w="23" w:type="dxa"/>
              </w:tblCellMar>
            </w:tblPr>
            <w:tblGrid>
              <w:gridCol w:w="338"/>
              <w:gridCol w:w="703"/>
              <w:gridCol w:w="589"/>
              <w:gridCol w:w="2400"/>
              <w:gridCol w:w="761"/>
              <w:gridCol w:w="1119"/>
              <w:gridCol w:w="889"/>
              <w:gridCol w:w="1706"/>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338" w:type="dxa"/>
                  <w:vAlign w:val="center"/>
                </w:tcPr>
                <w:p>
                  <w:pPr>
                    <w:tabs>
                      <w:tab w:val="left" w:pos="360"/>
                    </w:tabs>
                    <w:autoSpaceDE w:val="0"/>
                    <w:autoSpaceDN w:val="0"/>
                    <w:adjustRightInd w:val="0"/>
                    <w:ind w:left="21" w:leftChars="10" w:right="21" w:rightChars="10"/>
                    <w:jc w:val="center"/>
                    <w:rPr>
                      <w:b/>
                      <w:bCs/>
                      <w:color w:val="auto"/>
                      <w:szCs w:val="21"/>
                      <w:highlight w:val="none"/>
                    </w:rPr>
                  </w:pPr>
                  <w:r>
                    <w:rPr>
                      <w:rFonts w:hint="eastAsia"/>
                      <w:b/>
                      <w:bCs/>
                      <w:color w:val="auto"/>
                      <w:szCs w:val="21"/>
                      <w:highlight w:val="none"/>
                    </w:rPr>
                    <w:t>类别</w:t>
                  </w:r>
                </w:p>
              </w:tc>
              <w:tc>
                <w:tcPr>
                  <w:tcW w:w="703" w:type="dxa"/>
                  <w:vAlign w:val="center"/>
                </w:tcPr>
                <w:p>
                  <w:pPr>
                    <w:tabs>
                      <w:tab w:val="left" w:pos="360"/>
                    </w:tabs>
                    <w:autoSpaceDE w:val="0"/>
                    <w:autoSpaceDN w:val="0"/>
                    <w:adjustRightInd w:val="0"/>
                    <w:ind w:left="21" w:leftChars="10" w:right="21" w:rightChars="10"/>
                    <w:jc w:val="center"/>
                    <w:rPr>
                      <w:b/>
                      <w:bCs/>
                      <w:color w:val="auto"/>
                      <w:szCs w:val="21"/>
                      <w:highlight w:val="none"/>
                    </w:rPr>
                  </w:pPr>
                  <w:r>
                    <w:rPr>
                      <w:rFonts w:hint="eastAsia"/>
                      <w:b/>
                      <w:bCs/>
                      <w:color w:val="auto"/>
                      <w:szCs w:val="21"/>
                      <w:highlight w:val="none"/>
                    </w:rPr>
                    <w:t>项目</w:t>
                  </w:r>
                </w:p>
              </w:tc>
              <w:tc>
                <w:tcPr>
                  <w:tcW w:w="589" w:type="dxa"/>
                  <w:vAlign w:val="center"/>
                </w:tcPr>
                <w:p>
                  <w:pPr>
                    <w:tabs>
                      <w:tab w:val="left" w:pos="360"/>
                    </w:tabs>
                    <w:autoSpaceDE w:val="0"/>
                    <w:autoSpaceDN w:val="0"/>
                    <w:adjustRightInd w:val="0"/>
                    <w:ind w:left="21" w:leftChars="10" w:right="21" w:rightChars="10"/>
                    <w:jc w:val="center"/>
                    <w:rPr>
                      <w:b/>
                      <w:bCs/>
                      <w:color w:val="auto"/>
                      <w:szCs w:val="21"/>
                      <w:highlight w:val="none"/>
                    </w:rPr>
                  </w:pPr>
                  <w:r>
                    <w:rPr>
                      <w:rFonts w:hint="eastAsia"/>
                      <w:b/>
                      <w:bCs/>
                      <w:color w:val="auto"/>
                      <w:szCs w:val="21"/>
                      <w:highlight w:val="none"/>
                    </w:rPr>
                    <w:t>污染</w:t>
                  </w:r>
                </w:p>
                <w:p>
                  <w:pPr>
                    <w:tabs>
                      <w:tab w:val="left" w:pos="360"/>
                    </w:tabs>
                    <w:autoSpaceDE w:val="0"/>
                    <w:autoSpaceDN w:val="0"/>
                    <w:adjustRightInd w:val="0"/>
                    <w:ind w:left="21" w:leftChars="10" w:right="21" w:rightChars="10"/>
                    <w:jc w:val="center"/>
                    <w:rPr>
                      <w:b/>
                      <w:bCs/>
                      <w:color w:val="auto"/>
                      <w:szCs w:val="21"/>
                      <w:highlight w:val="none"/>
                    </w:rPr>
                  </w:pPr>
                  <w:r>
                    <w:rPr>
                      <w:rFonts w:hint="eastAsia"/>
                      <w:b/>
                      <w:bCs/>
                      <w:color w:val="auto"/>
                      <w:szCs w:val="21"/>
                      <w:highlight w:val="none"/>
                    </w:rPr>
                    <w:t>因子</w:t>
                  </w:r>
                </w:p>
              </w:tc>
              <w:tc>
                <w:tcPr>
                  <w:tcW w:w="2400" w:type="dxa"/>
                  <w:vAlign w:val="center"/>
                </w:tcPr>
                <w:p>
                  <w:pPr>
                    <w:tabs>
                      <w:tab w:val="left" w:pos="360"/>
                    </w:tabs>
                    <w:autoSpaceDE w:val="0"/>
                    <w:autoSpaceDN w:val="0"/>
                    <w:adjustRightInd w:val="0"/>
                    <w:ind w:left="21" w:leftChars="10" w:right="21" w:rightChars="10"/>
                    <w:jc w:val="center"/>
                    <w:rPr>
                      <w:b/>
                      <w:bCs/>
                      <w:color w:val="auto"/>
                      <w:szCs w:val="21"/>
                      <w:highlight w:val="none"/>
                    </w:rPr>
                  </w:pPr>
                  <w:r>
                    <w:rPr>
                      <w:rFonts w:hint="eastAsia"/>
                      <w:b/>
                      <w:bCs/>
                      <w:color w:val="auto"/>
                      <w:szCs w:val="21"/>
                      <w:highlight w:val="none"/>
                    </w:rPr>
                    <w:t>污染防治措施</w:t>
                  </w:r>
                </w:p>
              </w:tc>
              <w:tc>
                <w:tcPr>
                  <w:tcW w:w="761" w:type="dxa"/>
                  <w:vAlign w:val="center"/>
                </w:tcPr>
                <w:p>
                  <w:pPr>
                    <w:tabs>
                      <w:tab w:val="left" w:pos="360"/>
                    </w:tabs>
                    <w:autoSpaceDE w:val="0"/>
                    <w:autoSpaceDN w:val="0"/>
                    <w:adjustRightInd w:val="0"/>
                    <w:ind w:left="21" w:leftChars="10" w:right="21" w:rightChars="10"/>
                    <w:jc w:val="center"/>
                    <w:rPr>
                      <w:b/>
                      <w:bCs/>
                      <w:color w:val="auto"/>
                      <w:szCs w:val="21"/>
                      <w:highlight w:val="none"/>
                    </w:rPr>
                  </w:pPr>
                  <w:r>
                    <w:rPr>
                      <w:rFonts w:hint="eastAsia"/>
                      <w:b/>
                      <w:bCs/>
                      <w:color w:val="auto"/>
                      <w:szCs w:val="21"/>
                      <w:highlight w:val="none"/>
                    </w:rPr>
                    <w:t>产生量</w:t>
                  </w:r>
                </w:p>
              </w:tc>
              <w:tc>
                <w:tcPr>
                  <w:tcW w:w="1119" w:type="dxa"/>
                  <w:vAlign w:val="center"/>
                </w:tcPr>
                <w:p>
                  <w:pPr>
                    <w:tabs>
                      <w:tab w:val="left" w:pos="360"/>
                    </w:tabs>
                    <w:autoSpaceDE w:val="0"/>
                    <w:autoSpaceDN w:val="0"/>
                    <w:adjustRightInd w:val="0"/>
                    <w:ind w:left="21" w:leftChars="10" w:right="21" w:rightChars="10"/>
                    <w:jc w:val="center"/>
                    <w:rPr>
                      <w:b/>
                      <w:bCs/>
                      <w:color w:val="auto"/>
                      <w:szCs w:val="21"/>
                      <w:highlight w:val="none"/>
                    </w:rPr>
                  </w:pPr>
                  <w:r>
                    <w:rPr>
                      <w:rFonts w:hint="eastAsia"/>
                      <w:b/>
                      <w:bCs/>
                      <w:color w:val="auto"/>
                      <w:szCs w:val="21"/>
                      <w:highlight w:val="none"/>
                    </w:rPr>
                    <w:t>排放浓度</w:t>
                  </w:r>
                </w:p>
              </w:tc>
              <w:tc>
                <w:tcPr>
                  <w:tcW w:w="889" w:type="dxa"/>
                  <w:vAlign w:val="center"/>
                </w:tcPr>
                <w:p>
                  <w:pPr>
                    <w:tabs>
                      <w:tab w:val="left" w:pos="360"/>
                    </w:tabs>
                    <w:autoSpaceDE w:val="0"/>
                    <w:autoSpaceDN w:val="0"/>
                    <w:adjustRightInd w:val="0"/>
                    <w:ind w:left="21" w:leftChars="10" w:right="21" w:rightChars="10"/>
                    <w:jc w:val="center"/>
                    <w:rPr>
                      <w:b/>
                      <w:bCs/>
                      <w:color w:val="auto"/>
                      <w:szCs w:val="21"/>
                      <w:highlight w:val="none"/>
                    </w:rPr>
                  </w:pPr>
                  <w:r>
                    <w:rPr>
                      <w:rFonts w:hint="eastAsia"/>
                      <w:b/>
                      <w:bCs/>
                      <w:color w:val="auto"/>
                      <w:szCs w:val="21"/>
                      <w:highlight w:val="none"/>
                    </w:rPr>
                    <w:t>排放量</w:t>
                  </w:r>
                </w:p>
              </w:tc>
              <w:tc>
                <w:tcPr>
                  <w:tcW w:w="1706" w:type="dxa"/>
                  <w:vAlign w:val="center"/>
                </w:tcPr>
                <w:p>
                  <w:pPr>
                    <w:tabs>
                      <w:tab w:val="left" w:pos="360"/>
                    </w:tabs>
                    <w:autoSpaceDE w:val="0"/>
                    <w:autoSpaceDN w:val="0"/>
                    <w:adjustRightInd w:val="0"/>
                    <w:ind w:left="21" w:leftChars="10" w:right="21" w:rightChars="10"/>
                    <w:jc w:val="center"/>
                    <w:rPr>
                      <w:b/>
                      <w:bCs/>
                      <w:color w:val="auto"/>
                      <w:szCs w:val="21"/>
                      <w:highlight w:val="none"/>
                    </w:rPr>
                  </w:pPr>
                  <w:r>
                    <w:rPr>
                      <w:rFonts w:hint="eastAsia"/>
                      <w:b/>
                      <w:bCs/>
                      <w:color w:val="auto"/>
                      <w:szCs w:val="21"/>
                      <w:highlight w:val="none"/>
                    </w:rPr>
                    <w:t>排放标准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338" w:type="dxa"/>
                  <w:vMerge w:val="restart"/>
                  <w:vAlign w:val="center"/>
                </w:tcPr>
                <w:p>
                  <w:pPr>
                    <w:ind w:left="21" w:leftChars="10" w:right="21" w:rightChars="10"/>
                    <w:jc w:val="center"/>
                    <w:rPr>
                      <w:color w:val="auto"/>
                      <w:szCs w:val="21"/>
                      <w:highlight w:val="none"/>
                    </w:rPr>
                  </w:pPr>
                  <w:r>
                    <w:rPr>
                      <w:rFonts w:hint="eastAsia"/>
                      <w:color w:val="auto"/>
                      <w:szCs w:val="21"/>
                      <w:highlight w:val="none"/>
                    </w:rPr>
                    <w:t>废气</w:t>
                  </w:r>
                </w:p>
              </w:tc>
              <w:tc>
                <w:tcPr>
                  <w:tcW w:w="703" w:type="dxa"/>
                  <w:vMerge w:val="restart"/>
                  <w:tcMar>
                    <w:top w:w="0" w:type="dxa"/>
                    <w:left w:w="0" w:type="dxa"/>
                    <w:bottom w:w="0" w:type="dxa"/>
                    <w:right w:w="0" w:type="dxa"/>
                  </w:tcMar>
                  <w:vAlign w:val="center"/>
                </w:tcPr>
                <w:p>
                  <w:pPr>
                    <w:ind w:left="21" w:leftChars="10" w:right="21" w:rightChars="10"/>
                    <w:jc w:val="center"/>
                    <w:rPr>
                      <w:color w:val="auto"/>
                      <w:szCs w:val="21"/>
                      <w:highlight w:val="none"/>
                    </w:rPr>
                  </w:pPr>
                  <w:r>
                    <w:rPr>
                      <w:rFonts w:hint="eastAsia"/>
                      <w:color w:val="auto"/>
                      <w:szCs w:val="21"/>
                      <w:highlight w:val="none"/>
                    </w:rPr>
                    <w:t>锅炉烟囱</w:t>
                  </w:r>
                </w:p>
              </w:tc>
              <w:tc>
                <w:tcPr>
                  <w:tcW w:w="589" w:type="dxa"/>
                  <w:tcMar>
                    <w:top w:w="0" w:type="dxa"/>
                    <w:left w:w="0" w:type="dxa"/>
                    <w:bottom w:w="0" w:type="dxa"/>
                    <w:right w:w="0" w:type="dxa"/>
                  </w:tcMar>
                  <w:vAlign w:val="center"/>
                </w:tcPr>
                <w:p>
                  <w:pPr>
                    <w:ind w:left="21" w:leftChars="10" w:right="21" w:rightChars="10"/>
                    <w:jc w:val="center"/>
                    <w:rPr>
                      <w:color w:val="auto"/>
                      <w:szCs w:val="21"/>
                      <w:highlight w:val="none"/>
                    </w:rPr>
                  </w:pPr>
                  <w:r>
                    <w:rPr>
                      <w:color w:val="auto"/>
                      <w:szCs w:val="21"/>
                      <w:highlight w:val="none"/>
                    </w:rPr>
                    <w:t>SO</w:t>
                  </w:r>
                  <w:r>
                    <w:rPr>
                      <w:color w:val="auto"/>
                      <w:szCs w:val="21"/>
                      <w:highlight w:val="none"/>
                      <w:vertAlign w:val="subscript"/>
                    </w:rPr>
                    <w:t>2</w:t>
                  </w:r>
                </w:p>
              </w:tc>
              <w:tc>
                <w:tcPr>
                  <w:tcW w:w="2400" w:type="dxa"/>
                  <w:vMerge w:val="restart"/>
                  <w:tcMar>
                    <w:top w:w="0" w:type="dxa"/>
                    <w:left w:w="0" w:type="dxa"/>
                    <w:bottom w:w="0" w:type="dxa"/>
                    <w:right w:w="0" w:type="dxa"/>
                  </w:tcMar>
                  <w:vAlign w:val="center"/>
                </w:tcPr>
                <w:p>
                  <w:pPr>
                    <w:widowControl/>
                    <w:ind w:left="21" w:leftChars="10" w:right="21" w:rightChars="10"/>
                    <w:jc w:val="center"/>
                    <w:rPr>
                      <w:color w:val="auto"/>
                      <w:szCs w:val="21"/>
                      <w:highlight w:val="none"/>
                    </w:rPr>
                  </w:pPr>
                  <w:r>
                    <w:rPr>
                      <w:rFonts w:hint="eastAsia" w:hAnsi="宋体"/>
                      <w:bCs/>
                      <w:color w:val="auto"/>
                      <w:szCs w:val="21"/>
                      <w:highlight w:val="none"/>
                    </w:rPr>
                    <w:t>锅炉烟气通过</w:t>
                  </w:r>
                  <w:r>
                    <w:rPr>
                      <w:rFonts w:hint="eastAsia" w:hAnsi="宋体"/>
                      <w:bCs/>
                      <w:color w:val="auto"/>
                      <w:szCs w:val="21"/>
                      <w:highlight w:val="none"/>
                      <w:lang w:eastAsia="zh-CN"/>
                    </w:rPr>
                    <w:t>干式除尘器</w:t>
                  </w:r>
                  <w:r>
                    <w:rPr>
                      <w:rFonts w:hint="eastAsia" w:hAnsi="宋体"/>
                      <w:bCs/>
                      <w:color w:val="auto"/>
                      <w:szCs w:val="21"/>
                      <w:highlight w:val="none"/>
                      <w:lang w:val="en-US" w:eastAsia="zh-CN"/>
                    </w:rPr>
                    <w:t>+</w:t>
                  </w:r>
                  <w:r>
                    <w:rPr>
                      <w:rFonts w:hint="eastAsia" w:hAnsi="宋体"/>
                      <w:bCs/>
                      <w:color w:val="auto"/>
                      <w:szCs w:val="21"/>
                      <w:highlight w:val="none"/>
                    </w:rPr>
                    <w:t>布袋除尘（除尘效率为99</w:t>
                  </w:r>
                  <w:r>
                    <w:rPr>
                      <w:rFonts w:hint="eastAsia" w:hAnsi="宋体"/>
                      <w:bCs/>
                      <w:color w:val="auto"/>
                      <w:szCs w:val="21"/>
                      <w:highlight w:val="none"/>
                      <w:lang w:val="en-US" w:eastAsia="zh-CN"/>
                    </w:rPr>
                    <w:t>.9</w:t>
                  </w:r>
                  <w:r>
                    <w:rPr>
                      <w:rFonts w:hint="eastAsia" w:hAnsi="宋体"/>
                      <w:bCs/>
                      <w:color w:val="auto"/>
                      <w:szCs w:val="21"/>
                      <w:highlight w:val="none"/>
                    </w:rPr>
                    <w:t>%）、氧化镁脱硫（脱硫效率</w:t>
                  </w:r>
                  <w:r>
                    <w:rPr>
                      <w:rFonts w:hint="eastAsia" w:hAnsi="宋体"/>
                      <w:bCs/>
                      <w:color w:val="auto"/>
                      <w:szCs w:val="21"/>
                      <w:highlight w:val="none"/>
                      <w:lang w:val="en-US" w:eastAsia="zh-CN"/>
                    </w:rPr>
                    <w:t>8</w:t>
                  </w:r>
                  <w:r>
                    <w:rPr>
                      <w:rFonts w:hint="eastAsia" w:hAnsi="宋体"/>
                      <w:bCs/>
                      <w:color w:val="auto"/>
                      <w:szCs w:val="21"/>
                      <w:highlight w:val="none"/>
                    </w:rPr>
                    <w:t>0%）、SNCR脱硝（脱硝效率为</w:t>
                  </w:r>
                  <w:r>
                    <w:rPr>
                      <w:rFonts w:hint="eastAsia" w:hAnsi="宋体"/>
                      <w:bCs/>
                      <w:color w:val="auto"/>
                      <w:szCs w:val="21"/>
                      <w:highlight w:val="none"/>
                      <w:lang w:val="en-US" w:eastAsia="zh-CN"/>
                    </w:rPr>
                    <w:t>5</w:t>
                  </w:r>
                  <w:r>
                    <w:rPr>
                      <w:rFonts w:hint="eastAsia" w:hAnsi="宋体"/>
                      <w:bCs/>
                      <w:color w:val="auto"/>
                      <w:szCs w:val="21"/>
                      <w:highlight w:val="none"/>
                    </w:rPr>
                    <w:t>0%）</w:t>
                  </w:r>
                  <w:r>
                    <w:rPr>
                      <w:rFonts w:hint="eastAsia"/>
                      <w:bCs/>
                      <w:color w:val="auto"/>
                      <w:szCs w:val="21"/>
                      <w:highlight w:val="none"/>
                    </w:rPr>
                    <w:t>处理后通过现有</w:t>
                  </w:r>
                  <w:r>
                    <w:rPr>
                      <w:rFonts w:hint="eastAsia"/>
                      <w:bCs/>
                      <w:color w:val="auto"/>
                      <w:szCs w:val="21"/>
                      <w:highlight w:val="none"/>
                      <w:lang w:val="en-US" w:eastAsia="zh-CN"/>
                    </w:rPr>
                    <w:t>60</w:t>
                  </w:r>
                  <w:r>
                    <w:rPr>
                      <w:bCs/>
                      <w:color w:val="auto"/>
                      <w:szCs w:val="21"/>
                      <w:highlight w:val="none"/>
                    </w:rPr>
                    <w:t>m</w:t>
                  </w:r>
                  <w:r>
                    <w:rPr>
                      <w:rFonts w:hint="eastAsia" w:hAnsi="宋体"/>
                      <w:bCs/>
                      <w:color w:val="auto"/>
                      <w:szCs w:val="21"/>
                      <w:highlight w:val="none"/>
                    </w:rPr>
                    <w:t>高烟囱排放</w:t>
                  </w:r>
                </w:p>
              </w:tc>
              <w:tc>
                <w:tcPr>
                  <w:tcW w:w="761" w:type="dxa"/>
                  <w:vAlign w:val="center"/>
                </w:tcPr>
                <w:p>
                  <w:pPr>
                    <w:jc w:val="center"/>
                    <w:rPr>
                      <w:color w:val="auto"/>
                      <w:sz w:val="21"/>
                      <w:szCs w:val="21"/>
                      <w:highlight w:val="none"/>
                    </w:rPr>
                  </w:pPr>
                  <w:r>
                    <w:rPr>
                      <w:rFonts w:hint="eastAsia" w:cs="Times New Roman"/>
                      <w:bCs w:val="0"/>
                      <w:color w:val="auto"/>
                      <w:sz w:val="21"/>
                      <w:szCs w:val="21"/>
                      <w:highlight w:val="none"/>
                      <w:lang w:val="en-US" w:eastAsia="zh-CN"/>
                    </w:rPr>
                    <w:t>49.37</w:t>
                  </w:r>
                  <w:r>
                    <w:rPr>
                      <w:rFonts w:hint="default" w:ascii="Times New Roman" w:hAnsi="Times New Roman" w:cs="Times New Roman"/>
                      <w:color w:val="auto"/>
                      <w:sz w:val="21"/>
                      <w:szCs w:val="21"/>
                      <w:highlight w:val="none"/>
                    </w:rPr>
                    <w:t>t/a</w:t>
                  </w:r>
                </w:p>
              </w:tc>
              <w:tc>
                <w:tcPr>
                  <w:tcW w:w="1119" w:type="dxa"/>
                  <w:vAlign w:val="center"/>
                </w:tcPr>
                <w:p>
                  <w:pPr>
                    <w:jc w:val="center"/>
                    <w:rPr>
                      <w:color w:val="auto"/>
                      <w:sz w:val="21"/>
                      <w:szCs w:val="21"/>
                      <w:highlight w:val="none"/>
                    </w:rPr>
                  </w:pPr>
                  <w:r>
                    <w:rPr>
                      <w:rFonts w:hint="eastAsia" w:cs="Times New Roman"/>
                      <w:bCs w:val="0"/>
                      <w:color w:val="auto"/>
                      <w:sz w:val="21"/>
                      <w:szCs w:val="21"/>
                      <w:highlight w:val="none"/>
                      <w:lang w:val="en-US" w:eastAsia="zh-CN"/>
                    </w:rPr>
                    <w:t>80.28</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c>
                <w:tcPr>
                  <w:tcW w:w="889" w:type="dxa"/>
                  <w:vAlign w:val="center"/>
                </w:tcPr>
                <w:p>
                  <w:pPr>
                    <w:jc w:val="center"/>
                    <w:rPr>
                      <w:color w:val="auto"/>
                      <w:sz w:val="21"/>
                      <w:szCs w:val="21"/>
                      <w:highlight w:val="none"/>
                    </w:rPr>
                  </w:pPr>
                  <w:r>
                    <w:rPr>
                      <w:rFonts w:hint="eastAsia" w:cs="Times New Roman"/>
                      <w:bCs w:val="0"/>
                      <w:color w:val="auto"/>
                      <w:sz w:val="21"/>
                      <w:szCs w:val="21"/>
                      <w:highlight w:val="none"/>
                      <w:lang w:val="en-US" w:eastAsia="zh-CN"/>
                    </w:rPr>
                    <w:t>9.874</w:t>
                  </w:r>
                  <w:r>
                    <w:rPr>
                      <w:rFonts w:hint="default" w:ascii="Times New Roman" w:hAnsi="Times New Roman" w:cs="Times New Roman"/>
                      <w:color w:val="auto"/>
                      <w:sz w:val="21"/>
                      <w:szCs w:val="21"/>
                      <w:highlight w:val="none"/>
                    </w:rPr>
                    <w:t>t/a</w:t>
                  </w:r>
                </w:p>
              </w:tc>
              <w:tc>
                <w:tcPr>
                  <w:tcW w:w="1706" w:type="dxa"/>
                  <w:vMerge w:val="restart"/>
                  <w:tcMar>
                    <w:top w:w="0" w:type="dxa"/>
                    <w:left w:w="0" w:type="dxa"/>
                    <w:bottom w:w="0" w:type="dxa"/>
                    <w:right w:w="0" w:type="dxa"/>
                  </w:tcMar>
                  <w:vAlign w:val="center"/>
                </w:tcPr>
                <w:p>
                  <w:pPr>
                    <w:ind w:left="21" w:leftChars="10" w:right="21" w:rightChars="10"/>
                    <w:jc w:val="center"/>
                    <w:rPr>
                      <w:color w:val="auto"/>
                      <w:szCs w:val="21"/>
                      <w:highlight w:val="none"/>
                    </w:rPr>
                  </w:pPr>
                  <w:r>
                    <w:rPr>
                      <w:rFonts w:hint="eastAsia" w:hAnsi="宋体"/>
                      <w:color w:val="auto"/>
                      <w:spacing w:val="-11"/>
                      <w:szCs w:val="21"/>
                      <w:highlight w:val="none"/>
                    </w:rPr>
                    <w:t>《锅炉大气污染物排放标准》（</w:t>
                  </w:r>
                  <w:r>
                    <w:rPr>
                      <w:rFonts w:hAnsi="宋体"/>
                      <w:color w:val="auto"/>
                      <w:spacing w:val="-11"/>
                      <w:szCs w:val="21"/>
                      <w:highlight w:val="none"/>
                    </w:rPr>
                    <w:t>GB13271-2014</w:t>
                  </w:r>
                  <w:r>
                    <w:rPr>
                      <w:rFonts w:hint="eastAsia" w:hAnsi="宋体"/>
                      <w:color w:val="auto"/>
                      <w:spacing w:val="-11"/>
                      <w:szCs w:val="21"/>
                      <w:highlight w:val="none"/>
                    </w:rPr>
                    <w:t>）表</w:t>
                  </w:r>
                  <w:r>
                    <w:rPr>
                      <w:rFonts w:hint="eastAsia"/>
                      <w:color w:val="auto"/>
                      <w:spacing w:val="-11"/>
                      <w:szCs w:val="21"/>
                      <w:highlight w:val="none"/>
                      <w:lang w:val="en-US" w:eastAsia="zh-CN"/>
                    </w:rPr>
                    <w:t>2</w:t>
                  </w:r>
                  <w:r>
                    <w:rPr>
                      <w:rFonts w:hint="eastAsia" w:hAnsi="宋体"/>
                      <w:color w:val="auto"/>
                      <w:spacing w:val="-11"/>
                      <w:szCs w:val="21"/>
                      <w:highlight w:val="none"/>
                    </w:rPr>
                    <w:t>排放标准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338" w:type="dxa"/>
                  <w:vMerge w:val="continue"/>
                  <w:vAlign w:val="center"/>
                </w:tcPr>
                <w:p>
                  <w:pPr>
                    <w:widowControl/>
                    <w:jc w:val="center"/>
                    <w:rPr>
                      <w:color w:val="auto"/>
                      <w:szCs w:val="21"/>
                      <w:highlight w:val="none"/>
                    </w:rPr>
                  </w:pPr>
                </w:p>
              </w:tc>
              <w:tc>
                <w:tcPr>
                  <w:tcW w:w="703" w:type="dxa"/>
                  <w:vMerge w:val="continue"/>
                  <w:vAlign w:val="center"/>
                </w:tcPr>
                <w:p>
                  <w:pPr>
                    <w:widowControl/>
                    <w:jc w:val="center"/>
                    <w:rPr>
                      <w:color w:val="auto"/>
                      <w:szCs w:val="21"/>
                      <w:highlight w:val="none"/>
                    </w:rPr>
                  </w:pPr>
                </w:p>
              </w:tc>
              <w:tc>
                <w:tcPr>
                  <w:tcW w:w="589" w:type="dxa"/>
                  <w:tcMar>
                    <w:top w:w="0" w:type="dxa"/>
                    <w:left w:w="0" w:type="dxa"/>
                    <w:bottom w:w="0" w:type="dxa"/>
                    <w:right w:w="0" w:type="dxa"/>
                  </w:tcMar>
                  <w:vAlign w:val="center"/>
                </w:tcPr>
                <w:p>
                  <w:pPr>
                    <w:ind w:left="21" w:leftChars="10" w:right="21" w:rightChars="10"/>
                    <w:jc w:val="center"/>
                    <w:rPr>
                      <w:color w:val="auto"/>
                      <w:szCs w:val="21"/>
                      <w:highlight w:val="none"/>
                    </w:rPr>
                  </w:pPr>
                  <w:r>
                    <w:rPr>
                      <w:color w:val="auto"/>
                      <w:szCs w:val="21"/>
                      <w:highlight w:val="none"/>
                    </w:rPr>
                    <w:t>NO</w:t>
                  </w:r>
                  <w:r>
                    <w:rPr>
                      <w:color w:val="auto"/>
                      <w:szCs w:val="21"/>
                      <w:highlight w:val="none"/>
                      <w:vertAlign w:val="subscript"/>
                    </w:rPr>
                    <w:t>x</w:t>
                  </w:r>
                </w:p>
              </w:tc>
              <w:tc>
                <w:tcPr>
                  <w:tcW w:w="2400" w:type="dxa"/>
                  <w:vMerge w:val="continue"/>
                  <w:vAlign w:val="center"/>
                </w:tcPr>
                <w:p>
                  <w:pPr>
                    <w:widowControl/>
                    <w:jc w:val="center"/>
                    <w:rPr>
                      <w:color w:val="auto"/>
                      <w:szCs w:val="21"/>
                      <w:highlight w:val="none"/>
                    </w:rPr>
                  </w:pPr>
                </w:p>
              </w:tc>
              <w:tc>
                <w:tcPr>
                  <w:tcW w:w="761" w:type="dxa"/>
                  <w:vAlign w:val="center"/>
                </w:tcPr>
                <w:p>
                  <w:pPr>
                    <w:jc w:val="center"/>
                    <w:rPr>
                      <w:color w:val="auto"/>
                      <w:sz w:val="21"/>
                      <w:szCs w:val="21"/>
                      <w:highlight w:val="none"/>
                    </w:rPr>
                  </w:pPr>
                  <w:r>
                    <w:rPr>
                      <w:rFonts w:hint="eastAsia" w:cs="Times New Roman"/>
                      <w:bCs w:val="0"/>
                      <w:color w:val="auto"/>
                      <w:sz w:val="21"/>
                      <w:szCs w:val="21"/>
                      <w:highlight w:val="none"/>
                      <w:lang w:val="en-US" w:eastAsia="zh-CN"/>
                    </w:rPr>
                    <w:t>22.14</w:t>
                  </w:r>
                  <w:r>
                    <w:rPr>
                      <w:rFonts w:hint="default" w:ascii="Times New Roman" w:hAnsi="Times New Roman" w:cs="Times New Roman"/>
                      <w:color w:val="auto"/>
                      <w:sz w:val="21"/>
                      <w:szCs w:val="21"/>
                      <w:highlight w:val="none"/>
                    </w:rPr>
                    <w:t>t/a</w:t>
                  </w:r>
                </w:p>
              </w:tc>
              <w:tc>
                <w:tcPr>
                  <w:tcW w:w="1119" w:type="dxa"/>
                  <w:vAlign w:val="center"/>
                </w:tcPr>
                <w:p>
                  <w:pPr>
                    <w:jc w:val="center"/>
                    <w:rPr>
                      <w:color w:val="auto"/>
                      <w:sz w:val="21"/>
                      <w:szCs w:val="21"/>
                      <w:highlight w:val="none"/>
                    </w:rPr>
                  </w:pPr>
                  <w:r>
                    <w:rPr>
                      <w:rFonts w:hint="eastAsia" w:cs="Times New Roman"/>
                      <w:bCs w:val="0"/>
                      <w:color w:val="auto"/>
                      <w:sz w:val="21"/>
                      <w:szCs w:val="21"/>
                      <w:highlight w:val="none"/>
                      <w:lang w:val="en-US" w:eastAsia="zh-CN"/>
                    </w:rPr>
                    <w:t>90</w:t>
                  </w:r>
                  <w:r>
                    <w:rPr>
                      <w:rFonts w:hint="default" w:ascii="Times New Roman" w:hAnsi="Times New Roman" w:cs="Times New Roman"/>
                      <w:color w:val="auto"/>
                      <w:sz w:val="21"/>
                      <w:szCs w:val="21"/>
                      <w:highlight w:val="none"/>
                    </w:rPr>
                    <w:t>mg/m</w:t>
                  </w:r>
                  <w:r>
                    <w:rPr>
                      <w:rFonts w:hint="default" w:ascii="Times New Roman" w:hAnsi="Times New Roman" w:cs="Times New Roman"/>
                      <w:color w:val="auto"/>
                      <w:sz w:val="21"/>
                      <w:szCs w:val="21"/>
                      <w:highlight w:val="none"/>
                      <w:vertAlign w:val="superscript"/>
                    </w:rPr>
                    <w:t>3</w:t>
                  </w:r>
                </w:p>
              </w:tc>
              <w:tc>
                <w:tcPr>
                  <w:tcW w:w="889" w:type="dxa"/>
                  <w:vAlign w:val="center"/>
                </w:tcPr>
                <w:p>
                  <w:pPr>
                    <w:jc w:val="center"/>
                    <w:rPr>
                      <w:color w:val="auto"/>
                      <w:sz w:val="21"/>
                      <w:szCs w:val="21"/>
                      <w:highlight w:val="none"/>
                    </w:rPr>
                  </w:pPr>
                  <w:r>
                    <w:rPr>
                      <w:rFonts w:hint="eastAsia" w:cs="Times New Roman"/>
                      <w:bCs w:val="0"/>
                      <w:color w:val="auto"/>
                      <w:sz w:val="21"/>
                      <w:szCs w:val="21"/>
                      <w:highlight w:val="none"/>
                      <w:lang w:val="en-US" w:eastAsia="zh-CN"/>
                    </w:rPr>
                    <w:t>11.07</w:t>
                  </w:r>
                  <w:r>
                    <w:rPr>
                      <w:rFonts w:hint="default" w:ascii="Times New Roman" w:hAnsi="Times New Roman" w:cs="Times New Roman"/>
                      <w:color w:val="auto"/>
                      <w:sz w:val="21"/>
                      <w:szCs w:val="21"/>
                      <w:highlight w:val="none"/>
                    </w:rPr>
                    <w:t>t/a</w:t>
                  </w:r>
                </w:p>
              </w:tc>
              <w:tc>
                <w:tcPr>
                  <w:tcW w:w="1706" w:type="dxa"/>
                  <w:vMerge w:val="continue"/>
                  <w:vAlign w:val="center"/>
                </w:tcPr>
                <w:p>
                  <w:pPr>
                    <w:widowControl/>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338" w:type="dxa"/>
                  <w:vMerge w:val="continue"/>
                  <w:vAlign w:val="center"/>
                </w:tcPr>
                <w:p>
                  <w:pPr>
                    <w:widowControl/>
                    <w:jc w:val="center"/>
                    <w:rPr>
                      <w:color w:val="auto"/>
                      <w:szCs w:val="21"/>
                      <w:highlight w:val="none"/>
                    </w:rPr>
                  </w:pPr>
                </w:p>
              </w:tc>
              <w:tc>
                <w:tcPr>
                  <w:tcW w:w="703" w:type="dxa"/>
                  <w:vMerge w:val="continue"/>
                  <w:vAlign w:val="center"/>
                </w:tcPr>
                <w:p>
                  <w:pPr>
                    <w:widowControl/>
                    <w:jc w:val="center"/>
                    <w:rPr>
                      <w:color w:val="auto"/>
                      <w:szCs w:val="21"/>
                      <w:highlight w:val="none"/>
                    </w:rPr>
                  </w:pPr>
                </w:p>
              </w:tc>
              <w:tc>
                <w:tcPr>
                  <w:tcW w:w="589" w:type="dxa"/>
                  <w:tcMar>
                    <w:top w:w="0" w:type="dxa"/>
                    <w:left w:w="0" w:type="dxa"/>
                    <w:bottom w:w="0" w:type="dxa"/>
                    <w:right w:w="0" w:type="dxa"/>
                  </w:tcMar>
                  <w:vAlign w:val="center"/>
                </w:tcPr>
                <w:p>
                  <w:pPr>
                    <w:jc w:val="center"/>
                    <w:rPr>
                      <w:rFonts w:hint="default" w:ascii="Times New Roman" w:hAnsi="Times New Roman" w:eastAsia="宋体" w:cs="Times New Roman"/>
                      <w:color w:val="FF0000"/>
                      <w:kern w:val="2"/>
                      <w:sz w:val="21"/>
                      <w:szCs w:val="21"/>
                      <w:highlight w:val="none"/>
                      <w:lang w:val="en-US" w:eastAsia="zh-CN" w:bidi="ar-SA"/>
                    </w:rPr>
                  </w:pPr>
                  <w:r>
                    <w:rPr>
                      <w:rFonts w:hint="eastAsia" w:cs="Times New Roman"/>
                      <w:color w:val="FF0000"/>
                      <w:sz w:val="21"/>
                      <w:szCs w:val="21"/>
                      <w:highlight w:val="none"/>
                      <w:lang w:eastAsia="zh-CN"/>
                    </w:rPr>
                    <w:t>汞及其化合物</w:t>
                  </w:r>
                </w:p>
              </w:tc>
              <w:tc>
                <w:tcPr>
                  <w:tcW w:w="2400" w:type="dxa"/>
                  <w:vMerge w:val="continue"/>
                  <w:vAlign w:val="center"/>
                </w:tcPr>
                <w:p>
                  <w:pPr>
                    <w:jc w:val="center"/>
                    <w:rPr>
                      <w:rFonts w:hint="default" w:ascii="Times New Roman" w:hAnsi="Times New Roman" w:eastAsia="宋体" w:cs="Times New Roman"/>
                      <w:color w:val="FF0000"/>
                      <w:kern w:val="2"/>
                      <w:sz w:val="21"/>
                      <w:szCs w:val="21"/>
                      <w:highlight w:val="none"/>
                      <w:lang w:val="en-US" w:eastAsia="zh-CN" w:bidi="ar-SA"/>
                    </w:rPr>
                  </w:pPr>
                </w:p>
              </w:tc>
              <w:tc>
                <w:tcPr>
                  <w:tcW w:w="761" w:type="dxa"/>
                  <w:vAlign w:val="center"/>
                </w:tcPr>
                <w:p>
                  <w:pPr>
                    <w:jc w:val="center"/>
                    <w:rPr>
                      <w:rFonts w:hint="eastAsia"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0.0013</w:t>
                  </w:r>
                  <w:r>
                    <w:rPr>
                      <w:rFonts w:hint="default" w:ascii="Times New Roman" w:hAnsi="Times New Roman" w:cs="Times New Roman"/>
                      <w:color w:val="FF0000"/>
                      <w:sz w:val="21"/>
                      <w:szCs w:val="21"/>
                      <w:highlight w:val="none"/>
                    </w:rPr>
                    <w:t>t/a</w:t>
                  </w:r>
                </w:p>
              </w:tc>
              <w:tc>
                <w:tcPr>
                  <w:tcW w:w="1119" w:type="dxa"/>
                  <w:vAlign w:val="center"/>
                </w:tcPr>
                <w:p>
                  <w:pPr>
                    <w:jc w:val="center"/>
                    <w:rPr>
                      <w:rFonts w:hint="eastAsia"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0.007</w:t>
                  </w:r>
                  <w:r>
                    <w:rPr>
                      <w:rFonts w:hint="default" w:ascii="Times New Roman" w:hAnsi="Times New Roman" w:cs="Times New Roman"/>
                      <w:color w:val="FF0000"/>
                      <w:sz w:val="21"/>
                      <w:szCs w:val="21"/>
                      <w:highlight w:val="none"/>
                    </w:rPr>
                    <w:t>mg/m</w:t>
                  </w:r>
                  <w:r>
                    <w:rPr>
                      <w:rFonts w:hint="default" w:ascii="Times New Roman" w:hAnsi="Times New Roman" w:cs="Times New Roman"/>
                      <w:color w:val="FF0000"/>
                      <w:sz w:val="21"/>
                      <w:szCs w:val="21"/>
                      <w:highlight w:val="none"/>
                      <w:vertAlign w:val="superscript"/>
                    </w:rPr>
                    <w:t>3</w:t>
                  </w:r>
                </w:p>
              </w:tc>
              <w:tc>
                <w:tcPr>
                  <w:tcW w:w="889" w:type="dxa"/>
                  <w:vAlign w:val="center"/>
                </w:tcPr>
                <w:p>
                  <w:pPr>
                    <w:jc w:val="center"/>
                    <w:rPr>
                      <w:rFonts w:hint="eastAsia"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0.0009</w:t>
                  </w:r>
                  <w:r>
                    <w:rPr>
                      <w:rFonts w:hint="default" w:ascii="Times New Roman" w:hAnsi="Times New Roman" w:cs="Times New Roman"/>
                      <w:color w:val="FF0000"/>
                      <w:sz w:val="21"/>
                      <w:szCs w:val="21"/>
                      <w:highlight w:val="none"/>
                    </w:rPr>
                    <w:t>t/a</w:t>
                  </w:r>
                </w:p>
              </w:tc>
              <w:tc>
                <w:tcPr>
                  <w:tcW w:w="1706" w:type="dxa"/>
                  <w:vMerge w:val="continue"/>
                  <w:vAlign w:val="center"/>
                </w:tcPr>
                <w:p>
                  <w:pPr>
                    <w:widowControl/>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338" w:type="dxa"/>
                  <w:vMerge w:val="continue"/>
                  <w:vAlign w:val="center"/>
                </w:tcPr>
                <w:p>
                  <w:pPr>
                    <w:widowControl/>
                    <w:jc w:val="center"/>
                    <w:rPr>
                      <w:color w:val="auto"/>
                      <w:szCs w:val="21"/>
                      <w:highlight w:val="none"/>
                    </w:rPr>
                  </w:pPr>
                </w:p>
              </w:tc>
              <w:tc>
                <w:tcPr>
                  <w:tcW w:w="703" w:type="dxa"/>
                  <w:vMerge w:val="continue"/>
                  <w:vAlign w:val="center"/>
                </w:tcPr>
                <w:p>
                  <w:pPr>
                    <w:widowControl/>
                    <w:jc w:val="center"/>
                    <w:rPr>
                      <w:color w:val="auto"/>
                      <w:szCs w:val="21"/>
                      <w:highlight w:val="none"/>
                    </w:rPr>
                  </w:pPr>
                </w:p>
              </w:tc>
              <w:tc>
                <w:tcPr>
                  <w:tcW w:w="589" w:type="dxa"/>
                  <w:tcMar>
                    <w:top w:w="0" w:type="dxa"/>
                    <w:left w:w="0" w:type="dxa"/>
                    <w:bottom w:w="0" w:type="dxa"/>
                    <w:right w:w="0" w:type="dxa"/>
                  </w:tcMar>
                  <w:vAlign w:val="center"/>
                </w:tcPr>
                <w:p>
                  <w:pPr>
                    <w:ind w:left="21" w:leftChars="10" w:right="21" w:rightChars="10"/>
                    <w:jc w:val="center"/>
                    <w:rPr>
                      <w:color w:val="FF0000"/>
                      <w:szCs w:val="21"/>
                      <w:highlight w:val="none"/>
                    </w:rPr>
                  </w:pPr>
                  <w:r>
                    <w:rPr>
                      <w:rFonts w:hint="eastAsia"/>
                      <w:color w:val="FF0000"/>
                      <w:szCs w:val="21"/>
                      <w:highlight w:val="none"/>
                    </w:rPr>
                    <w:t>颗粒物</w:t>
                  </w:r>
                </w:p>
              </w:tc>
              <w:tc>
                <w:tcPr>
                  <w:tcW w:w="2400" w:type="dxa"/>
                  <w:vMerge w:val="continue"/>
                  <w:vAlign w:val="center"/>
                </w:tcPr>
                <w:p>
                  <w:pPr>
                    <w:widowControl/>
                    <w:jc w:val="center"/>
                    <w:rPr>
                      <w:color w:val="FF0000"/>
                      <w:szCs w:val="21"/>
                      <w:highlight w:val="none"/>
                    </w:rPr>
                  </w:pPr>
                </w:p>
              </w:tc>
              <w:tc>
                <w:tcPr>
                  <w:tcW w:w="761" w:type="dxa"/>
                  <w:vAlign w:val="center"/>
                </w:tcPr>
                <w:p>
                  <w:pPr>
                    <w:jc w:val="center"/>
                    <w:rPr>
                      <w:color w:val="FF0000"/>
                      <w:sz w:val="21"/>
                      <w:szCs w:val="21"/>
                      <w:highlight w:val="none"/>
                    </w:rPr>
                  </w:pPr>
                  <w:r>
                    <w:rPr>
                      <w:rFonts w:hint="eastAsia" w:cs="Times New Roman"/>
                      <w:bCs w:val="0"/>
                      <w:color w:val="FF0000"/>
                      <w:sz w:val="21"/>
                      <w:szCs w:val="21"/>
                      <w:highlight w:val="none"/>
                      <w:lang w:val="en-US" w:eastAsia="zh-CN"/>
                    </w:rPr>
                    <w:t>1457</w:t>
                  </w:r>
                  <w:r>
                    <w:rPr>
                      <w:rFonts w:hint="default" w:ascii="Times New Roman" w:hAnsi="Times New Roman" w:cs="Times New Roman"/>
                      <w:color w:val="FF0000"/>
                      <w:sz w:val="21"/>
                      <w:szCs w:val="21"/>
                      <w:highlight w:val="none"/>
                    </w:rPr>
                    <w:t>t/a</w:t>
                  </w:r>
                </w:p>
              </w:tc>
              <w:tc>
                <w:tcPr>
                  <w:tcW w:w="1119" w:type="dxa"/>
                  <w:vAlign w:val="center"/>
                </w:tcPr>
                <w:p>
                  <w:pPr>
                    <w:jc w:val="center"/>
                    <w:rPr>
                      <w:color w:val="FF0000"/>
                      <w:sz w:val="21"/>
                      <w:szCs w:val="21"/>
                      <w:highlight w:val="none"/>
                    </w:rPr>
                  </w:pPr>
                  <w:r>
                    <w:rPr>
                      <w:rFonts w:hint="eastAsia" w:cs="Times New Roman"/>
                      <w:bCs w:val="0"/>
                      <w:color w:val="FF0000"/>
                      <w:sz w:val="21"/>
                      <w:szCs w:val="21"/>
                      <w:highlight w:val="none"/>
                      <w:lang w:val="en-US" w:eastAsia="zh-CN"/>
                    </w:rPr>
                    <w:t>11.85</w:t>
                  </w:r>
                  <w:r>
                    <w:rPr>
                      <w:rFonts w:hint="default" w:ascii="Times New Roman" w:hAnsi="Times New Roman" w:cs="Times New Roman"/>
                      <w:color w:val="FF0000"/>
                      <w:sz w:val="21"/>
                      <w:szCs w:val="21"/>
                      <w:highlight w:val="none"/>
                    </w:rPr>
                    <w:t>mg/m</w:t>
                  </w:r>
                  <w:r>
                    <w:rPr>
                      <w:rFonts w:hint="default" w:ascii="Times New Roman" w:hAnsi="Times New Roman" w:cs="Times New Roman"/>
                      <w:color w:val="FF0000"/>
                      <w:sz w:val="21"/>
                      <w:szCs w:val="21"/>
                      <w:highlight w:val="none"/>
                      <w:vertAlign w:val="superscript"/>
                    </w:rPr>
                    <w:t>3</w:t>
                  </w:r>
                </w:p>
              </w:tc>
              <w:tc>
                <w:tcPr>
                  <w:tcW w:w="889" w:type="dxa"/>
                  <w:vAlign w:val="center"/>
                </w:tcPr>
                <w:p>
                  <w:pPr>
                    <w:jc w:val="center"/>
                    <w:rPr>
                      <w:color w:val="FF0000"/>
                      <w:sz w:val="21"/>
                      <w:szCs w:val="21"/>
                      <w:highlight w:val="none"/>
                    </w:rPr>
                  </w:pPr>
                  <w:r>
                    <w:rPr>
                      <w:rFonts w:hint="eastAsia" w:cs="Times New Roman"/>
                      <w:bCs w:val="0"/>
                      <w:color w:val="FF0000"/>
                      <w:sz w:val="21"/>
                      <w:szCs w:val="21"/>
                      <w:highlight w:val="none"/>
                      <w:lang w:val="en-US" w:eastAsia="zh-CN"/>
                    </w:rPr>
                    <w:t>1.457</w:t>
                  </w:r>
                  <w:r>
                    <w:rPr>
                      <w:rFonts w:hint="default" w:ascii="Times New Roman" w:hAnsi="Times New Roman" w:cs="Times New Roman"/>
                      <w:color w:val="FF0000"/>
                      <w:sz w:val="21"/>
                      <w:szCs w:val="21"/>
                      <w:highlight w:val="none"/>
                    </w:rPr>
                    <w:t>t/a</w:t>
                  </w:r>
                </w:p>
              </w:tc>
              <w:tc>
                <w:tcPr>
                  <w:tcW w:w="1706" w:type="dxa"/>
                  <w:vMerge w:val="continue"/>
                  <w:vAlign w:val="center"/>
                </w:tcPr>
                <w:p>
                  <w:pPr>
                    <w:widowControl/>
                    <w:jc w:val="center"/>
                    <w:rPr>
                      <w:color w:val="auto"/>
                      <w:szCs w:val="21"/>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338" w:type="dxa"/>
                  <w:vMerge w:val="continue"/>
                  <w:vAlign w:val="center"/>
                </w:tcPr>
                <w:p>
                  <w:pPr>
                    <w:widowControl/>
                    <w:jc w:val="center"/>
                    <w:rPr>
                      <w:color w:val="auto"/>
                      <w:szCs w:val="21"/>
                      <w:highlight w:val="none"/>
                    </w:rPr>
                  </w:pPr>
                </w:p>
              </w:tc>
              <w:tc>
                <w:tcPr>
                  <w:tcW w:w="703" w:type="dxa"/>
                  <w:vAlign w:val="center"/>
                </w:tcPr>
                <w:p>
                  <w:pPr>
                    <w:widowControl/>
                    <w:jc w:val="center"/>
                    <w:rPr>
                      <w:rFonts w:hint="default" w:eastAsia="宋体"/>
                      <w:color w:val="auto"/>
                      <w:szCs w:val="21"/>
                      <w:highlight w:val="none"/>
                      <w:lang w:val="en-US" w:eastAsia="zh-CN"/>
                    </w:rPr>
                  </w:pPr>
                  <w:r>
                    <w:rPr>
                      <w:rFonts w:hint="eastAsia"/>
                      <w:color w:val="auto"/>
                      <w:szCs w:val="21"/>
                      <w:highlight w:val="none"/>
                      <w:lang w:val="en-US" w:eastAsia="zh-CN"/>
                    </w:rPr>
                    <w:t>SNCR系统</w:t>
                  </w:r>
                </w:p>
              </w:tc>
              <w:tc>
                <w:tcPr>
                  <w:tcW w:w="589" w:type="dxa"/>
                  <w:tcMar>
                    <w:top w:w="0" w:type="dxa"/>
                    <w:left w:w="0" w:type="dxa"/>
                    <w:bottom w:w="0" w:type="dxa"/>
                    <w:right w:w="0" w:type="dxa"/>
                  </w:tcMar>
                  <w:vAlign w:val="center"/>
                </w:tcPr>
                <w:p>
                  <w:pPr>
                    <w:ind w:left="21" w:leftChars="10" w:right="21" w:rightChars="10"/>
                    <w:jc w:val="center"/>
                    <w:rPr>
                      <w:rFonts w:hint="eastAsia" w:eastAsia="宋体"/>
                      <w:color w:val="FF0000"/>
                      <w:szCs w:val="21"/>
                      <w:highlight w:val="none"/>
                      <w:lang w:eastAsia="zh-CN"/>
                    </w:rPr>
                  </w:pPr>
                  <w:r>
                    <w:rPr>
                      <w:rFonts w:hint="eastAsia"/>
                      <w:color w:val="FF0000"/>
                      <w:szCs w:val="21"/>
                      <w:highlight w:val="none"/>
                      <w:lang w:eastAsia="zh-CN"/>
                    </w:rPr>
                    <w:t>氨</w:t>
                  </w:r>
                </w:p>
              </w:tc>
              <w:tc>
                <w:tcPr>
                  <w:tcW w:w="2400" w:type="dxa"/>
                  <w:vMerge w:val="continue"/>
                  <w:vAlign w:val="center"/>
                </w:tcPr>
                <w:p>
                  <w:pPr>
                    <w:widowControl/>
                    <w:jc w:val="center"/>
                    <w:rPr>
                      <w:color w:val="FF0000"/>
                      <w:szCs w:val="21"/>
                      <w:highlight w:val="none"/>
                    </w:rPr>
                  </w:pPr>
                </w:p>
              </w:tc>
              <w:tc>
                <w:tcPr>
                  <w:tcW w:w="761" w:type="dxa"/>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w:t>
                  </w:r>
                </w:p>
              </w:tc>
              <w:tc>
                <w:tcPr>
                  <w:tcW w:w="1119" w:type="dxa"/>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2.28</w:t>
                  </w:r>
                  <w:r>
                    <w:rPr>
                      <w:rFonts w:hint="default" w:ascii="Times New Roman" w:hAnsi="Times New Roman" w:cs="Times New Roman"/>
                      <w:color w:val="FF0000"/>
                      <w:sz w:val="24"/>
                      <w:szCs w:val="24"/>
                      <w:highlight w:val="none"/>
                    </w:rPr>
                    <w:t>mg/m</w:t>
                  </w:r>
                  <w:r>
                    <w:rPr>
                      <w:rFonts w:hint="default" w:ascii="Times New Roman" w:hAnsi="Times New Roman" w:cs="Times New Roman"/>
                      <w:color w:val="FF0000"/>
                      <w:sz w:val="24"/>
                      <w:szCs w:val="24"/>
                      <w:highlight w:val="none"/>
                      <w:vertAlign w:val="superscript"/>
                    </w:rPr>
                    <w:t>3</w:t>
                  </w:r>
                </w:p>
              </w:tc>
              <w:tc>
                <w:tcPr>
                  <w:tcW w:w="889" w:type="dxa"/>
                  <w:vAlign w:val="center"/>
                </w:tcPr>
                <w:p>
                  <w:pPr>
                    <w:jc w:val="center"/>
                    <w:rPr>
                      <w:rFonts w:hint="default" w:cs="Times New Roman"/>
                      <w:bCs w:val="0"/>
                      <w:color w:val="FF0000"/>
                      <w:sz w:val="21"/>
                      <w:szCs w:val="21"/>
                      <w:highlight w:val="none"/>
                      <w:lang w:val="en-US" w:eastAsia="zh-CN"/>
                    </w:rPr>
                  </w:pPr>
                  <w:r>
                    <w:rPr>
                      <w:rFonts w:hint="eastAsia" w:cs="Times New Roman"/>
                      <w:bCs w:val="0"/>
                      <w:color w:val="FF0000"/>
                      <w:sz w:val="21"/>
                      <w:szCs w:val="21"/>
                      <w:highlight w:val="none"/>
                      <w:lang w:val="en-US" w:eastAsia="zh-CN"/>
                    </w:rPr>
                    <w:t>-</w:t>
                  </w:r>
                </w:p>
              </w:tc>
              <w:tc>
                <w:tcPr>
                  <w:tcW w:w="1706" w:type="dxa"/>
                  <w:vAlign w:val="center"/>
                </w:tcPr>
                <w:p>
                  <w:pPr>
                    <w:widowControl/>
                    <w:jc w:val="center"/>
                    <w:rPr>
                      <w:rFonts w:hint="eastAsia" w:eastAsia="宋体"/>
                      <w:color w:val="auto"/>
                      <w:szCs w:val="21"/>
                      <w:highlight w:val="none"/>
                      <w:lang w:val="en-US" w:eastAsia="zh-CN"/>
                    </w:rPr>
                  </w:pPr>
                  <w:r>
                    <w:rPr>
                      <w:rFonts w:hint="eastAsia"/>
                      <w:color w:val="auto"/>
                      <w:szCs w:val="21"/>
                      <w:highlight w:val="none"/>
                      <w:lang w:val="en-US" w:eastAsia="zh-CN"/>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338" w:type="dxa"/>
                  <w:vAlign w:val="center"/>
                </w:tcPr>
                <w:p>
                  <w:pPr>
                    <w:ind w:left="21" w:leftChars="10" w:right="21" w:rightChars="10"/>
                    <w:jc w:val="center"/>
                    <w:rPr>
                      <w:color w:val="auto"/>
                      <w:szCs w:val="21"/>
                      <w:highlight w:val="none"/>
                    </w:rPr>
                  </w:pPr>
                  <w:r>
                    <w:rPr>
                      <w:rFonts w:hint="eastAsia"/>
                      <w:color w:val="auto"/>
                      <w:szCs w:val="21"/>
                      <w:highlight w:val="none"/>
                    </w:rPr>
                    <w:t>废水</w:t>
                  </w:r>
                </w:p>
              </w:tc>
              <w:tc>
                <w:tcPr>
                  <w:tcW w:w="703" w:type="dxa"/>
                  <w:vAlign w:val="center"/>
                </w:tcPr>
                <w:p>
                  <w:pPr>
                    <w:ind w:left="21" w:leftChars="10" w:right="21" w:rightChars="10"/>
                    <w:jc w:val="center"/>
                    <w:rPr>
                      <w:color w:val="auto"/>
                      <w:szCs w:val="21"/>
                      <w:highlight w:val="none"/>
                    </w:rPr>
                  </w:pPr>
                  <w:r>
                    <w:rPr>
                      <w:rFonts w:hint="eastAsia"/>
                      <w:color w:val="auto"/>
                      <w:szCs w:val="21"/>
                      <w:highlight w:val="none"/>
                    </w:rPr>
                    <w:t>脱硫废水</w:t>
                  </w:r>
                </w:p>
              </w:tc>
              <w:tc>
                <w:tcPr>
                  <w:tcW w:w="589" w:type="dxa"/>
                  <w:vAlign w:val="center"/>
                </w:tcPr>
                <w:p>
                  <w:pPr>
                    <w:ind w:left="21" w:leftChars="10" w:right="21" w:rightChars="10"/>
                    <w:jc w:val="center"/>
                    <w:rPr>
                      <w:color w:val="FF0000"/>
                      <w:szCs w:val="21"/>
                      <w:highlight w:val="none"/>
                    </w:rPr>
                  </w:pPr>
                  <w:r>
                    <w:rPr>
                      <w:rFonts w:hint="eastAsia"/>
                      <w:color w:val="FF0000"/>
                      <w:szCs w:val="21"/>
                      <w:highlight w:val="none"/>
                    </w:rPr>
                    <w:t>-</w:t>
                  </w:r>
                </w:p>
              </w:tc>
              <w:tc>
                <w:tcPr>
                  <w:tcW w:w="2400" w:type="dxa"/>
                  <w:vAlign w:val="center"/>
                </w:tcPr>
                <w:p>
                  <w:pPr>
                    <w:ind w:left="21" w:leftChars="10" w:right="21" w:rightChars="10"/>
                    <w:jc w:val="center"/>
                    <w:rPr>
                      <w:rFonts w:hAnsi="宋体"/>
                      <w:bCs/>
                      <w:color w:val="FF0000"/>
                      <w:szCs w:val="21"/>
                      <w:highlight w:val="none"/>
                    </w:rPr>
                  </w:pPr>
                  <w:r>
                    <w:rPr>
                      <w:rFonts w:hint="eastAsia" w:hAnsi="宋体"/>
                      <w:color w:val="FF0000"/>
                      <w:szCs w:val="21"/>
                      <w:highlight w:val="none"/>
                      <w:lang w:eastAsia="zh-CN"/>
                    </w:rPr>
                    <w:t>混凝沉淀处理后</w:t>
                  </w:r>
                  <w:r>
                    <w:rPr>
                      <w:rFonts w:hint="eastAsia" w:hAnsi="宋体"/>
                      <w:bCs/>
                      <w:color w:val="FF0000"/>
                      <w:szCs w:val="21"/>
                      <w:highlight w:val="none"/>
                    </w:rPr>
                    <w:t>返回脱硫系统重复利用</w:t>
                  </w:r>
                </w:p>
              </w:tc>
              <w:tc>
                <w:tcPr>
                  <w:tcW w:w="761" w:type="dxa"/>
                  <w:vAlign w:val="center"/>
                </w:tcPr>
                <w:p>
                  <w:pPr>
                    <w:ind w:right="21" w:rightChars="10"/>
                    <w:jc w:val="center"/>
                    <w:rPr>
                      <w:color w:val="FF0000"/>
                      <w:szCs w:val="21"/>
                      <w:highlight w:val="none"/>
                    </w:rPr>
                  </w:pPr>
                  <w:r>
                    <w:rPr>
                      <w:rFonts w:hint="eastAsia"/>
                      <w:color w:val="FF0000"/>
                      <w:szCs w:val="21"/>
                      <w:highlight w:val="none"/>
                    </w:rPr>
                    <w:t>6</w:t>
                  </w:r>
                  <w:r>
                    <w:rPr>
                      <w:color w:val="FF0000"/>
                      <w:szCs w:val="21"/>
                      <w:highlight w:val="none"/>
                    </w:rPr>
                    <w:t>t/</w:t>
                  </w:r>
                  <w:r>
                    <w:rPr>
                      <w:rFonts w:hint="eastAsia"/>
                      <w:color w:val="FF0000"/>
                      <w:szCs w:val="21"/>
                      <w:highlight w:val="none"/>
                    </w:rPr>
                    <w:t>d</w:t>
                  </w:r>
                </w:p>
              </w:tc>
              <w:tc>
                <w:tcPr>
                  <w:tcW w:w="1119" w:type="dxa"/>
                  <w:vAlign w:val="center"/>
                </w:tcPr>
                <w:p>
                  <w:pPr>
                    <w:ind w:right="21" w:rightChars="10"/>
                    <w:jc w:val="center"/>
                    <w:rPr>
                      <w:rFonts w:hint="eastAsia" w:eastAsia="宋体"/>
                      <w:color w:val="FF0000"/>
                      <w:szCs w:val="21"/>
                      <w:highlight w:val="none"/>
                      <w:lang w:val="en-US" w:eastAsia="zh-CN"/>
                    </w:rPr>
                  </w:pPr>
                  <w:r>
                    <w:rPr>
                      <w:rFonts w:hint="eastAsia"/>
                      <w:color w:val="FF0000"/>
                      <w:szCs w:val="21"/>
                      <w:highlight w:val="none"/>
                      <w:lang w:val="en-US" w:eastAsia="zh-CN"/>
                    </w:rPr>
                    <w:t>-</w:t>
                  </w:r>
                </w:p>
              </w:tc>
              <w:tc>
                <w:tcPr>
                  <w:tcW w:w="889" w:type="dxa"/>
                  <w:vAlign w:val="center"/>
                </w:tcPr>
                <w:p>
                  <w:pPr>
                    <w:ind w:left="21" w:leftChars="10" w:right="21" w:rightChars="10"/>
                    <w:jc w:val="center"/>
                    <w:rPr>
                      <w:rFonts w:hint="default" w:eastAsia="宋体"/>
                      <w:color w:val="FF0000"/>
                      <w:szCs w:val="21"/>
                      <w:highlight w:val="none"/>
                      <w:lang w:val="en-US" w:eastAsia="zh-CN"/>
                    </w:rPr>
                  </w:pPr>
                  <w:r>
                    <w:rPr>
                      <w:rFonts w:hint="eastAsia"/>
                      <w:color w:val="FF0000"/>
                      <w:szCs w:val="21"/>
                      <w:highlight w:val="none"/>
                      <w:lang w:val="en-US" w:eastAsia="zh-CN"/>
                    </w:rPr>
                    <w:t>0</w:t>
                  </w:r>
                </w:p>
              </w:tc>
              <w:tc>
                <w:tcPr>
                  <w:tcW w:w="1706" w:type="dxa"/>
                  <w:vAlign w:val="center"/>
                </w:tcPr>
                <w:p>
                  <w:pPr>
                    <w:ind w:left="21" w:leftChars="10" w:right="21" w:rightChars="10"/>
                    <w:jc w:val="center"/>
                    <w:rPr>
                      <w:color w:val="auto"/>
                      <w:szCs w:val="21"/>
                      <w:highlight w:val="none"/>
                    </w:rPr>
                  </w:pPr>
                  <w:r>
                    <w:rPr>
                      <w:rFonts w:hint="eastAsia"/>
                      <w:color w:val="auto"/>
                      <w:szCs w:val="21"/>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340" w:hRule="atLeast"/>
                <w:jc w:val="center"/>
              </w:trPr>
              <w:tc>
                <w:tcPr>
                  <w:tcW w:w="338" w:type="dxa"/>
                  <w:vAlign w:val="center"/>
                </w:tcPr>
                <w:p>
                  <w:pPr>
                    <w:ind w:left="21" w:leftChars="10" w:right="21" w:rightChars="10"/>
                    <w:jc w:val="center"/>
                    <w:rPr>
                      <w:color w:val="auto"/>
                      <w:szCs w:val="21"/>
                      <w:highlight w:val="none"/>
                    </w:rPr>
                  </w:pPr>
                  <w:r>
                    <w:rPr>
                      <w:rFonts w:hint="eastAsia"/>
                      <w:color w:val="auto"/>
                      <w:szCs w:val="21"/>
                      <w:highlight w:val="none"/>
                    </w:rPr>
                    <w:t>噪声</w:t>
                  </w:r>
                </w:p>
              </w:tc>
              <w:tc>
                <w:tcPr>
                  <w:tcW w:w="703" w:type="dxa"/>
                  <w:vAlign w:val="center"/>
                </w:tcPr>
                <w:p>
                  <w:pPr>
                    <w:ind w:left="21" w:leftChars="10" w:right="21" w:rightChars="10"/>
                    <w:jc w:val="center"/>
                    <w:rPr>
                      <w:color w:val="auto"/>
                      <w:szCs w:val="21"/>
                      <w:highlight w:val="none"/>
                    </w:rPr>
                  </w:pPr>
                  <w:r>
                    <w:rPr>
                      <w:rFonts w:hint="eastAsia"/>
                      <w:color w:val="auto"/>
                      <w:szCs w:val="21"/>
                      <w:highlight w:val="none"/>
                    </w:rPr>
                    <w:t>设备噪声</w:t>
                  </w:r>
                </w:p>
              </w:tc>
              <w:tc>
                <w:tcPr>
                  <w:tcW w:w="589" w:type="dxa"/>
                  <w:vAlign w:val="center"/>
                </w:tcPr>
                <w:p>
                  <w:pPr>
                    <w:ind w:left="21" w:leftChars="10" w:right="21" w:rightChars="10"/>
                    <w:jc w:val="center"/>
                    <w:rPr>
                      <w:color w:val="auto"/>
                      <w:szCs w:val="21"/>
                      <w:highlight w:val="none"/>
                    </w:rPr>
                  </w:pPr>
                  <w:r>
                    <w:rPr>
                      <w:rFonts w:hint="eastAsia"/>
                      <w:color w:val="auto"/>
                      <w:szCs w:val="21"/>
                      <w:highlight w:val="none"/>
                    </w:rPr>
                    <w:t>设备</w:t>
                  </w:r>
                </w:p>
                <w:p>
                  <w:pPr>
                    <w:ind w:left="21" w:leftChars="10" w:right="21" w:rightChars="10"/>
                    <w:jc w:val="center"/>
                    <w:rPr>
                      <w:color w:val="auto"/>
                      <w:szCs w:val="21"/>
                      <w:highlight w:val="none"/>
                    </w:rPr>
                  </w:pPr>
                  <w:r>
                    <w:rPr>
                      <w:rFonts w:hint="eastAsia"/>
                      <w:color w:val="auto"/>
                      <w:szCs w:val="21"/>
                      <w:highlight w:val="none"/>
                    </w:rPr>
                    <w:t>噪声</w:t>
                  </w:r>
                </w:p>
              </w:tc>
              <w:tc>
                <w:tcPr>
                  <w:tcW w:w="2400" w:type="dxa"/>
                  <w:vAlign w:val="center"/>
                </w:tcPr>
                <w:p>
                  <w:pPr>
                    <w:ind w:left="21" w:leftChars="10" w:right="21" w:rightChars="10"/>
                    <w:jc w:val="center"/>
                    <w:rPr>
                      <w:color w:val="auto"/>
                      <w:szCs w:val="21"/>
                      <w:highlight w:val="none"/>
                    </w:rPr>
                  </w:pPr>
                  <w:r>
                    <w:rPr>
                      <w:rFonts w:hint="eastAsia"/>
                      <w:color w:val="auto"/>
                      <w:szCs w:val="21"/>
                      <w:highlight w:val="none"/>
                    </w:rPr>
                    <w:t>低噪声设备、基础减振、隔声</w:t>
                  </w:r>
                </w:p>
              </w:tc>
              <w:tc>
                <w:tcPr>
                  <w:tcW w:w="761" w:type="dxa"/>
                  <w:vAlign w:val="center"/>
                </w:tcPr>
                <w:p>
                  <w:pPr>
                    <w:ind w:right="21" w:rightChars="10"/>
                    <w:jc w:val="center"/>
                    <w:rPr>
                      <w:color w:val="auto"/>
                      <w:szCs w:val="21"/>
                      <w:highlight w:val="none"/>
                    </w:rPr>
                  </w:pPr>
                  <w:r>
                    <w:rPr>
                      <w:color w:val="auto"/>
                      <w:szCs w:val="21"/>
                      <w:highlight w:val="none"/>
                    </w:rPr>
                    <w:t>-</w:t>
                  </w:r>
                </w:p>
              </w:tc>
              <w:tc>
                <w:tcPr>
                  <w:tcW w:w="1119" w:type="dxa"/>
                  <w:vAlign w:val="center"/>
                </w:tcPr>
                <w:p>
                  <w:pPr>
                    <w:ind w:right="21" w:rightChars="10"/>
                    <w:jc w:val="center"/>
                    <w:rPr>
                      <w:color w:val="auto"/>
                      <w:szCs w:val="21"/>
                      <w:highlight w:val="none"/>
                    </w:rPr>
                  </w:pPr>
                  <w:r>
                    <w:rPr>
                      <w:color w:val="auto"/>
                      <w:szCs w:val="21"/>
                      <w:highlight w:val="none"/>
                    </w:rPr>
                    <w:t>-</w:t>
                  </w:r>
                </w:p>
              </w:tc>
              <w:tc>
                <w:tcPr>
                  <w:tcW w:w="889" w:type="dxa"/>
                  <w:vAlign w:val="center"/>
                </w:tcPr>
                <w:p>
                  <w:pPr>
                    <w:ind w:left="21" w:leftChars="10" w:right="21" w:rightChars="10"/>
                    <w:jc w:val="center"/>
                    <w:rPr>
                      <w:color w:val="auto"/>
                      <w:szCs w:val="21"/>
                      <w:highlight w:val="none"/>
                    </w:rPr>
                  </w:pPr>
                  <w:r>
                    <w:rPr>
                      <w:color w:val="auto"/>
                      <w:szCs w:val="21"/>
                      <w:highlight w:val="none"/>
                    </w:rPr>
                    <w:t>-</w:t>
                  </w:r>
                </w:p>
              </w:tc>
              <w:tc>
                <w:tcPr>
                  <w:tcW w:w="1706" w:type="dxa"/>
                  <w:vAlign w:val="center"/>
                </w:tcPr>
                <w:p>
                  <w:pPr>
                    <w:ind w:left="21" w:leftChars="10" w:right="21" w:rightChars="10"/>
                    <w:jc w:val="center"/>
                    <w:rPr>
                      <w:color w:val="auto"/>
                      <w:szCs w:val="21"/>
                      <w:highlight w:val="none"/>
                    </w:rPr>
                  </w:pPr>
                  <w:r>
                    <w:rPr>
                      <w:rFonts w:hint="eastAsia"/>
                      <w:color w:val="auto"/>
                      <w:szCs w:val="21"/>
                      <w:highlight w:val="none"/>
                    </w:rPr>
                    <w:t>《工业企业厂界环境噪声排放标准》（</w:t>
                  </w:r>
                  <w:r>
                    <w:rPr>
                      <w:color w:val="auto"/>
                      <w:szCs w:val="21"/>
                      <w:highlight w:val="none"/>
                    </w:rPr>
                    <w:t>GB12348-2008</w:t>
                  </w:r>
                  <w:r>
                    <w:rPr>
                      <w:rFonts w:hint="eastAsia"/>
                      <w:color w:val="auto"/>
                      <w:szCs w:val="21"/>
                      <w:highlight w:val="none"/>
                    </w:rPr>
                    <w:t>）</w:t>
                  </w:r>
                  <w:r>
                    <w:rPr>
                      <w:color w:val="auto"/>
                      <w:szCs w:val="21"/>
                      <w:highlight w:val="none"/>
                    </w:rPr>
                    <w:t>2</w:t>
                  </w:r>
                  <w:r>
                    <w:rPr>
                      <w:rFonts w:hint="eastAsia"/>
                      <w:color w:val="auto"/>
                      <w:szCs w:val="21"/>
                      <w:highlight w:val="none"/>
                    </w:rPr>
                    <w:t>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695" w:hRule="atLeast"/>
                <w:jc w:val="center"/>
              </w:trPr>
              <w:tc>
                <w:tcPr>
                  <w:tcW w:w="338" w:type="dxa"/>
                  <w:vMerge w:val="restart"/>
                  <w:vAlign w:val="center"/>
                </w:tcPr>
                <w:p>
                  <w:pPr>
                    <w:ind w:left="21" w:leftChars="10" w:right="21" w:rightChars="10"/>
                    <w:jc w:val="center"/>
                    <w:rPr>
                      <w:color w:val="auto"/>
                      <w:szCs w:val="21"/>
                      <w:highlight w:val="none"/>
                    </w:rPr>
                  </w:pPr>
                  <w:r>
                    <w:rPr>
                      <w:rFonts w:hint="eastAsia"/>
                      <w:color w:val="auto"/>
                      <w:szCs w:val="21"/>
                      <w:highlight w:val="none"/>
                    </w:rPr>
                    <w:t>固废</w:t>
                  </w:r>
                </w:p>
              </w:tc>
              <w:tc>
                <w:tcPr>
                  <w:tcW w:w="703" w:type="dxa"/>
                  <w:vAlign w:val="center"/>
                </w:tcPr>
                <w:p>
                  <w:pPr>
                    <w:ind w:left="21" w:leftChars="10" w:right="21" w:rightChars="10"/>
                    <w:jc w:val="center"/>
                    <w:rPr>
                      <w:color w:val="auto"/>
                      <w:szCs w:val="21"/>
                      <w:highlight w:val="none"/>
                    </w:rPr>
                  </w:pPr>
                  <w:r>
                    <w:rPr>
                      <w:rFonts w:hint="eastAsia"/>
                      <w:color w:val="auto"/>
                      <w:szCs w:val="21"/>
                      <w:highlight w:val="none"/>
                    </w:rPr>
                    <w:t>布袋除尘器</w:t>
                  </w:r>
                </w:p>
              </w:tc>
              <w:tc>
                <w:tcPr>
                  <w:tcW w:w="589" w:type="dxa"/>
                  <w:vAlign w:val="center"/>
                </w:tcPr>
                <w:p>
                  <w:pPr>
                    <w:ind w:left="21" w:leftChars="10" w:right="21" w:rightChars="10"/>
                    <w:jc w:val="center"/>
                    <w:rPr>
                      <w:color w:val="auto"/>
                      <w:szCs w:val="21"/>
                      <w:highlight w:val="none"/>
                    </w:rPr>
                  </w:pPr>
                  <w:r>
                    <w:rPr>
                      <w:rFonts w:hint="eastAsia"/>
                      <w:color w:val="auto"/>
                      <w:szCs w:val="21"/>
                      <w:highlight w:val="none"/>
                    </w:rPr>
                    <w:t>除尘器回收粉尘</w:t>
                  </w:r>
                </w:p>
              </w:tc>
              <w:tc>
                <w:tcPr>
                  <w:tcW w:w="2400" w:type="dxa"/>
                  <w:vMerge w:val="restart"/>
                  <w:vAlign w:val="center"/>
                </w:tcPr>
                <w:p>
                  <w:pPr>
                    <w:ind w:left="21" w:leftChars="10" w:right="21" w:rightChars="10"/>
                    <w:jc w:val="center"/>
                    <w:rPr>
                      <w:color w:val="auto"/>
                      <w:szCs w:val="21"/>
                      <w:highlight w:val="none"/>
                    </w:rPr>
                  </w:pPr>
                  <w:r>
                    <w:rPr>
                      <w:rFonts w:hint="eastAsia"/>
                      <w:color w:val="auto"/>
                      <w:szCs w:val="21"/>
                      <w:highlight w:val="none"/>
                    </w:rPr>
                    <w:t>统一收集后外售</w:t>
                  </w:r>
                  <w:r>
                    <w:rPr>
                      <w:rFonts w:hint="eastAsia"/>
                      <w:color w:val="auto"/>
                      <w:szCs w:val="21"/>
                      <w:highlight w:val="none"/>
                      <w:lang w:eastAsia="zh-CN"/>
                    </w:rPr>
                    <w:t>，</w:t>
                  </w:r>
                  <w:r>
                    <w:rPr>
                      <w:rFonts w:hint="eastAsia"/>
                      <w:color w:val="auto"/>
                      <w:szCs w:val="21"/>
                      <w:highlight w:val="none"/>
                    </w:rPr>
                    <w:t>综合利用</w:t>
                  </w:r>
                </w:p>
              </w:tc>
              <w:tc>
                <w:tcPr>
                  <w:tcW w:w="761" w:type="dxa"/>
                  <w:vAlign w:val="center"/>
                </w:tcPr>
                <w:p>
                  <w:pPr>
                    <w:ind w:left="21" w:leftChars="10" w:right="21" w:rightChars="10"/>
                    <w:jc w:val="center"/>
                    <w:rPr>
                      <w:color w:val="auto"/>
                      <w:szCs w:val="21"/>
                      <w:highlight w:val="none"/>
                    </w:rPr>
                  </w:pPr>
                  <w:r>
                    <w:rPr>
                      <w:rFonts w:hint="eastAsia"/>
                      <w:color w:val="auto"/>
                      <w:szCs w:val="21"/>
                      <w:highlight w:val="none"/>
                      <w:lang w:val="en-US" w:eastAsia="zh-CN"/>
                    </w:rPr>
                    <w:t>1455.543</w:t>
                  </w:r>
                  <w:r>
                    <w:rPr>
                      <w:rFonts w:hint="eastAsia"/>
                      <w:color w:val="auto"/>
                      <w:szCs w:val="21"/>
                      <w:highlight w:val="none"/>
                    </w:rPr>
                    <w:t>t/a</w:t>
                  </w:r>
                </w:p>
              </w:tc>
              <w:tc>
                <w:tcPr>
                  <w:tcW w:w="2008" w:type="dxa"/>
                  <w:gridSpan w:val="2"/>
                  <w:vAlign w:val="center"/>
                </w:tcPr>
                <w:p>
                  <w:pPr>
                    <w:ind w:left="21" w:leftChars="10" w:right="21" w:rightChars="10"/>
                    <w:jc w:val="center"/>
                    <w:rPr>
                      <w:color w:val="auto"/>
                      <w:szCs w:val="21"/>
                      <w:highlight w:val="none"/>
                    </w:rPr>
                  </w:pPr>
                  <w:r>
                    <w:rPr>
                      <w:color w:val="auto"/>
                      <w:szCs w:val="21"/>
                      <w:highlight w:val="none"/>
                    </w:rPr>
                    <w:t>-</w:t>
                  </w:r>
                </w:p>
              </w:tc>
              <w:tc>
                <w:tcPr>
                  <w:tcW w:w="1706" w:type="dxa"/>
                  <w:vMerge w:val="restart"/>
                  <w:vAlign w:val="center"/>
                </w:tcPr>
                <w:p>
                  <w:pPr>
                    <w:ind w:left="21" w:leftChars="10" w:right="21" w:rightChars="10"/>
                    <w:jc w:val="center"/>
                    <w:rPr>
                      <w:color w:val="auto"/>
                      <w:szCs w:val="21"/>
                      <w:highlight w:val="none"/>
                    </w:rPr>
                  </w:pPr>
                  <w:r>
                    <w:rPr>
                      <w:rFonts w:hint="eastAsia"/>
                      <w:color w:val="auto"/>
                      <w:szCs w:val="21"/>
                      <w:highlight w:val="none"/>
                    </w:rPr>
                    <w:t>处置率</w:t>
                  </w:r>
                  <w:r>
                    <w:rPr>
                      <w:color w:val="auto"/>
                      <w:szCs w:val="21"/>
                      <w:highlight w:val="none"/>
                    </w:rPr>
                    <w:t>100%</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23" w:type="dxa"/>
                  <w:bottom w:w="0" w:type="dxa"/>
                  <w:right w:w="23" w:type="dxa"/>
                </w:tblCellMar>
              </w:tblPrEx>
              <w:trPr>
                <w:trHeight w:val="697" w:hRule="atLeast"/>
                <w:jc w:val="center"/>
              </w:trPr>
              <w:tc>
                <w:tcPr>
                  <w:tcW w:w="338" w:type="dxa"/>
                  <w:vMerge w:val="continue"/>
                  <w:vAlign w:val="center"/>
                </w:tcPr>
                <w:p>
                  <w:pPr>
                    <w:widowControl/>
                    <w:jc w:val="center"/>
                    <w:rPr>
                      <w:color w:val="auto"/>
                      <w:szCs w:val="21"/>
                      <w:highlight w:val="none"/>
                    </w:rPr>
                  </w:pPr>
                </w:p>
              </w:tc>
              <w:tc>
                <w:tcPr>
                  <w:tcW w:w="703" w:type="dxa"/>
                  <w:vAlign w:val="center"/>
                </w:tcPr>
                <w:p>
                  <w:pPr>
                    <w:ind w:left="21" w:leftChars="10" w:right="21" w:rightChars="10"/>
                    <w:jc w:val="center"/>
                    <w:rPr>
                      <w:color w:val="auto"/>
                      <w:szCs w:val="21"/>
                      <w:highlight w:val="none"/>
                    </w:rPr>
                  </w:pPr>
                  <w:r>
                    <w:rPr>
                      <w:rFonts w:hint="eastAsia"/>
                      <w:color w:val="auto"/>
                      <w:szCs w:val="21"/>
                      <w:highlight w:val="none"/>
                    </w:rPr>
                    <w:t>锅炉</w:t>
                  </w:r>
                </w:p>
              </w:tc>
              <w:tc>
                <w:tcPr>
                  <w:tcW w:w="589" w:type="dxa"/>
                  <w:vAlign w:val="center"/>
                </w:tcPr>
                <w:p>
                  <w:pPr>
                    <w:ind w:left="21" w:leftChars="10" w:right="21" w:rightChars="10"/>
                    <w:jc w:val="center"/>
                    <w:rPr>
                      <w:color w:val="auto"/>
                      <w:szCs w:val="21"/>
                      <w:highlight w:val="none"/>
                    </w:rPr>
                  </w:pPr>
                  <w:r>
                    <w:rPr>
                      <w:rFonts w:hint="eastAsia"/>
                      <w:color w:val="auto"/>
                      <w:szCs w:val="21"/>
                      <w:highlight w:val="none"/>
                    </w:rPr>
                    <w:t>脱硫副产物</w:t>
                  </w:r>
                </w:p>
              </w:tc>
              <w:tc>
                <w:tcPr>
                  <w:tcW w:w="2400" w:type="dxa"/>
                  <w:vMerge w:val="continue"/>
                  <w:vAlign w:val="center"/>
                </w:tcPr>
                <w:p>
                  <w:pPr>
                    <w:widowControl/>
                    <w:jc w:val="center"/>
                    <w:rPr>
                      <w:color w:val="auto"/>
                      <w:szCs w:val="21"/>
                      <w:highlight w:val="none"/>
                    </w:rPr>
                  </w:pPr>
                </w:p>
              </w:tc>
              <w:tc>
                <w:tcPr>
                  <w:tcW w:w="761" w:type="dxa"/>
                  <w:vAlign w:val="center"/>
                </w:tcPr>
                <w:p>
                  <w:pPr>
                    <w:ind w:left="21" w:leftChars="10" w:right="21" w:rightChars="10"/>
                    <w:jc w:val="center"/>
                    <w:rPr>
                      <w:color w:val="auto"/>
                      <w:szCs w:val="21"/>
                      <w:highlight w:val="none"/>
                    </w:rPr>
                  </w:pPr>
                  <w:r>
                    <w:rPr>
                      <w:rFonts w:hint="eastAsia"/>
                      <w:color w:val="auto"/>
                      <w:szCs w:val="21"/>
                      <w:highlight w:val="none"/>
                      <w:lang w:val="en-US" w:eastAsia="zh-CN"/>
                    </w:rPr>
                    <w:t>91.43</w:t>
                  </w:r>
                  <w:r>
                    <w:rPr>
                      <w:color w:val="auto"/>
                      <w:szCs w:val="21"/>
                      <w:highlight w:val="none"/>
                    </w:rPr>
                    <w:t>t/a</w:t>
                  </w:r>
                </w:p>
              </w:tc>
              <w:tc>
                <w:tcPr>
                  <w:tcW w:w="2008" w:type="dxa"/>
                  <w:gridSpan w:val="2"/>
                  <w:vAlign w:val="center"/>
                </w:tcPr>
                <w:p>
                  <w:pPr>
                    <w:ind w:left="21" w:leftChars="10" w:right="21" w:rightChars="10"/>
                    <w:jc w:val="center"/>
                    <w:rPr>
                      <w:color w:val="auto"/>
                      <w:szCs w:val="21"/>
                      <w:highlight w:val="none"/>
                    </w:rPr>
                  </w:pPr>
                  <w:r>
                    <w:rPr>
                      <w:rFonts w:hint="eastAsia"/>
                      <w:color w:val="auto"/>
                      <w:szCs w:val="21"/>
                      <w:highlight w:val="none"/>
                    </w:rPr>
                    <w:t>-</w:t>
                  </w:r>
                </w:p>
              </w:tc>
              <w:tc>
                <w:tcPr>
                  <w:tcW w:w="1706" w:type="dxa"/>
                  <w:vMerge w:val="continue"/>
                  <w:vAlign w:val="center"/>
                </w:tcPr>
                <w:p>
                  <w:pPr>
                    <w:widowControl/>
                    <w:jc w:val="center"/>
                    <w:rPr>
                      <w:color w:val="auto"/>
                      <w:szCs w:val="21"/>
                      <w:highlight w:val="none"/>
                    </w:rPr>
                  </w:pPr>
                </w:p>
              </w:tc>
            </w:tr>
          </w:tbl>
          <w:p>
            <w:pPr>
              <w:spacing w:line="500" w:lineRule="exact"/>
              <w:ind w:firstLine="480" w:firstLineChars="200"/>
              <w:textAlignment w:val="center"/>
              <w:rPr>
                <w:color w:val="auto"/>
                <w:kern w:val="0"/>
                <w:sz w:val="24"/>
                <w:highlight w:val="none"/>
              </w:rPr>
            </w:pPr>
          </w:p>
        </w:tc>
      </w:tr>
    </w:tbl>
    <w:p>
      <w:pPr>
        <w:spacing w:line="480" w:lineRule="exact"/>
        <w:outlineLvl w:val="0"/>
        <w:rPr>
          <w:rFonts w:eastAsia="黑体"/>
          <w:color w:val="auto"/>
          <w:sz w:val="32"/>
          <w:szCs w:val="32"/>
          <w:highlight w:val="none"/>
        </w:rPr>
        <w:sectPr>
          <w:pgSz w:w="11907" w:h="16840"/>
          <w:pgMar w:top="1418" w:right="1418" w:bottom="1418" w:left="1418" w:header="851" w:footer="992" w:gutter="0"/>
          <w:pgBorders>
            <w:top w:val="none" w:sz="0" w:space="0"/>
            <w:left w:val="none" w:sz="0" w:space="0"/>
            <w:bottom w:val="none" w:sz="0" w:space="0"/>
            <w:right w:val="none" w:sz="0" w:space="0"/>
          </w:pgBorders>
          <w:pgNumType w:fmt="decimal"/>
          <w:cols w:space="720" w:num="1"/>
          <w:docGrid w:linePitch="312" w:charSpace="0"/>
        </w:sectPr>
      </w:pPr>
    </w:p>
    <w:p>
      <w:pPr>
        <w:spacing w:line="480" w:lineRule="exact"/>
        <w:outlineLvl w:val="0"/>
        <w:rPr>
          <w:rFonts w:eastAsia="黑体"/>
          <w:color w:val="auto"/>
          <w:sz w:val="32"/>
          <w:szCs w:val="32"/>
          <w:highlight w:val="none"/>
        </w:rPr>
      </w:pPr>
      <w:bookmarkStart w:id="37" w:name="_Toc30693"/>
      <w:r>
        <w:rPr>
          <w:rFonts w:hint="eastAsia" w:eastAsia="黑体"/>
          <w:color w:val="auto"/>
          <w:sz w:val="32"/>
          <w:szCs w:val="32"/>
          <w:highlight w:val="none"/>
          <w:lang w:eastAsia="zh-CN"/>
        </w:rPr>
        <w:t>八、</w:t>
      </w:r>
      <w:r>
        <w:rPr>
          <w:rFonts w:eastAsia="黑体"/>
          <w:color w:val="auto"/>
          <w:sz w:val="32"/>
          <w:szCs w:val="32"/>
          <w:highlight w:val="none"/>
        </w:rPr>
        <w:t>建设项目拟采用的防治措施及预期治理效果</w:t>
      </w:r>
      <w:bookmarkEnd w:id="37"/>
    </w:p>
    <w:tbl>
      <w:tblPr>
        <w:tblStyle w:val="36"/>
        <w:tblW w:w="9360"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1227"/>
        <w:gridCol w:w="1701"/>
        <w:gridCol w:w="2551"/>
        <w:gridCol w:w="280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1" w:hRule="atLeast"/>
        </w:trPr>
        <w:tc>
          <w:tcPr>
            <w:tcW w:w="1080" w:type="dxa"/>
            <w:tcBorders>
              <w:tl2br w:val="single" w:color="auto" w:sz="4" w:space="0"/>
            </w:tcBorders>
          </w:tcPr>
          <w:p>
            <w:pPr>
              <w:jc w:val="right"/>
              <w:rPr>
                <w:bCs/>
                <w:color w:val="auto"/>
                <w:sz w:val="24"/>
                <w:highlight w:val="none"/>
              </w:rPr>
            </w:pPr>
            <w:r>
              <w:rPr>
                <w:bCs/>
                <w:color w:val="auto"/>
                <w:sz w:val="24"/>
                <w:highlight w:val="none"/>
              </w:rPr>
              <w:t>内容</w:t>
            </w:r>
          </w:p>
          <w:p>
            <w:pPr>
              <w:rPr>
                <w:bCs/>
                <w:color w:val="auto"/>
                <w:sz w:val="24"/>
                <w:highlight w:val="none"/>
              </w:rPr>
            </w:pPr>
            <w:r>
              <w:rPr>
                <w:bCs/>
                <w:color w:val="auto"/>
                <w:sz w:val="24"/>
                <w:highlight w:val="none"/>
              </w:rPr>
              <w:t>类型</w:t>
            </w:r>
          </w:p>
        </w:tc>
        <w:tc>
          <w:tcPr>
            <w:tcW w:w="1227" w:type="dxa"/>
            <w:vAlign w:val="center"/>
          </w:tcPr>
          <w:p>
            <w:pPr>
              <w:jc w:val="center"/>
              <w:rPr>
                <w:bCs/>
                <w:color w:val="auto"/>
                <w:sz w:val="24"/>
                <w:highlight w:val="none"/>
              </w:rPr>
            </w:pPr>
            <w:r>
              <w:rPr>
                <w:bCs/>
                <w:color w:val="auto"/>
                <w:sz w:val="24"/>
                <w:highlight w:val="none"/>
              </w:rPr>
              <w:t>排放源</w:t>
            </w:r>
          </w:p>
          <w:p>
            <w:pPr>
              <w:jc w:val="center"/>
              <w:rPr>
                <w:bCs/>
                <w:color w:val="auto"/>
                <w:sz w:val="24"/>
                <w:highlight w:val="none"/>
              </w:rPr>
            </w:pPr>
            <w:r>
              <w:rPr>
                <w:bCs/>
                <w:color w:val="auto"/>
                <w:sz w:val="24"/>
                <w:highlight w:val="none"/>
              </w:rPr>
              <w:t>（编号）</w:t>
            </w:r>
          </w:p>
        </w:tc>
        <w:tc>
          <w:tcPr>
            <w:tcW w:w="1701" w:type="dxa"/>
            <w:vAlign w:val="center"/>
          </w:tcPr>
          <w:p>
            <w:pPr>
              <w:jc w:val="center"/>
              <w:rPr>
                <w:bCs/>
                <w:color w:val="auto"/>
                <w:sz w:val="24"/>
                <w:highlight w:val="none"/>
              </w:rPr>
            </w:pPr>
            <w:r>
              <w:rPr>
                <w:bCs/>
                <w:color w:val="auto"/>
                <w:sz w:val="24"/>
                <w:highlight w:val="none"/>
              </w:rPr>
              <w:t>污染物名称</w:t>
            </w:r>
          </w:p>
        </w:tc>
        <w:tc>
          <w:tcPr>
            <w:tcW w:w="2551" w:type="dxa"/>
            <w:vAlign w:val="center"/>
          </w:tcPr>
          <w:p>
            <w:pPr>
              <w:jc w:val="center"/>
              <w:rPr>
                <w:bCs/>
                <w:color w:val="auto"/>
                <w:sz w:val="24"/>
                <w:highlight w:val="none"/>
              </w:rPr>
            </w:pPr>
            <w:r>
              <w:rPr>
                <w:bCs/>
                <w:color w:val="auto"/>
                <w:sz w:val="24"/>
                <w:highlight w:val="none"/>
              </w:rPr>
              <w:t>防治措施</w:t>
            </w:r>
          </w:p>
        </w:tc>
        <w:tc>
          <w:tcPr>
            <w:tcW w:w="2801" w:type="dxa"/>
            <w:vAlign w:val="center"/>
          </w:tcPr>
          <w:p>
            <w:pPr>
              <w:jc w:val="center"/>
              <w:rPr>
                <w:bCs/>
                <w:color w:val="auto"/>
                <w:sz w:val="24"/>
                <w:highlight w:val="none"/>
              </w:rPr>
            </w:pPr>
            <w:r>
              <w:rPr>
                <w:bCs/>
                <w:color w:val="auto"/>
                <w:sz w:val="24"/>
                <w:highlight w:val="none"/>
              </w:rPr>
              <w:t>预期治理效果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90" w:hRule="atLeast"/>
        </w:trPr>
        <w:tc>
          <w:tcPr>
            <w:tcW w:w="1080" w:type="dxa"/>
            <w:vMerge w:val="restart"/>
            <w:vAlign w:val="center"/>
          </w:tcPr>
          <w:p>
            <w:pPr>
              <w:jc w:val="center"/>
              <w:rPr>
                <w:color w:val="auto"/>
                <w:sz w:val="24"/>
                <w:highlight w:val="none"/>
              </w:rPr>
            </w:pPr>
            <w:r>
              <w:rPr>
                <w:color w:val="auto"/>
                <w:sz w:val="24"/>
                <w:highlight w:val="none"/>
              </w:rPr>
              <w:t>大气</w:t>
            </w:r>
          </w:p>
          <w:p>
            <w:pPr>
              <w:jc w:val="center"/>
              <w:rPr>
                <w:color w:val="auto"/>
                <w:sz w:val="24"/>
                <w:highlight w:val="none"/>
              </w:rPr>
            </w:pPr>
            <w:r>
              <w:rPr>
                <w:color w:val="auto"/>
                <w:sz w:val="24"/>
                <w:highlight w:val="none"/>
              </w:rPr>
              <w:t>污染物</w:t>
            </w:r>
          </w:p>
        </w:tc>
        <w:tc>
          <w:tcPr>
            <w:tcW w:w="1227" w:type="dxa"/>
            <w:vAlign w:val="center"/>
          </w:tcPr>
          <w:p>
            <w:pPr>
              <w:jc w:val="center"/>
              <w:rPr>
                <w:color w:val="auto"/>
                <w:sz w:val="24"/>
                <w:highlight w:val="none"/>
              </w:rPr>
            </w:pPr>
            <w:r>
              <w:rPr>
                <w:color w:val="auto"/>
                <w:sz w:val="24"/>
                <w:highlight w:val="none"/>
              </w:rPr>
              <w:t>锅炉废气</w:t>
            </w:r>
          </w:p>
        </w:tc>
        <w:tc>
          <w:tcPr>
            <w:tcW w:w="1701" w:type="dxa"/>
            <w:vAlign w:val="center"/>
          </w:tcPr>
          <w:p>
            <w:pPr>
              <w:pStyle w:val="21"/>
              <w:jc w:val="center"/>
              <w:rPr>
                <w:rFonts w:hint="eastAsia" w:ascii="Times New Roman" w:hAnsi="Times New Roman" w:cs="Times New Roman"/>
                <w:bCs w:val="0"/>
                <w:color w:val="auto"/>
                <w:sz w:val="24"/>
                <w:szCs w:val="24"/>
                <w:highlight w:val="none"/>
                <w:lang w:eastAsia="zh-CN"/>
              </w:rPr>
            </w:pPr>
            <w:r>
              <w:rPr>
                <w:rFonts w:hint="eastAsia" w:ascii="Times New Roman" w:hAnsi="Times New Roman" w:cs="Times New Roman"/>
                <w:bCs w:val="0"/>
                <w:color w:val="auto"/>
                <w:sz w:val="24"/>
                <w:szCs w:val="24"/>
                <w:highlight w:val="none"/>
                <w:lang w:eastAsia="zh-CN"/>
              </w:rPr>
              <w:t>汞及其化合物</w:t>
            </w:r>
          </w:p>
          <w:p>
            <w:pPr>
              <w:pStyle w:val="21"/>
              <w:jc w:val="center"/>
              <w:rPr>
                <w:rFonts w:hint="default" w:ascii="Times New Roman" w:hAnsi="Times New Roman" w:cs="Times New Roman"/>
                <w:bCs w:val="0"/>
                <w:color w:val="auto"/>
                <w:sz w:val="24"/>
                <w:szCs w:val="24"/>
                <w:highlight w:val="none"/>
                <w:lang w:eastAsia="zh-CN"/>
              </w:rPr>
            </w:pPr>
            <w:r>
              <w:rPr>
                <w:rFonts w:hint="default" w:ascii="Times New Roman" w:hAnsi="Times New Roman" w:cs="Times New Roman"/>
                <w:bCs w:val="0"/>
                <w:color w:val="auto"/>
                <w:sz w:val="24"/>
                <w:szCs w:val="24"/>
                <w:highlight w:val="none"/>
                <w:lang w:eastAsia="zh-CN"/>
              </w:rPr>
              <w:t>烟气黑度</w:t>
            </w:r>
          </w:p>
          <w:p>
            <w:pPr>
              <w:pStyle w:val="21"/>
              <w:jc w:val="center"/>
              <w:rPr>
                <w:rFonts w:hint="default" w:ascii="Times New Roman" w:hAnsi="Times New Roman" w:cs="Times New Roman"/>
                <w:bCs w:val="0"/>
                <w:color w:val="auto"/>
                <w:sz w:val="24"/>
                <w:szCs w:val="24"/>
                <w:highlight w:val="none"/>
              </w:rPr>
            </w:pPr>
            <w:r>
              <w:rPr>
                <w:rFonts w:hint="default" w:ascii="Times New Roman" w:hAnsi="Times New Roman" w:cs="Times New Roman"/>
                <w:bCs w:val="0"/>
                <w:color w:val="auto"/>
                <w:sz w:val="24"/>
                <w:szCs w:val="24"/>
                <w:highlight w:val="none"/>
              </w:rPr>
              <w:t>颗粒物</w:t>
            </w:r>
          </w:p>
          <w:p>
            <w:pPr>
              <w:pStyle w:val="21"/>
              <w:jc w:val="center"/>
              <w:rPr>
                <w:rFonts w:hint="default" w:ascii="Times New Roman" w:hAnsi="Times New Roman" w:cs="Times New Roman"/>
                <w:bCs w:val="0"/>
                <w:color w:val="auto"/>
                <w:sz w:val="24"/>
                <w:szCs w:val="24"/>
                <w:highlight w:val="none"/>
              </w:rPr>
            </w:pPr>
            <w:r>
              <w:rPr>
                <w:rFonts w:hint="default" w:ascii="Times New Roman" w:hAnsi="Times New Roman" w:cs="Times New Roman"/>
                <w:bCs w:val="0"/>
                <w:color w:val="auto"/>
                <w:sz w:val="24"/>
                <w:szCs w:val="24"/>
                <w:highlight w:val="none"/>
              </w:rPr>
              <w:t>SO</w:t>
            </w:r>
            <w:r>
              <w:rPr>
                <w:rFonts w:hint="default" w:ascii="Times New Roman" w:hAnsi="Times New Roman" w:cs="Times New Roman"/>
                <w:bCs w:val="0"/>
                <w:color w:val="auto"/>
                <w:sz w:val="24"/>
                <w:szCs w:val="24"/>
                <w:highlight w:val="none"/>
                <w:vertAlign w:val="subscript"/>
              </w:rPr>
              <w:t>2</w:t>
            </w:r>
          </w:p>
          <w:p>
            <w:pPr>
              <w:pStyle w:val="35"/>
              <w:ind w:firstLine="480" w:firstLineChars="200"/>
              <w:rPr>
                <w:rFonts w:hint="eastAsia" w:eastAsia="宋体"/>
                <w:color w:val="auto"/>
                <w:highlight w:val="none"/>
                <w:lang w:eastAsia="zh-CN"/>
              </w:rPr>
            </w:pPr>
            <w:r>
              <w:rPr>
                <w:rFonts w:hint="default" w:ascii="Times New Roman" w:hAnsi="Times New Roman" w:cs="Times New Roman"/>
                <w:bCs w:val="0"/>
                <w:color w:val="auto"/>
                <w:sz w:val="24"/>
                <w:szCs w:val="24"/>
                <w:highlight w:val="none"/>
              </w:rPr>
              <w:t>NO</w:t>
            </w:r>
            <w:r>
              <w:rPr>
                <w:rFonts w:hint="default" w:ascii="Times New Roman" w:hAnsi="Times New Roman" w:cs="Times New Roman"/>
                <w:bCs w:val="0"/>
                <w:color w:val="auto"/>
                <w:sz w:val="24"/>
                <w:szCs w:val="24"/>
                <w:highlight w:val="none"/>
                <w:vertAlign w:val="subscript"/>
              </w:rPr>
              <w:t>x</w:t>
            </w:r>
          </w:p>
        </w:tc>
        <w:tc>
          <w:tcPr>
            <w:tcW w:w="2551" w:type="dxa"/>
            <w:vMerge w:val="restart"/>
            <w:vAlign w:val="center"/>
          </w:tcPr>
          <w:p>
            <w:pPr>
              <w:jc w:val="center"/>
              <w:rPr>
                <w:color w:val="auto"/>
                <w:sz w:val="24"/>
                <w:highlight w:val="none"/>
              </w:rPr>
            </w:pPr>
            <w:r>
              <w:rPr>
                <w:rFonts w:hint="eastAsia"/>
                <w:color w:val="auto"/>
                <w:sz w:val="24"/>
                <w:highlight w:val="none"/>
              </w:rPr>
              <w:t>锅炉烟气通过</w:t>
            </w:r>
            <w:r>
              <w:rPr>
                <w:rFonts w:hint="eastAsia"/>
                <w:color w:val="auto"/>
                <w:sz w:val="24"/>
                <w:highlight w:val="none"/>
                <w:lang w:eastAsia="zh-CN"/>
              </w:rPr>
              <w:t>干式除尘器</w:t>
            </w:r>
            <w:r>
              <w:rPr>
                <w:rFonts w:hint="eastAsia"/>
                <w:color w:val="auto"/>
                <w:sz w:val="24"/>
                <w:highlight w:val="none"/>
                <w:lang w:val="en-US" w:eastAsia="zh-CN"/>
              </w:rPr>
              <w:t>+</w:t>
            </w:r>
            <w:r>
              <w:rPr>
                <w:rFonts w:hint="eastAsia"/>
                <w:color w:val="auto"/>
                <w:sz w:val="24"/>
                <w:highlight w:val="none"/>
              </w:rPr>
              <w:t>布袋除尘（除尘效率为99</w:t>
            </w:r>
            <w:r>
              <w:rPr>
                <w:rFonts w:hint="eastAsia"/>
                <w:color w:val="auto"/>
                <w:sz w:val="24"/>
                <w:highlight w:val="none"/>
                <w:lang w:val="en-US" w:eastAsia="zh-CN"/>
              </w:rPr>
              <w:t>.9</w:t>
            </w:r>
            <w:r>
              <w:rPr>
                <w:rFonts w:hint="eastAsia"/>
                <w:color w:val="auto"/>
                <w:sz w:val="24"/>
                <w:highlight w:val="none"/>
              </w:rPr>
              <w:t>%）、氧化镁脱硫（脱硫效率</w:t>
            </w:r>
            <w:r>
              <w:rPr>
                <w:rFonts w:hint="eastAsia"/>
                <w:color w:val="auto"/>
                <w:sz w:val="24"/>
                <w:highlight w:val="none"/>
                <w:lang w:val="en-US" w:eastAsia="zh-CN"/>
              </w:rPr>
              <w:t>8</w:t>
            </w:r>
            <w:r>
              <w:rPr>
                <w:rFonts w:hint="eastAsia"/>
                <w:color w:val="auto"/>
                <w:sz w:val="24"/>
                <w:highlight w:val="none"/>
              </w:rPr>
              <w:t>0%）、SNCR脱硝（脱硝效率为</w:t>
            </w:r>
            <w:r>
              <w:rPr>
                <w:rFonts w:hint="eastAsia"/>
                <w:color w:val="auto"/>
                <w:sz w:val="24"/>
                <w:highlight w:val="none"/>
                <w:lang w:val="en-US" w:eastAsia="zh-CN"/>
              </w:rPr>
              <w:t>5</w:t>
            </w:r>
            <w:r>
              <w:rPr>
                <w:rFonts w:hint="eastAsia"/>
                <w:color w:val="auto"/>
                <w:sz w:val="24"/>
                <w:highlight w:val="none"/>
              </w:rPr>
              <w:t>0%）处理后通过现有</w:t>
            </w:r>
            <w:r>
              <w:rPr>
                <w:rFonts w:hint="eastAsia"/>
                <w:color w:val="auto"/>
                <w:sz w:val="24"/>
                <w:highlight w:val="none"/>
                <w:lang w:val="en-US" w:eastAsia="zh-CN"/>
              </w:rPr>
              <w:t>60</w:t>
            </w:r>
            <w:r>
              <w:rPr>
                <w:color w:val="auto"/>
                <w:sz w:val="24"/>
                <w:highlight w:val="none"/>
              </w:rPr>
              <w:t>m</w:t>
            </w:r>
            <w:r>
              <w:rPr>
                <w:rFonts w:hint="eastAsia"/>
                <w:color w:val="auto"/>
                <w:sz w:val="24"/>
                <w:highlight w:val="none"/>
              </w:rPr>
              <w:t>高烟囱排放</w:t>
            </w:r>
          </w:p>
        </w:tc>
        <w:tc>
          <w:tcPr>
            <w:tcW w:w="2801" w:type="dxa"/>
            <w:vAlign w:val="center"/>
          </w:tcPr>
          <w:p>
            <w:pPr>
              <w:jc w:val="center"/>
              <w:rPr>
                <w:color w:val="auto"/>
                <w:sz w:val="24"/>
                <w:highlight w:val="none"/>
              </w:rPr>
            </w:pPr>
            <w:r>
              <w:rPr>
                <w:color w:val="auto"/>
                <w:sz w:val="24"/>
                <w:highlight w:val="none"/>
              </w:rPr>
              <w:t>《锅炉大气污染物排放标准》（GB13271-2014）表</w:t>
            </w:r>
            <w:r>
              <w:rPr>
                <w:rFonts w:hint="eastAsia"/>
                <w:color w:val="auto"/>
                <w:sz w:val="24"/>
                <w:highlight w:val="none"/>
                <w:lang w:val="en-US" w:eastAsia="zh-CN"/>
              </w:rPr>
              <w:t>2</w:t>
            </w:r>
            <w:r>
              <w:rPr>
                <w:color w:val="auto"/>
                <w:sz w:val="24"/>
                <w:highlight w:val="none"/>
              </w:rPr>
              <w:t>限值要求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07" w:hRule="atLeast"/>
        </w:trPr>
        <w:tc>
          <w:tcPr>
            <w:tcW w:w="1080" w:type="dxa"/>
            <w:vMerge w:val="continue"/>
            <w:vAlign w:val="center"/>
          </w:tcPr>
          <w:p>
            <w:pPr>
              <w:jc w:val="center"/>
              <w:rPr>
                <w:color w:val="auto"/>
                <w:sz w:val="24"/>
                <w:highlight w:val="none"/>
              </w:rPr>
            </w:pPr>
          </w:p>
        </w:tc>
        <w:tc>
          <w:tcPr>
            <w:tcW w:w="1227" w:type="dxa"/>
            <w:vAlign w:val="center"/>
          </w:tcPr>
          <w:p>
            <w:pPr>
              <w:jc w:val="center"/>
              <w:rPr>
                <w:rFonts w:hint="default" w:eastAsia="宋体"/>
                <w:color w:val="auto"/>
                <w:sz w:val="24"/>
                <w:highlight w:val="none"/>
                <w:lang w:val="en-US" w:eastAsia="zh-CN"/>
              </w:rPr>
            </w:pPr>
            <w:r>
              <w:rPr>
                <w:rFonts w:hint="eastAsia"/>
                <w:color w:val="auto"/>
                <w:sz w:val="24"/>
                <w:highlight w:val="none"/>
                <w:lang w:val="en-US" w:eastAsia="zh-CN"/>
              </w:rPr>
              <w:t>SNCR系统</w:t>
            </w:r>
          </w:p>
        </w:tc>
        <w:tc>
          <w:tcPr>
            <w:tcW w:w="1701" w:type="dxa"/>
            <w:vAlign w:val="center"/>
          </w:tcPr>
          <w:p>
            <w:pPr>
              <w:pStyle w:val="35"/>
              <w:ind w:firstLine="480" w:firstLineChars="200"/>
              <w:rPr>
                <w:rFonts w:hint="eastAsia" w:ascii="Times New Roman" w:hAnsi="Times New Roman" w:eastAsia="宋体" w:cs="Times New Roman"/>
                <w:bCs w:val="0"/>
                <w:color w:val="auto"/>
                <w:sz w:val="24"/>
                <w:szCs w:val="24"/>
                <w:highlight w:val="none"/>
                <w:lang w:eastAsia="zh-CN"/>
              </w:rPr>
            </w:pPr>
            <w:r>
              <w:rPr>
                <w:rFonts w:hint="eastAsia" w:cs="Times New Roman"/>
                <w:bCs w:val="0"/>
                <w:color w:val="auto"/>
                <w:sz w:val="24"/>
                <w:szCs w:val="24"/>
                <w:highlight w:val="none"/>
                <w:lang w:eastAsia="zh-CN"/>
              </w:rPr>
              <w:t>氨</w:t>
            </w:r>
          </w:p>
        </w:tc>
        <w:tc>
          <w:tcPr>
            <w:tcW w:w="2551" w:type="dxa"/>
            <w:vMerge w:val="continue"/>
            <w:vAlign w:val="center"/>
          </w:tcPr>
          <w:p>
            <w:pPr>
              <w:jc w:val="center"/>
              <w:rPr>
                <w:rFonts w:hint="eastAsia"/>
                <w:color w:val="auto"/>
                <w:sz w:val="24"/>
                <w:highlight w:val="none"/>
              </w:rPr>
            </w:pPr>
          </w:p>
        </w:tc>
        <w:tc>
          <w:tcPr>
            <w:tcW w:w="2801" w:type="dxa"/>
            <w:vAlign w:val="center"/>
          </w:tcPr>
          <w:p>
            <w:pPr>
              <w:jc w:val="center"/>
              <w:rPr>
                <w:rFonts w:hint="eastAsia" w:eastAsia="宋体"/>
                <w:color w:val="auto"/>
                <w:sz w:val="24"/>
                <w:highlight w:val="none"/>
                <w:lang w:val="en-US" w:eastAsia="zh-CN"/>
              </w:rPr>
            </w:pPr>
            <w:r>
              <w:rPr>
                <w:rFonts w:hint="eastAsia"/>
                <w:color w:val="auto"/>
                <w:sz w:val="24"/>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926" w:hRule="atLeast"/>
        </w:trPr>
        <w:tc>
          <w:tcPr>
            <w:tcW w:w="1080" w:type="dxa"/>
            <w:vMerge w:val="restart"/>
            <w:vAlign w:val="center"/>
          </w:tcPr>
          <w:p>
            <w:pPr>
              <w:jc w:val="center"/>
              <w:rPr>
                <w:color w:val="auto"/>
                <w:sz w:val="24"/>
                <w:highlight w:val="none"/>
              </w:rPr>
            </w:pPr>
            <w:r>
              <w:rPr>
                <w:color w:val="auto"/>
                <w:sz w:val="24"/>
                <w:highlight w:val="none"/>
              </w:rPr>
              <w:t>固体废物</w:t>
            </w:r>
          </w:p>
        </w:tc>
        <w:tc>
          <w:tcPr>
            <w:tcW w:w="1227" w:type="dxa"/>
            <w:vMerge w:val="restart"/>
            <w:vAlign w:val="center"/>
          </w:tcPr>
          <w:p>
            <w:pPr>
              <w:jc w:val="center"/>
              <w:rPr>
                <w:color w:val="auto"/>
                <w:sz w:val="24"/>
                <w:highlight w:val="none"/>
              </w:rPr>
            </w:pPr>
            <w:r>
              <w:rPr>
                <w:color w:val="auto"/>
                <w:sz w:val="24"/>
                <w:highlight w:val="none"/>
              </w:rPr>
              <w:t>锅炉</w:t>
            </w:r>
          </w:p>
        </w:tc>
        <w:tc>
          <w:tcPr>
            <w:tcW w:w="1701" w:type="dxa"/>
            <w:vAlign w:val="center"/>
          </w:tcPr>
          <w:p>
            <w:pPr>
              <w:jc w:val="center"/>
              <w:rPr>
                <w:color w:val="auto"/>
                <w:sz w:val="24"/>
                <w:highlight w:val="none"/>
              </w:rPr>
            </w:pPr>
            <w:r>
              <w:rPr>
                <w:rFonts w:hint="eastAsia"/>
                <w:color w:val="auto"/>
                <w:sz w:val="24"/>
                <w:highlight w:val="none"/>
              </w:rPr>
              <w:t>脱硫副产物（硫酸镁）</w:t>
            </w:r>
          </w:p>
        </w:tc>
        <w:tc>
          <w:tcPr>
            <w:tcW w:w="2551" w:type="dxa"/>
            <w:vMerge w:val="restart"/>
            <w:vAlign w:val="center"/>
          </w:tcPr>
          <w:p>
            <w:pPr>
              <w:pStyle w:val="226"/>
              <w:rPr>
                <w:color w:val="auto"/>
                <w:sz w:val="24"/>
                <w:szCs w:val="24"/>
                <w:highlight w:val="none"/>
              </w:rPr>
            </w:pPr>
            <w:r>
              <w:rPr>
                <w:rFonts w:hint="eastAsia"/>
                <w:color w:val="auto"/>
                <w:sz w:val="24"/>
                <w:szCs w:val="24"/>
                <w:highlight w:val="none"/>
              </w:rPr>
              <w:t>集中收集后外售综合利用</w:t>
            </w:r>
          </w:p>
        </w:tc>
        <w:tc>
          <w:tcPr>
            <w:tcW w:w="2801" w:type="dxa"/>
            <w:vMerge w:val="restart"/>
            <w:vAlign w:val="center"/>
          </w:tcPr>
          <w:p>
            <w:pPr>
              <w:pStyle w:val="226"/>
              <w:spacing w:line="240" w:lineRule="auto"/>
              <w:rPr>
                <w:color w:val="auto"/>
                <w:sz w:val="24"/>
                <w:szCs w:val="24"/>
                <w:highlight w:val="none"/>
              </w:rPr>
            </w:pPr>
            <w:r>
              <w:rPr>
                <w:color w:val="auto"/>
                <w:sz w:val="24"/>
                <w:szCs w:val="24"/>
                <w:highlight w:val="none"/>
              </w:rPr>
              <w:t>处置率100%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65" w:hRule="atLeast"/>
        </w:trPr>
        <w:tc>
          <w:tcPr>
            <w:tcW w:w="1080" w:type="dxa"/>
            <w:vMerge w:val="continue"/>
            <w:vAlign w:val="center"/>
          </w:tcPr>
          <w:p>
            <w:pPr>
              <w:jc w:val="center"/>
              <w:rPr>
                <w:color w:val="auto"/>
                <w:sz w:val="24"/>
                <w:highlight w:val="none"/>
              </w:rPr>
            </w:pPr>
          </w:p>
        </w:tc>
        <w:tc>
          <w:tcPr>
            <w:tcW w:w="1227" w:type="dxa"/>
            <w:vMerge w:val="continue"/>
            <w:vAlign w:val="center"/>
          </w:tcPr>
          <w:p>
            <w:pPr>
              <w:jc w:val="center"/>
              <w:rPr>
                <w:color w:val="auto"/>
                <w:sz w:val="24"/>
                <w:highlight w:val="none"/>
              </w:rPr>
            </w:pPr>
          </w:p>
        </w:tc>
        <w:tc>
          <w:tcPr>
            <w:tcW w:w="1701" w:type="dxa"/>
            <w:vAlign w:val="center"/>
          </w:tcPr>
          <w:p>
            <w:pPr>
              <w:jc w:val="center"/>
              <w:rPr>
                <w:rFonts w:hint="eastAsia"/>
                <w:color w:val="auto"/>
                <w:sz w:val="24"/>
                <w:highlight w:val="none"/>
              </w:rPr>
            </w:pPr>
            <w:r>
              <w:rPr>
                <w:rFonts w:hint="eastAsia"/>
                <w:color w:val="auto"/>
                <w:sz w:val="24"/>
                <w:highlight w:val="none"/>
              </w:rPr>
              <w:t>除尘器回收粉尘</w:t>
            </w:r>
          </w:p>
        </w:tc>
        <w:tc>
          <w:tcPr>
            <w:tcW w:w="2551" w:type="dxa"/>
            <w:vMerge w:val="continue"/>
            <w:vAlign w:val="center"/>
          </w:tcPr>
          <w:p>
            <w:pPr>
              <w:pStyle w:val="226"/>
              <w:rPr>
                <w:rFonts w:hint="eastAsia"/>
                <w:color w:val="auto"/>
                <w:sz w:val="24"/>
                <w:szCs w:val="24"/>
                <w:highlight w:val="none"/>
              </w:rPr>
            </w:pPr>
          </w:p>
        </w:tc>
        <w:tc>
          <w:tcPr>
            <w:tcW w:w="2801" w:type="dxa"/>
            <w:vMerge w:val="continue"/>
            <w:vAlign w:val="center"/>
          </w:tcPr>
          <w:p>
            <w:pPr>
              <w:pStyle w:val="226"/>
              <w:spacing w:line="240" w:lineRule="auto"/>
              <w:rPr>
                <w:color w:val="auto"/>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832" w:hRule="atLeast"/>
        </w:trPr>
        <w:tc>
          <w:tcPr>
            <w:tcW w:w="1080" w:type="dxa"/>
            <w:vAlign w:val="center"/>
          </w:tcPr>
          <w:p>
            <w:pPr>
              <w:jc w:val="center"/>
              <w:rPr>
                <w:color w:val="auto"/>
                <w:sz w:val="24"/>
                <w:highlight w:val="none"/>
              </w:rPr>
            </w:pPr>
            <w:r>
              <w:rPr>
                <w:color w:val="auto"/>
                <w:sz w:val="24"/>
                <w:highlight w:val="none"/>
              </w:rPr>
              <w:t>噪声</w:t>
            </w:r>
          </w:p>
        </w:tc>
        <w:tc>
          <w:tcPr>
            <w:tcW w:w="1227" w:type="dxa"/>
            <w:vAlign w:val="center"/>
          </w:tcPr>
          <w:p>
            <w:pPr>
              <w:pStyle w:val="226"/>
              <w:spacing w:line="240" w:lineRule="auto"/>
              <w:rPr>
                <w:color w:val="auto"/>
                <w:sz w:val="24"/>
                <w:szCs w:val="24"/>
                <w:highlight w:val="none"/>
              </w:rPr>
            </w:pPr>
            <w:r>
              <w:rPr>
                <w:color w:val="auto"/>
                <w:sz w:val="24"/>
                <w:szCs w:val="24"/>
                <w:highlight w:val="none"/>
              </w:rPr>
              <w:t>生产噪声</w:t>
            </w:r>
          </w:p>
        </w:tc>
        <w:tc>
          <w:tcPr>
            <w:tcW w:w="1701" w:type="dxa"/>
            <w:vAlign w:val="center"/>
          </w:tcPr>
          <w:p>
            <w:pPr>
              <w:pStyle w:val="226"/>
              <w:spacing w:line="240" w:lineRule="auto"/>
              <w:rPr>
                <w:color w:val="auto"/>
                <w:sz w:val="24"/>
                <w:szCs w:val="24"/>
                <w:highlight w:val="none"/>
              </w:rPr>
            </w:pPr>
            <w:r>
              <w:rPr>
                <w:color w:val="auto"/>
                <w:sz w:val="24"/>
                <w:szCs w:val="24"/>
                <w:highlight w:val="none"/>
              </w:rPr>
              <w:t>噪声</w:t>
            </w:r>
          </w:p>
        </w:tc>
        <w:tc>
          <w:tcPr>
            <w:tcW w:w="2551" w:type="dxa"/>
            <w:vAlign w:val="center"/>
          </w:tcPr>
          <w:p>
            <w:pPr>
              <w:pStyle w:val="199"/>
              <w:jc w:val="center"/>
              <w:rPr>
                <w:color w:val="auto"/>
                <w:sz w:val="24"/>
                <w:szCs w:val="24"/>
                <w:highlight w:val="none"/>
              </w:rPr>
            </w:pPr>
            <w:r>
              <w:rPr>
                <w:color w:val="auto"/>
                <w:sz w:val="24"/>
                <w:szCs w:val="24"/>
                <w:highlight w:val="none"/>
              </w:rPr>
              <w:t>选取低噪声设备，隔声减振措施，合理安排活动时间</w:t>
            </w:r>
          </w:p>
        </w:tc>
        <w:tc>
          <w:tcPr>
            <w:tcW w:w="2801" w:type="dxa"/>
            <w:vAlign w:val="center"/>
          </w:tcPr>
          <w:p>
            <w:pPr>
              <w:jc w:val="center"/>
              <w:rPr>
                <w:color w:val="auto"/>
                <w:sz w:val="24"/>
                <w:highlight w:val="none"/>
              </w:rPr>
            </w:pPr>
            <w:r>
              <w:rPr>
                <w:color w:val="auto"/>
                <w:sz w:val="24"/>
                <w:highlight w:val="none"/>
              </w:rPr>
              <w:t>《工业企业厂界环境噪声排放标准》（GB12348-2008）中2类标准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trPr>
        <w:tc>
          <w:tcPr>
            <w:tcW w:w="9360" w:type="dxa"/>
            <w:gridSpan w:val="5"/>
          </w:tcPr>
          <w:p>
            <w:pPr>
              <w:spacing w:line="500" w:lineRule="exact"/>
              <w:jc w:val="left"/>
              <w:rPr>
                <w:b/>
                <w:bCs/>
                <w:color w:val="auto"/>
                <w:sz w:val="24"/>
                <w:szCs w:val="24"/>
                <w:highlight w:val="none"/>
              </w:rPr>
            </w:pPr>
            <w:r>
              <w:rPr>
                <w:b/>
                <w:bCs/>
                <w:color w:val="auto"/>
                <w:sz w:val="24"/>
                <w:szCs w:val="24"/>
                <w:highlight w:val="none"/>
              </w:rPr>
              <w:t>生态保护措施及预期效果</w:t>
            </w:r>
          </w:p>
          <w:p>
            <w:pPr>
              <w:spacing w:line="500" w:lineRule="exact"/>
              <w:ind w:firstLine="480" w:firstLineChars="200"/>
              <w:rPr>
                <w:color w:val="auto"/>
                <w:sz w:val="24"/>
                <w:highlight w:val="none"/>
              </w:rPr>
            </w:pPr>
            <w:r>
              <w:rPr>
                <w:color w:val="auto"/>
                <w:sz w:val="24"/>
                <w:highlight w:val="none"/>
              </w:rPr>
              <w:t>本项目实施后，产生的各项污染物，经过采取相应处理后均可达标排放，对周围生态环境基本无影响。</w:t>
            </w: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spacing w:line="500" w:lineRule="exact"/>
              <w:ind w:firstLine="480" w:firstLineChars="200"/>
              <w:rPr>
                <w:color w:val="auto"/>
                <w:sz w:val="24"/>
                <w:highlight w:val="none"/>
              </w:rPr>
            </w:pPr>
          </w:p>
          <w:p>
            <w:pPr>
              <w:pStyle w:val="199"/>
              <w:spacing w:line="500" w:lineRule="atLeast"/>
              <w:jc w:val="left"/>
              <w:rPr>
                <w:rFonts w:eastAsia="楷体_GB2312"/>
                <w:color w:val="auto"/>
                <w:sz w:val="20"/>
                <w:szCs w:val="20"/>
                <w:highlight w:val="none"/>
              </w:rPr>
            </w:pPr>
          </w:p>
          <w:p>
            <w:pPr>
              <w:pStyle w:val="199"/>
              <w:spacing w:line="500" w:lineRule="atLeast"/>
              <w:jc w:val="left"/>
              <w:rPr>
                <w:rFonts w:eastAsia="楷体_GB2312"/>
                <w:color w:val="auto"/>
                <w:sz w:val="20"/>
                <w:szCs w:val="20"/>
                <w:highlight w:val="none"/>
              </w:rPr>
            </w:pPr>
          </w:p>
          <w:p>
            <w:pPr>
              <w:pStyle w:val="199"/>
              <w:spacing w:line="500" w:lineRule="atLeast"/>
              <w:jc w:val="left"/>
              <w:rPr>
                <w:rFonts w:eastAsia="楷体_GB2312"/>
                <w:color w:val="auto"/>
                <w:sz w:val="20"/>
                <w:szCs w:val="20"/>
                <w:highlight w:val="none"/>
              </w:rPr>
            </w:pPr>
          </w:p>
          <w:p>
            <w:pPr>
              <w:pStyle w:val="199"/>
              <w:spacing w:line="500" w:lineRule="atLeast"/>
              <w:jc w:val="left"/>
              <w:rPr>
                <w:rFonts w:eastAsia="楷体_GB2312"/>
                <w:color w:val="auto"/>
                <w:sz w:val="20"/>
                <w:szCs w:val="20"/>
                <w:highlight w:val="none"/>
              </w:rPr>
            </w:pPr>
          </w:p>
          <w:p>
            <w:pPr>
              <w:pStyle w:val="199"/>
              <w:spacing w:line="500" w:lineRule="atLeast"/>
              <w:jc w:val="left"/>
              <w:rPr>
                <w:rFonts w:eastAsia="楷体_GB2312"/>
                <w:color w:val="auto"/>
                <w:sz w:val="20"/>
                <w:szCs w:val="20"/>
                <w:highlight w:val="none"/>
              </w:rPr>
            </w:pPr>
          </w:p>
          <w:p>
            <w:pPr>
              <w:pStyle w:val="199"/>
              <w:spacing w:line="500" w:lineRule="atLeast"/>
              <w:jc w:val="left"/>
              <w:rPr>
                <w:rFonts w:eastAsia="楷体_GB2312"/>
                <w:color w:val="auto"/>
                <w:sz w:val="20"/>
                <w:szCs w:val="20"/>
                <w:highlight w:val="none"/>
              </w:rPr>
            </w:pPr>
          </w:p>
          <w:p>
            <w:pPr>
              <w:pStyle w:val="199"/>
              <w:spacing w:line="500" w:lineRule="atLeast"/>
              <w:jc w:val="left"/>
              <w:rPr>
                <w:rFonts w:eastAsia="楷体_GB2312"/>
                <w:color w:val="auto"/>
                <w:sz w:val="20"/>
                <w:szCs w:val="20"/>
                <w:highlight w:val="none"/>
              </w:rPr>
            </w:pPr>
          </w:p>
          <w:p>
            <w:pPr>
              <w:pStyle w:val="199"/>
              <w:spacing w:line="500" w:lineRule="atLeast"/>
              <w:jc w:val="left"/>
              <w:rPr>
                <w:rFonts w:eastAsia="楷体_GB2312"/>
                <w:color w:val="auto"/>
                <w:sz w:val="20"/>
                <w:szCs w:val="20"/>
                <w:highlight w:val="none"/>
              </w:rPr>
            </w:pPr>
          </w:p>
        </w:tc>
      </w:tr>
      <w:bookmarkEnd w:id="15"/>
    </w:tbl>
    <w:p>
      <w:pPr>
        <w:rPr>
          <w:b/>
          <w:bCs/>
          <w:color w:val="auto"/>
          <w:szCs w:val="32"/>
          <w:highlight w:val="none"/>
        </w:rPr>
        <w:sectPr>
          <w:footerReference r:id="rId6"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38" w:name="_Toc168801338"/>
      <w:bookmarkStart w:id="39" w:name="_Toc166044488"/>
      <w:bookmarkStart w:id="40" w:name="_Toc172340600"/>
      <w:bookmarkStart w:id="41" w:name="_Toc280615196"/>
      <w:bookmarkStart w:id="42" w:name="_Toc288044540"/>
      <w:bookmarkStart w:id="43" w:name="_Toc238268280"/>
      <w:bookmarkStart w:id="44" w:name="_Toc240425416"/>
      <w:bookmarkStart w:id="45" w:name="_Toc166044626"/>
      <w:bookmarkStart w:id="46" w:name="_Toc240254832"/>
      <w:bookmarkStart w:id="47" w:name="_Toc174420025"/>
      <w:bookmarkStart w:id="48" w:name="_Toc174293208"/>
      <w:bookmarkStart w:id="49" w:name="_Toc178003668"/>
      <w:bookmarkStart w:id="50" w:name="_Toc174134341"/>
      <w:bookmarkStart w:id="51" w:name="_Toc174175092"/>
      <w:bookmarkStart w:id="52" w:name="_Toc237158721"/>
      <w:bookmarkStart w:id="53" w:name="_Toc171147904"/>
      <w:bookmarkStart w:id="54" w:name="_Toc167851412"/>
    </w:p>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p>
      <w:pPr>
        <w:pStyle w:val="143"/>
        <w:pageBreakBefore/>
        <w:outlineLvl w:val="0"/>
        <w:rPr>
          <w:rFonts w:ascii="Times New Roman" w:hAnsi="Times New Roman"/>
          <w:b/>
          <w:bCs w:val="0"/>
          <w:color w:val="auto"/>
          <w:szCs w:val="32"/>
          <w:highlight w:val="none"/>
        </w:rPr>
      </w:pPr>
      <w:bookmarkStart w:id="55" w:name="_Toc1057"/>
      <w:bookmarkStart w:id="56" w:name="_Toc288044597"/>
      <w:r>
        <w:rPr>
          <w:rFonts w:hint="eastAsia" w:ascii="Times New Roman" w:hAnsi="Times New Roman"/>
          <w:b/>
          <w:bCs w:val="0"/>
          <w:color w:val="auto"/>
          <w:szCs w:val="32"/>
          <w:highlight w:val="none"/>
          <w:lang w:eastAsia="zh-CN"/>
        </w:rPr>
        <w:t>九、</w:t>
      </w:r>
      <w:r>
        <w:rPr>
          <w:rFonts w:ascii="Times New Roman" w:hAnsi="Times New Roman"/>
          <w:b/>
          <w:bCs w:val="0"/>
          <w:color w:val="auto"/>
          <w:szCs w:val="32"/>
          <w:highlight w:val="none"/>
        </w:rPr>
        <w:t>结论与建议</w:t>
      </w:r>
      <w:bookmarkEnd w:id="55"/>
      <w:bookmarkEnd w:id="56"/>
    </w:p>
    <w:tbl>
      <w:tblPr>
        <w:tblStyle w:val="36"/>
        <w:tblW w:w="8796" w:type="dxa"/>
        <w:tblInd w:w="0"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8796"/>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3217" w:hRule="atLeast"/>
        </w:trPr>
        <w:tc>
          <w:tcPr>
            <w:tcW w:w="8796" w:type="dxa"/>
          </w:tcPr>
          <w:p>
            <w:pPr>
              <w:spacing w:line="360" w:lineRule="auto"/>
              <w:ind w:firstLine="482" w:firstLineChars="200"/>
              <w:rPr>
                <w:b/>
                <w:color w:val="auto"/>
                <w:sz w:val="24"/>
                <w:szCs w:val="28"/>
                <w:highlight w:val="none"/>
              </w:rPr>
            </w:pPr>
            <w:r>
              <w:rPr>
                <w:b/>
                <w:color w:val="auto"/>
                <w:sz w:val="24"/>
                <w:szCs w:val="28"/>
                <w:highlight w:val="none"/>
              </w:rPr>
              <w:t>一、项目基本情况</w:t>
            </w:r>
          </w:p>
          <w:p>
            <w:pPr>
              <w:spacing w:line="360" w:lineRule="auto"/>
              <w:ind w:firstLine="480" w:firstLineChars="200"/>
              <w:rPr>
                <w:color w:val="auto"/>
                <w:kern w:val="0"/>
                <w:sz w:val="24"/>
                <w:szCs w:val="28"/>
                <w:highlight w:val="none"/>
              </w:rPr>
            </w:pPr>
            <w:r>
              <w:rPr>
                <w:color w:val="auto"/>
                <w:kern w:val="0"/>
                <w:sz w:val="24"/>
                <w:szCs w:val="28"/>
                <w:highlight w:val="none"/>
              </w:rPr>
              <w:t>本项目位于</w:t>
            </w:r>
            <w:r>
              <w:rPr>
                <w:rFonts w:hint="eastAsia" w:ascii="宋体" w:hAnsi="宋体"/>
                <w:color w:val="auto"/>
                <w:sz w:val="24"/>
                <w:highlight w:val="none"/>
              </w:rPr>
              <w:t>黑龙江省</w:t>
            </w:r>
            <w:r>
              <w:rPr>
                <w:rFonts w:hint="eastAsia" w:ascii="宋体" w:hAnsi="宋体"/>
                <w:color w:val="auto"/>
                <w:sz w:val="24"/>
                <w:highlight w:val="none"/>
                <w:lang w:eastAsia="zh-CN"/>
              </w:rPr>
              <w:t>江川农场供热中心</w:t>
            </w:r>
            <w:r>
              <w:rPr>
                <w:rFonts w:hint="eastAsia"/>
                <w:color w:val="auto"/>
                <w:sz w:val="24"/>
                <w:highlight w:val="none"/>
              </w:rPr>
              <w:t>院内</w:t>
            </w:r>
            <w:r>
              <w:rPr>
                <w:rFonts w:hint="eastAsia"/>
                <w:bCs/>
                <w:color w:val="auto"/>
                <w:kern w:val="0"/>
                <w:sz w:val="24"/>
                <w:szCs w:val="28"/>
                <w:highlight w:val="none"/>
              </w:rPr>
              <w:t>，</w:t>
            </w:r>
            <w:r>
              <w:rPr>
                <w:rFonts w:hint="eastAsia"/>
                <w:bCs/>
                <w:color w:val="auto"/>
                <w:kern w:val="0"/>
                <w:sz w:val="24"/>
                <w:szCs w:val="28"/>
                <w:highlight w:val="none"/>
                <w:lang w:eastAsia="zh-CN"/>
              </w:rPr>
              <w:t>新建一座脱硫脱硝设施用房，并为</w:t>
            </w:r>
            <w:r>
              <w:rPr>
                <w:rFonts w:hint="eastAsia"/>
                <w:bCs/>
                <w:color w:val="auto"/>
                <w:kern w:val="0"/>
                <w:sz w:val="24"/>
                <w:szCs w:val="28"/>
                <w:highlight w:val="none"/>
              </w:rPr>
              <w:t>现有锅炉</w:t>
            </w:r>
            <w:r>
              <w:rPr>
                <w:rFonts w:hint="eastAsia"/>
                <w:color w:val="auto"/>
                <w:kern w:val="0"/>
                <w:sz w:val="24"/>
                <w:szCs w:val="28"/>
                <w:highlight w:val="none"/>
              </w:rPr>
              <w:t>增</w:t>
            </w:r>
            <w:r>
              <w:rPr>
                <w:rFonts w:hint="eastAsia"/>
                <w:color w:val="auto"/>
                <w:kern w:val="0"/>
                <w:sz w:val="24"/>
                <w:szCs w:val="28"/>
                <w:highlight w:val="none"/>
                <w:lang w:eastAsia="zh-CN"/>
              </w:rPr>
              <w:t>设</w:t>
            </w:r>
            <w:r>
              <w:rPr>
                <w:rFonts w:hint="eastAsia"/>
                <w:color w:val="auto"/>
                <w:kern w:val="0"/>
                <w:sz w:val="24"/>
                <w:szCs w:val="28"/>
                <w:highlight w:val="none"/>
              </w:rPr>
              <w:t>氧化镁脱硫、SNCR脱硝措施，</w:t>
            </w:r>
            <w:r>
              <w:rPr>
                <w:rFonts w:hint="eastAsia"/>
                <w:color w:val="auto"/>
                <w:kern w:val="0"/>
                <w:sz w:val="24"/>
                <w:szCs w:val="28"/>
                <w:highlight w:val="none"/>
                <w:lang w:eastAsia="zh-CN"/>
              </w:rPr>
              <w:t>为每台锅炉增设一台</w:t>
            </w:r>
            <w:r>
              <w:rPr>
                <w:rFonts w:hint="eastAsia"/>
                <w:color w:val="auto"/>
                <w:kern w:val="0"/>
                <w:sz w:val="24"/>
                <w:szCs w:val="28"/>
                <w:highlight w:val="none"/>
              </w:rPr>
              <w:t>布袋除尘器，</w:t>
            </w:r>
            <w:r>
              <w:rPr>
                <w:rFonts w:hint="eastAsia"/>
                <w:color w:val="auto"/>
                <w:sz w:val="24"/>
                <w:highlight w:val="none"/>
              </w:rPr>
              <w:t>本项目总投资</w:t>
            </w:r>
            <w:r>
              <w:rPr>
                <w:rFonts w:hint="eastAsia"/>
                <w:color w:val="auto"/>
                <w:sz w:val="24"/>
                <w:highlight w:val="none"/>
                <w:lang w:val="en-US" w:eastAsia="zh-CN"/>
              </w:rPr>
              <w:t>460</w:t>
            </w:r>
            <w:r>
              <w:rPr>
                <w:rFonts w:hint="eastAsia"/>
                <w:color w:val="auto"/>
                <w:sz w:val="24"/>
                <w:highlight w:val="none"/>
              </w:rPr>
              <w:t>万元，</w:t>
            </w:r>
            <w:r>
              <w:rPr>
                <w:rFonts w:hint="eastAsia"/>
                <w:color w:val="auto"/>
                <w:sz w:val="24"/>
                <w:highlight w:val="none"/>
                <w:lang w:eastAsia="zh-CN"/>
              </w:rPr>
              <w:t>其中环保投资</w:t>
            </w:r>
            <w:r>
              <w:rPr>
                <w:rFonts w:hint="eastAsia"/>
                <w:color w:val="auto"/>
                <w:sz w:val="24"/>
                <w:highlight w:val="none"/>
                <w:lang w:val="en-US" w:eastAsia="zh-CN"/>
              </w:rPr>
              <w:t>460万元，</w:t>
            </w:r>
            <w:r>
              <w:rPr>
                <w:rFonts w:hint="eastAsia"/>
                <w:color w:val="auto"/>
                <w:sz w:val="24"/>
                <w:highlight w:val="none"/>
                <w:lang w:eastAsia="zh-CN"/>
              </w:rPr>
              <w:t>占总投资的</w:t>
            </w:r>
            <w:r>
              <w:rPr>
                <w:rFonts w:hint="eastAsia"/>
                <w:color w:val="auto"/>
                <w:sz w:val="24"/>
                <w:highlight w:val="none"/>
                <w:lang w:val="en-US" w:eastAsia="zh-CN"/>
              </w:rPr>
              <w:t>100%</w:t>
            </w:r>
            <w:r>
              <w:rPr>
                <w:color w:val="auto"/>
                <w:sz w:val="24"/>
                <w:szCs w:val="28"/>
                <w:highlight w:val="none"/>
              </w:rPr>
              <w:t>。</w:t>
            </w:r>
          </w:p>
          <w:p>
            <w:pPr>
              <w:spacing w:line="360" w:lineRule="auto"/>
              <w:ind w:firstLine="482" w:firstLineChars="200"/>
              <w:jc w:val="left"/>
              <w:rPr>
                <w:b/>
                <w:color w:val="auto"/>
                <w:sz w:val="24"/>
                <w:szCs w:val="28"/>
                <w:highlight w:val="none"/>
              </w:rPr>
            </w:pPr>
            <w:r>
              <w:rPr>
                <w:b/>
                <w:color w:val="auto"/>
                <w:sz w:val="24"/>
                <w:szCs w:val="28"/>
                <w:highlight w:val="none"/>
              </w:rPr>
              <w:t>二、产业政策符合性分析</w:t>
            </w:r>
          </w:p>
          <w:p>
            <w:pPr>
              <w:keepNext w:val="0"/>
              <w:keepLines w:val="0"/>
              <w:pageBreakBefore w:val="0"/>
              <w:widowControl w:val="0"/>
              <w:kinsoku/>
              <w:wordWrap/>
              <w:overflowPunct/>
              <w:topLinePunct w:val="0"/>
              <w:autoSpaceDE/>
              <w:autoSpaceDN/>
              <w:bidi w:val="0"/>
              <w:adjustRightInd w:val="0"/>
              <w:snapToGrid/>
              <w:spacing w:line="360" w:lineRule="auto"/>
              <w:ind w:firstLine="480" w:firstLineChars="200"/>
              <w:textAlignment w:val="auto"/>
              <w:rPr>
                <w:rFonts w:hint="default" w:ascii="Times New Roman" w:hAnsi="Times New Roman" w:cs="Times New Roman"/>
                <w:b w:val="0"/>
                <w:bCs/>
                <w:color w:val="auto"/>
                <w:sz w:val="24"/>
                <w:highlight w:val="none"/>
              </w:rPr>
            </w:pPr>
            <w:r>
              <w:rPr>
                <w:rFonts w:hint="default" w:ascii="Times New Roman" w:hAnsi="Times New Roman" w:cs="Times New Roman"/>
                <w:b w:val="0"/>
                <w:bCs/>
                <w:color w:val="auto"/>
                <w:sz w:val="24"/>
                <w:highlight w:val="none"/>
              </w:rPr>
              <w:t>本项目</w:t>
            </w:r>
            <w:r>
              <w:rPr>
                <w:rFonts w:hint="eastAsia" w:cs="Times New Roman"/>
                <w:b w:val="0"/>
                <w:bCs/>
                <w:color w:val="auto"/>
                <w:sz w:val="24"/>
                <w:highlight w:val="none"/>
                <w:lang w:eastAsia="zh-CN"/>
              </w:rPr>
              <w:t>为</w:t>
            </w:r>
            <w:r>
              <w:rPr>
                <w:rFonts w:hint="eastAsia" w:hAnsi="宋体"/>
                <w:snapToGrid w:val="0"/>
                <w:color w:val="auto"/>
                <w:kern w:val="0"/>
                <w:sz w:val="24"/>
                <w:highlight w:val="none"/>
              </w:rPr>
              <w:t>大气污染治理项目</w:t>
            </w:r>
            <w:r>
              <w:rPr>
                <w:rFonts w:hint="eastAsia"/>
                <w:color w:val="auto"/>
                <w:sz w:val="24"/>
                <w:szCs w:val="24"/>
                <w:highlight w:val="none"/>
              </w:rPr>
              <w:t>，</w:t>
            </w:r>
            <w:r>
              <w:rPr>
                <w:rFonts w:hint="default" w:ascii="Times New Roman" w:hAnsi="Times New Roman" w:cs="Times New Roman"/>
                <w:b w:val="0"/>
                <w:bCs/>
                <w:color w:val="auto"/>
                <w:sz w:val="24"/>
                <w:highlight w:val="none"/>
              </w:rPr>
              <w:t>属于《产业结构调整指导目录（201</w:t>
            </w:r>
            <w:r>
              <w:rPr>
                <w:rFonts w:hint="default" w:ascii="Times New Roman" w:hAnsi="Times New Roman" w:cs="Times New Roman"/>
                <w:b w:val="0"/>
                <w:bCs/>
                <w:color w:val="auto"/>
                <w:sz w:val="24"/>
                <w:highlight w:val="none"/>
                <w:lang w:val="en-US" w:eastAsia="zh-CN"/>
              </w:rPr>
              <w:t>9</w:t>
            </w:r>
            <w:r>
              <w:rPr>
                <w:rFonts w:hint="default" w:ascii="Times New Roman" w:hAnsi="Times New Roman" w:cs="Times New Roman"/>
                <w:b w:val="0"/>
                <w:bCs/>
                <w:color w:val="auto"/>
                <w:sz w:val="24"/>
                <w:highlight w:val="none"/>
              </w:rPr>
              <w:t>年本）》（2020年1月1日实施）</w:t>
            </w:r>
            <w:r>
              <w:rPr>
                <w:rFonts w:hint="default" w:ascii="Times New Roman" w:hAnsi="Times New Roman" w:cs="Times New Roman"/>
                <w:b w:val="0"/>
                <w:bCs/>
                <w:color w:val="auto"/>
                <w:sz w:val="24"/>
                <w:highlight w:val="none"/>
                <w:lang w:eastAsia="zh-CN"/>
              </w:rPr>
              <w:t>中“鼓励类”项目，中“二十二、城镇基础设施，</w:t>
            </w:r>
            <w:r>
              <w:rPr>
                <w:rFonts w:hint="default" w:ascii="Times New Roman" w:hAnsi="Times New Roman" w:cs="Times New Roman"/>
                <w:b w:val="0"/>
                <w:bCs/>
                <w:color w:val="auto"/>
                <w:sz w:val="24"/>
                <w:highlight w:val="none"/>
                <w:lang w:val="en-US" w:eastAsia="zh-CN"/>
              </w:rPr>
              <w:t>10城镇集中供热建设和改造工程</w:t>
            </w:r>
            <w:r>
              <w:rPr>
                <w:rFonts w:hint="default" w:ascii="Times New Roman" w:hAnsi="Times New Roman" w:cs="Times New Roman"/>
                <w:b w:val="0"/>
                <w:bCs/>
                <w:color w:val="auto"/>
                <w:sz w:val="24"/>
                <w:highlight w:val="none"/>
                <w:lang w:eastAsia="zh-CN"/>
              </w:rPr>
              <w:t>”项目，符合国家产业政策要求</w:t>
            </w:r>
            <w:r>
              <w:rPr>
                <w:rFonts w:hint="default" w:ascii="Times New Roman" w:hAnsi="Times New Roman" w:cs="Times New Roman"/>
                <w:b w:val="0"/>
                <w:bCs/>
                <w:color w:val="auto"/>
                <w:sz w:val="24"/>
                <w:highlight w:val="none"/>
              </w:rPr>
              <w:t>。</w:t>
            </w:r>
          </w:p>
          <w:p>
            <w:pPr>
              <w:spacing w:line="360" w:lineRule="auto"/>
              <w:ind w:firstLine="482" w:firstLineChars="200"/>
              <w:jc w:val="left"/>
              <w:rPr>
                <w:b/>
                <w:color w:val="auto"/>
                <w:sz w:val="24"/>
                <w:szCs w:val="28"/>
                <w:highlight w:val="none"/>
              </w:rPr>
            </w:pPr>
            <w:r>
              <w:rPr>
                <w:b/>
                <w:color w:val="auto"/>
                <w:sz w:val="24"/>
                <w:szCs w:val="28"/>
                <w:highlight w:val="none"/>
              </w:rPr>
              <w:t>三、评价区域环境质量现状结论</w:t>
            </w:r>
          </w:p>
          <w:p>
            <w:pPr>
              <w:widowControl/>
              <w:spacing w:line="360" w:lineRule="auto"/>
              <w:ind w:firstLine="480" w:firstLineChars="200"/>
              <w:rPr>
                <w:rFonts w:cs="宋体"/>
                <w:color w:val="auto"/>
                <w:sz w:val="24"/>
                <w:szCs w:val="20"/>
                <w:highlight w:val="none"/>
              </w:rPr>
            </w:pPr>
            <w:r>
              <w:rPr>
                <w:rFonts w:hint="eastAsia" w:cs="宋体"/>
                <w:color w:val="auto"/>
                <w:sz w:val="24"/>
                <w:szCs w:val="20"/>
                <w:highlight w:val="none"/>
              </w:rPr>
              <w:t>1、环境空气</w:t>
            </w:r>
          </w:p>
          <w:p>
            <w:pPr>
              <w:widowControl/>
              <w:spacing w:line="360" w:lineRule="auto"/>
              <w:ind w:firstLine="480" w:firstLineChars="200"/>
              <w:rPr>
                <w:color w:val="auto"/>
                <w:sz w:val="24"/>
                <w:szCs w:val="20"/>
                <w:highlight w:val="none"/>
              </w:rPr>
            </w:pPr>
            <w:r>
              <w:rPr>
                <w:rFonts w:hint="eastAsia" w:cs="宋体"/>
                <w:color w:val="auto"/>
                <w:sz w:val="24"/>
                <w:szCs w:val="20"/>
                <w:highlight w:val="none"/>
              </w:rPr>
              <w:t>项目所在区域空气中可吸入颗粒物</w:t>
            </w:r>
            <w:r>
              <w:rPr>
                <w:color w:val="auto"/>
                <w:sz w:val="24"/>
                <w:szCs w:val="20"/>
                <w:highlight w:val="none"/>
              </w:rPr>
              <w:t>(PM</w:t>
            </w:r>
            <w:r>
              <w:rPr>
                <w:rFonts w:hint="eastAsia"/>
                <w:color w:val="auto"/>
                <w:sz w:val="24"/>
                <w:szCs w:val="20"/>
                <w:highlight w:val="none"/>
                <w:vertAlign w:val="subscript"/>
              </w:rPr>
              <w:t>10</w:t>
            </w:r>
            <w:r>
              <w:rPr>
                <w:color w:val="auto"/>
                <w:sz w:val="24"/>
                <w:szCs w:val="20"/>
                <w:highlight w:val="none"/>
              </w:rPr>
              <w:t>)</w:t>
            </w:r>
            <w:r>
              <w:rPr>
                <w:rFonts w:hint="eastAsia"/>
                <w:color w:val="auto"/>
                <w:sz w:val="24"/>
                <w:szCs w:val="20"/>
                <w:highlight w:val="none"/>
              </w:rPr>
              <w:t>、</w:t>
            </w:r>
            <w:r>
              <w:rPr>
                <w:color w:val="auto"/>
                <w:sz w:val="24"/>
                <w:szCs w:val="20"/>
                <w:highlight w:val="none"/>
              </w:rPr>
              <w:t>二氧化硫</w:t>
            </w:r>
            <w:r>
              <w:rPr>
                <w:rFonts w:hint="eastAsia"/>
                <w:color w:val="auto"/>
                <w:sz w:val="24"/>
                <w:szCs w:val="20"/>
                <w:highlight w:val="none"/>
              </w:rPr>
              <w:t>、</w:t>
            </w:r>
            <w:r>
              <w:rPr>
                <w:color w:val="auto"/>
                <w:sz w:val="24"/>
                <w:szCs w:val="20"/>
                <w:highlight w:val="none"/>
              </w:rPr>
              <w:t>二氧化氮</w:t>
            </w:r>
            <w:r>
              <w:rPr>
                <w:rFonts w:hint="eastAsia"/>
                <w:color w:val="auto"/>
                <w:sz w:val="24"/>
                <w:szCs w:val="20"/>
                <w:highlight w:val="none"/>
              </w:rPr>
              <w:t>、</w:t>
            </w:r>
            <w:r>
              <w:rPr>
                <w:color w:val="auto"/>
                <w:sz w:val="24"/>
                <w:szCs w:val="20"/>
                <w:highlight w:val="none"/>
              </w:rPr>
              <w:t>一氧化碳</w:t>
            </w:r>
            <w:r>
              <w:rPr>
                <w:rFonts w:hint="eastAsia"/>
                <w:color w:val="auto"/>
                <w:sz w:val="24"/>
                <w:szCs w:val="20"/>
                <w:highlight w:val="none"/>
              </w:rPr>
              <w:t>、</w:t>
            </w:r>
            <w:r>
              <w:rPr>
                <w:color w:val="auto"/>
                <w:sz w:val="24"/>
                <w:szCs w:val="20"/>
                <w:highlight w:val="none"/>
              </w:rPr>
              <w:t>细颗粒物(PM</w:t>
            </w:r>
            <w:r>
              <w:rPr>
                <w:color w:val="auto"/>
                <w:sz w:val="24"/>
                <w:szCs w:val="20"/>
                <w:highlight w:val="none"/>
                <w:vertAlign w:val="subscript"/>
              </w:rPr>
              <w:t>2.5</w:t>
            </w:r>
            <w:r>
              <w:rPr>
                <w:color w:val="auto"/>
                <w:sz w:val="24"/>
                <w:szCs w:val="20"/>
                <w:highlight w:val="none"/>
              </w:rPr>
              <w:t>)</w:t>
            </w:r>
            <w:r>
              <w:rPr>
                <w:rFonts w:hint="eastAsia"/>
                <w:color w:val="auto"/>
                <w:sz w:val="24"/>
                <w:szCs w:val="20"/>
                <w:highlight w:val="none"/>
              </w:rPr>
              <w:t>、</w:t>
            </w:r>
            <w:r>
              <w:rPr>
                <w:color w:val="auto"/>
                <w:sz w:val="24"/>
                <w:szCs w:val="20"/>
                <w:highlight w:val="none"/>
              </w:rPr>
              <w:t>臭氧</w:t>
            </w:r>
            <w:r>
              <w:rPr>
                <w:rFonts w:hint="eastAsia"/>
                <w:color w:val="auto"/>
                <w:sz w:val="24"/>
                <w:szCs w:val="20"/>
                <w:highlight w:val="none"/>
              </w:rPr>
              <w:t>均符合</w:t>
            </w:r>
            <w:r>
              <w:rPr>
                <w:color w:val="auto"/>
                <w:sz w:val="24"/>
                <w:szCs w:val="20"/>
                <w:highlight w:val="none"/>
              </w:rPr>
              <w:t>《环境空气质量标准》（GB3095-2012）二级标准要求。</w:t>
            </w:r>
          </w:p>
          <w:p>
            <w:pPr>
              <w:widowControl/>
              <w:spacing w:line="360" w:lineRule="auto"/>
              <w:ind w:firstLine="480" w:firstLineChars="200"/>
              <w:rPr>
                <w:color w:val="auto"/>
                <w:sz w:val="24"/>
                <w:highlight w:val="none"/>
              </w:rPr>
            </w:pPr>
            <w:r>
              <w:rPr>
                <w:rFonts w:hint="eastAsia"/>
                <w:color w:val="auto"/>
                <w:sz w:val="24"/>
                <w:highlight w:val="none"/>
              </w:rPr>
              <w:t>2、水环境</w:t>
            </w:r>
          </w:p>
          <w:p>
            <w:pPr>
              <w:autoSpaceDE w:val="0"/>
              <w:autoSpaceDN w:val="0"/>
              <w:spacing w:line="360" w:lineRule="auto"/>
              <w:ind w:firstLine="480" w:firstLineChars="200"/>
              <w:contextualSpacing/>
              <w:rPr>
                <w:bCs/>
                <w:iCs/>
                <w:color w:val="auto"/>
                <w:sz w:val="24"/>
                <w:highlight w:val="none"/>
              </w:rPr>
            </w:pPr>
            <w:r>
              <w:rPr>
                <w:rFonts w:hAnsi="宋体"/>
                <w:bCs/>
                <w:color w:val="auto"/>
                <w:sz w:val="24"/>
                <w:highlight w:val="none"/>
              </w:rPr>
              <w:t>项目所在</w:t>
            </w:r>
            <w:r>
              <w:rPr>
                <w:rFonts w:hint="eastAsia" w:hAnsi="宋体"/>
                <w:bCs/>
                <w:color w:val="auto"/>
                <w:sz w:val="24"/>
                <w:highlight w:val="none"/>
                <w:lang w:eastAsia="zh-CN"/>
              </w:rPr>
              <w:t>区域</w:t>
            </w:r>
            <w:r>
              <w:rPr>
                <w:rFonts w:hAnsi="宋体"/>
                <w:bCs/>
                <w:color w:val="auto"/>
                <w:sz w:val="24"/>
                <w:highlight w:val="none"/>
              </w:rPr>
              <w:t>地表水体是</w:t>
            </w:r>
            <w:r>
              <w:rPr>
                <w:rFonts w:hint="eastAsia" w:hAnsi="宋体"/>
                <w:bCs/>
                <w:color w:val="auto"/>
                <w:sz w:val="24"/>
                <w:highlight w:val="none"/>
              </w:rPr>
              <w:t>松花江</w:t>
            </w:r>
            <w:r>
              <w:rPr>
                <w:rFonts w:hint="eastAsia"/>
                <w:bCs/>
                <w:iCs/>
                <w:color w:val="auto"/>
                <w:sz w:val="24"/>
                <w:highlight w:val="none"/>
                <w:lang w:eastAsia="zh-CN"/>
              </w:rPr>
              <w:t>中和村</w:t>
            </w:r>
            <w:r>
              <w:rPr>
                <w:rFonts w:hint="eastAsia"/>
                <w:bCs/>
                <w:iCs/>
                <w:color w:val="auto"/>
                <w:sz w:val="24"/>
                <w:highlight w:val="none"/>
              </w:rPr>
              <w:t>监测断面和</w:t>
            </w:r>
            <w:r>
              <w:rPr>
                <w:rFonts w:hint="eastAsia"/>
                <w:bCs/>
                <w:iCs/>
                <w:color w:val="auto"/>
                <w:sz w:val="24"/>
                <w:highlight w:val="none"/>
                <w:lang w:eastAsia="zh-CN"/>
              </w:rPr>
              <w:t>福合村</w:t>
            </w:r>
            <w:r>
              <w:rPr>
                <w:rFonts w:hint="eastAsia"/>
                <w:bCs/>
                <w:iCs/>
                <w:color w:val="auto"/>
                <w:sz w:val="24"/>
                <w:highlight w:val="none"/>
              </w:rPr>
              <w:t>监测断面之间</w:t>
            </w:r>
            <w:r>
              <w:rPr>
                <w:rFonts w:hint="eastAsia" w:hAnsi="宋体"/>
                <w:bCs/>
                <w:color w:val="auto"/>
                <w:sz w:val="24"/>
                <w:highlight w:val="none"/>
              </w:rPr>
              <w:t>，</w:t>
            </w:r>
            <w:r>
              <w:rPr>
                <w:rFonts w:hint="eastAsia" w:hAnsi="宋体"/>
                <w:bCs/>
                <w:color w:val="auto"/>
                <w:sz w:val="24"/>
                <w:highlight w:val="none"/>
                <w:lang w:eastAsia="zh-CN"/>
              </w:rPr>
              <w:t>监测断面规划水体类别为</w:t>
            </w:r>
            <w:r>
              <w:rPr>
                <w:rFonts w:hint="eastAsia" w:ascii="宋体" w:hAnsi="宋体" w:eastAsia="宋体" w:cs="宋体"/>
                <w:bCs/>
                <w:color w:val="auto"/>
                <w:sz w:val="24"/>
                <w:highlight w:val="none"/>
                <w:lang w:eastAsia="zh-CN"/>
              </w:rPr>
              <w:t>Ⅲ</w:t>
            </w:r>
            <w:r>
              <w:rPr>
                <w:rFonts w:hint="eastAsia" w:hAnsi="宋体"/>
                <w:bCs/>
                <w:color w:val="auto"/>
                <w:sz w:val="24"/>
                <w:highlight w:val="none"/>
                <w:lang w:eastAsia="zh-CN"/>
              </w:rPr>
              <w:t>类水体，</w:t>
            </w:r>
            <w:r>
              <w:rPr>
                <w:rFonts w:hint="eastAsia" w:hAnsi="宋体"/>
                <w:bCs/>
                <w:color w:val="auto"/>
                <w:sz w:val="24"/>
                <w:highlight w:val="none"/>
              </w:rPr>
              <w:t>根据佳木斯市生态环境局发布的《佳木斯市环境质量简报》（</w:t>
            </w:r>
            <w:r>
              <w:rPr>
                <w:rFonts w:hAnsi="宋体"/>
                <w:bCs/>
                <w:color w:val="auto"/>
                <w:sz w:val="24"/>
                <w:highlight w:val="none"/>
              </w:rPr>
              <w:t>2018</w:t>
            </w:r>
            <w:r>
              <w:rPr>
                <w:rFonts w:hint="eastAsia" w:hAnsi="宋体"/>
                <w:bCs/>
                <w:color w:val="auto"/>
                <w:sz w:val="24"/>
                <w:highlight w:val="none"/>
              </w:rPr>
              <w:t>年），</w:t>
            </w:r>
            <w:r>
              <w:rPr>
                <w:rFonts w:hint="eastAsia" w:hAnsi="宋体"/>
                <w:bCs/>
                <w:color w:val="auto"/>
                <w:sz w:val="24"/>
                <w:highlight w:val="none"/>
                <w:lang w:eastAsia="zh-CN"/>
              </w:rPr>
              <w:t>松花江佳木斯段干流水质达到</w:t>
            </w:r>
            <w:r>
              <w:rPr>
                <w:rFonts w:hint="eastAsia" w:ascii="宋体" w:hAnsi="宋体" w:eastAsia="宋体" w:cs="宋体"/>
                <w:bCs/>
                <w:color w:val="auto"/>
                <w:sz w:val="24"/>
                <w:highlight w:val="none"/>
                <w:lang w:eastAsia="zh-CN"/>
              </w:rPr>
              <w:t>Ⅲ</w:t>
            </w:r>
            <w:r>
              <w:rPr>
                <w:rFonts w:hint="eastAsia" w:hAnsi="宋体"/>
                <w:bCs/>
                <w:color w:val="auto"/>
                <w:sz w:val="24"/>
                <w:highlight w:val="none"/>
                <w:lang w:eastAsia="zh-CN"/>
              </w:rPr>
              <w:t>类，</w:t>
            </w:r>
            <w:r>
              <w:rPr>
                <w:rFonts w:hint="eastAsia"/>
                <w:bCs/>
                <w:iCs/>
                <w:color w:val="auto"/>
                <w:sz w:val="24"/>
                <w:highlight w:val="none"/>
              </w:rPr>
              <w:t>区域水质能够满足</w:t>
            </w:r>
            <w:r>
              <w:rPr>
                <w:rFonts w:hint="eastAsia" w:ascii="宋体" w:hAnsi="宋体" w:eastAsia="宋体" w:cs="宋体"/>
                <w:bCs/>
                <w:iCs/>
                <w:color w:val="auto"/>
                <w:sz w:val="24"/>
                <w:highlight w:val="none"/>
              </w:rPr>
              <w:t>Ⅲ</w:t>
            </w:r>
            <w:r>
              <w:rPr>
                <w:rFonts w:hint="eastAsia"/>
                <w:bCs/>
                <w:iCs/>
                <w:color w:val="auto"/>
                <w:sz w:val="24"/>
                <w:highlight w:val="none"/>
              </w:rPr>
              <w:t>类水域标准要求，水质状况良好。</w:t>
            </w:r>
          </w:p>
          <w:p>
            <w:pPr>
              <w:spacing w:line="360" w:lineRule="auto"/>
              <w:ind w:firstLine="480" w:firstLineChars="200"/>
              <w:rPr>
                <w:color w:val="auto"/>
                <w:sz w:val="24"/>
                <w:highlight w:val="none"/>
              </w:rPr>
            </w:pPr>
            <w:r>
              <w:rPr>
                <w:rFonts w:hint="eastAsia"/>
                <w:color w:val="auto"/>
                <w:sz w:val="24"/>
                <w:highlight w:val="none"/>
              </w:rPr>
              <w:t>3、声环境</w:t>
            </w:r>
          </w:p>
          <w:p>
            <w:pPr>
              <w:keepNext w:val="0"/>
              <w:keepLines w:val="0"/>
              <w:pageBreakBefore w:val="0"/>
              <w:kinsoku/>
              <w:wordWrap/>
              <w:overflowPunct/>
              <w:topLinePunct w:val="0"/>
              <w:autoSpaceDE/>
              <w:autoSpaceDN/>
              <w:bidi w:val="0"/>
              <w:adjustRightInd/>
              <w:snapToGrid/>
              <w:spacing w:line="360" w:lineRule="auto"/>
              <w:ind w:left="0"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bCs w:val="0"/>
                <w:color w:val="auto"/>
                <w:sz w:val="24"/>
                <w:szCs w:val="24"/>
                <w:highlight w:val="none"/>
              </w:rPr>
              <w:t>本项目所在区域</w:t>
            </w:r>
            <w:r>
              <w:rPr>
                <w:rFonts w:hint="default" w:ascii="Times New Roman" w:hAnsi="Times New Roman" w:eastAsia="宋体" w:cs="Times New Roman"/>
                <w:bCs w:val="0"/>
                <w:color w:val="auto"/>
                <w:sz w:val="24"/>
                <w:szCs w:val="24"/>
                <w:highlight w:val="none"/>
                <w:lang w:eastAsia="zh-CN"/>
              </w:rPr>
              <w:t>声环境属于</w:t>
            </w:r>
            <w:r>
              <w:rPr>
                <w:rFonts w:hint="default" w:ascii="Times New Roman" w:hAnsi="Times New Roman" w:eastAsia="宋体" w:cs="Times New Roman"/>
                <w:bCs w:val="0"/>
                <w:color w:val="auto"/>
                <w:sz w:val="24"/>
                <w:szCs w:val="24"/>
                <w:highlight w:val="none"/>
                <w:lang w:val="en-US" w:eastAsia="zh-CN"/>
              </w:rPr>
              <w:t>2类功能区</w:t>
            </w:r>
            <w:r>
              <w:rPr>
                <w:rFonts w:hint="default" w:ascii="Times New Roman" w:hAnsi="Times New Roman" w:eastAsia="宋体" w:cs="Times New Roman"/>
                <w:bCs w:val="0"/>
                <w:color w:val="auto"/>
                <w:sz w:val="24"/>
                <w:szCs w:val="24"/>
                <w:highlight w:val="none"/>
              </w:rPr>
              <w:t>，</w:t>
            </w:r>
            <w:r>
              <w:rPr>
                <w:rFonts w:hint="default" w:ascii="Times New Roman" w:hAnsi="Times New Roman" w:eastAsia="宋体" w:cs="Times New Roman"/>
                <w:bCs/>
                <w:color w:val="auto"/>
                <w:sz w:val="24"/>
                <w:szCs w:val="24"/>
                <w:highlight w:val="none"/>
              </w:rPr>
              <w:t>项目厂界噪声</w:t>
            </w:r>
            <w:r>
              <w:rPr>
                <w:rFonts w:hint="eastAsia" w:cs="Times New Roman"/>
                <w:bCs/>
                <w:color w:val="auto"/>
                <w:sz w:val="24"/>
                <w:szCs w:val="24"/>
                <w:highlight w:val="none"/>
                <w:lang w:eastAsia="zh-CN"/>
              </w:rPr>
              <w:t>值及敏感点</w:t>
            </w:r>
            <w:r>
              <w:rPr>
                <w:rFonts w:hint="default" w:ascii="Times New Roman" w:hAnsi="Times New Roman" w:eastAsia="宋体" w:cs="Times New Roman"/>
                <w:bCs/>
                <w:color w:val="auto"/>
                <w:sz w:val="24"/>
                <w:szCs w:val="24"/>
                <w:highlight w:val="none"/>
              </w:rPr>
              <w:t>监测值均满足《声环境质量标准》（GB3096-2008）中2类标准限值要求，项目所在区域声环境质量良好。</w:t>
            </w:r>
          </w:p>
          <w:p>
            <w:pPr>
              <w:spacing w:line="360" w:lineRule="auto"/>
              <w:ind w:firstLine="482" w:firstLineChars="200"/>
              <w:rPr>
                <w:b/>
                <w:color w:val="auto"/>
                <w:sz w:val="24"/>
                <w:szCs w:val="28"/>
                <w:highlight w:val="none"/>
              </w:rPr>
            </w:pPr>
            <w:r>
              <w:rPr>
                <w:b/>
                <w:color w:val="auto"/>
                <w:sz w:val="24"/>
                <w:szCs w:val="28"/>
                <w:highlight w:val="none"/>
              </w:rPr>
              <w:t>四、环境影响分析结论</w:t>
            </w:r>
          </w:p>
          <w:p>
            <w:pPr>
              <w:spacing w:line="360" w:lineRule="auto"/>
              <w:ind w:firstLine="472" w:firstLineChars="196"/>
              <w:jc w:val="left"/>
              <w:rPr>
                <w:b/>
                <w:color w:val="auto"/>
                <w:sz w:val="24"/>
                <w:szCs w:val="28"/>
                <w:highlight w:val="none"/>
              </w:rPr>
            </w:pPr>
            <w:r>
              <w:rPr>
                <w:b/>
                <w:color w:val="auto"/>
                <w:sz w:val="24"/>
                <w:szCs w:val="28"/>
                <w:highlight w:val="none"/>
              </w:rPr>
              <w:t>1、施工期环境影响评价结论</w:t>
            </w:r>
          </w:p>
          <w:p>
            <w:pPr>
              <w:spacing w:line="500" w:lineRule="exact"/>
              <w:ind w:firstLine="480" w:firstLineChars="200"/>
              <w:jc w:val="both"/>
              <w:rPr>
                <w:bCs w:val="0"/>
                <w:color w:val="auto"/>
                <w:sz w:val="24"/>
                <w:szCs w:val="24"/>
                <w:highlight w:val="none"/>
              </w:rPr>
            </w:pPr>
            <w:r>
              <w:rPr>
                <w:rFonts w:ascii="Calibri" w:hAnsi="Calibri" w:eastAsia="宋体" w:cs="Times New Roman"/>
                <w:color w:val="auto"/>
                <w:sz w:val="24"/>
                <w:szCs w:val="24"/>
                <w:highlight w:val="none"/>
                <w:lang w:val="en-US" w:eastAsia="zh-CN" w:bidi="ar-SA"/>
              </w:rPr>
              <w:t>本项目施工期已经结束，施工期环境影响随着施工期结束而结束。本次环评不再进行施工期评价。</w:t>
            </w:r>
          </w:p>
          <w:p>
            <w:pPr>
              <w:spacing w:line="360" w:lineRule="auto"/>
              <w:ind w:firstLine="472" w:firstLineChars="196"/>
              <w:jc w:val="left"/>
              <w:rPr>
                <w:b/>
                <w:color w:val="auto"/>
                <w:sz w:val="24"/>
                <w:szCs w:val="28"/>
                <w:highlight w:val="none"/>
              </w:rPr>
            </w:pPr>
            <w:r>
              <w:rPr>
                <w:rFonts w:hint="eastAsia"/>
                <w:b/>
                <w:color w:val="auto"/>
                <w:sz w:val="24"/>
                <w:szCs w:val="28"/>
                <w:highlight w:val="none"/>
              </w:rPr>
              <w:t>2、运营期</w:t>
            </w:r>
            <w:r>
              <w:rPr>
                <w:b/>
                <w:color w:val="auto"/>
                <w:sz w:val="24"/>
                <w:szCs w:val="28"/>
                <w:highlight w:val="none"/>
              </w:rPr>
              <w:t>环境影响评价结论</w:t>
            </w:r>
          </w:p>
          <w:p>
            <w:pPr>
              <w:spacing w:line="360" w:lineRule="auto"/>
              <w:ind w:firstLine="470" w:firstLineChars="196"/>
              <w:jc w:val="left"/>
              <w:rPr>
                <w:color w:val="auto"/>
                <w:sz w:val="24"/>
                <w:szCs w:val="28"/>
                <w:highlight w:val="none"/>
              </w:rPr>
            </w:pPr>
            <w:r>
              <w:rPr>
                <w:color w:val="auto"/>
                <w:sz w:val="24"/>
                <w:szCs w:val="28"/>
                <w:highlight w:val="none"/>
              </w:rPr>
              <w:t>（1）大气环境影响分析结论</w:t>
            </w:r>
          </w:p>
          <w:p>
            <w:pPr>
              <w:spacing w:line="360" w:lineRule="auto"/>
              <w:ind w:firstLine="480" w:firstLineChars="200"/>
              <w:rPr>
                <w:rFonts w:hint="eastAsia"/>
                <w:color w:val="auto"/>
                <w:sz w:val="24"/>
                <w:szCs w:val="20"/>
                <w:highlight w:val="none"/>
              </w:rPr>
            </w:pPr>
            <w:r>
              <w:rPr>
                <w:rFonts w:hint="eastAsia"/>
                <w:color w:val="auto"/>
                <w:sz w:val="24"/>
                <w:szCs w:val="20"/>
                <w:highlight w:val="none"/>
              </w:rPr>
              <w:t>本项目燃煤锅炉</w:t>
            </w:r>
            <w:r>
              <w:rPr>
                <w:rFonts w:hint="eastAsia"/>
                <w:color w:val="auto"/>
                <w:sz w:val="24"/>
                <w:szCs w:val="20"/>
                <w:highlight w:val="none"/>
                <w:lang w:eastAsia="zh-CN"/>
              </w:rPr>
              <w:t>增加</w:t>
            </w:r>
            <w:r>
              <w:rPr>
                <w:rFonts w:hint="eastAsia"/>
                <w:color w:val="auto"/>
                <w:sz w:val="24"/>
                <w:szCs w:val="20"/>
                <w:highlight w:val="none"/>
              </w:rPr>
              <w:t>除尘、脱硫</w:t>
            </w:r>
            <w:r>
              <w:rPr>
                <w:rFonts w:hint="eastAsia"/>
                <w:color w:val="auto"/>
                <w:sz w:val="24"/>
                <w:szCs w:val="20"/>
                <w:highlight w:val="none"/>
                <w:lang w:eastAsia="zh-CN"/>
              </w:rPr>
              <w:t>、脱</w:t>
            </w:r>
            <w:r>
              <w:rPr>
                <w:rFonts w:hint="eastAsia"/>
                <w:color w:val="auto"/>
                <w:sz w:val="24"/>
                <w:szCs w:val="20"/>
                <w:highlight w:val="none"/>
              </w:rPr>
              <w:t>硝设施，NOx排放废气中排放浓度为</w:t>
            </w:r>
            <w:r>
              <w:rPr>
                <w:rFonts w:hint="eastAsia"/>
                <w:color w:val="auto"/>
                <w:sz w:val="24"/>
                <w:szCs w:val="20"/>
                <w:highlight w:val="none"/>
                <w:lang w:val="en-US" w:eastAsia="zh-CN"/>
              </w:rPr>
              <w:t>90</w:t>
            </w:r>
            <w:r>
              <w:rPr>
                <w:rFonts w:hint="eastAsia"/>
                <w:color w:val="auto"/>
                <w:sz w:val="24"/>
                <w:szCs w:val="20"/>
                <w:highlight w:val="none"/>
              </w:rPr>
              <w:t>mg/m</w:t>
            </w:r>
            <w:r>
              <w:rPr>
                <w:rFonts w:hint="eastAsia"/>
                <w:color w:val="auto"/>
                <w:sz w:val="24"/>
                <w:szCs w:val="20"/>
                <w:highlight w:val="none"/>
                <w:vertAlign w:val="superscript"/>
              </w:rPr>
              <w:t>3</w:t>
            </w:r>
            <w:r>
              <w:rPr>
                <w:rFonts w:hint="eastAsia"/>
                <w:color w:val="auto"/>
                <w:sz w:val="24"/>
                <w:szCs w:val="20"/>
                <w:highlight w:val="none"/>
              </w:rPr>
              <w:t>；颗粒物排放浓度为</w:t>
            </w:r>
            <w:r>
              <w:rPr>
                <w:rFonts w:hint="eastAsia"/>
                <w:color w:val="auto"/>
                <w:sz w:val="24"/>
                <w:szCs w:val="20"/>
                <w:highlight w:val="none"/>
                <w:lang w:val="en-US" w:eastAsia="zh-CN"/>
              </w:rPr>
              <w:t>11.85</w:t>
            </w:r>
            <w:r>
              <w:rPr>
                <w:rFonts w:hint="eastAsia"/>
                <w:color w:val="auto"/>
                <w:sz w:val="24"/>
                <w:szCs w:val="20"/>
                <w:highlight w:val="none"/>
              </w:rPr>
              <w:t>mg/m</w:t>
            </w:r>
            <w:r>
              <w:rPr>
                <w:rFonts w:hint="eastAsia"/>
                <w:color w:val="auto"/>
                <w:sz w:val="24"/>
                <w:szCs w:val="20"/>
                <w:highlight w:val="none"/>
                <w:vertAlign w:val="superscript"/>
              </w:rPr>
              <w:t>3</w:t>
            </w:r>
            <w:r>
              <w:rPr>
                <w:rFonts w:hint="eastAsia"/>
                <w:color w:val="auto"/>
                <w:sz w:val="24"/>
                <w:szCs w:val="20"/>
                <w:highlight w:val="none"/>
              </w:rPr>
              <w:t>；SO</w:t>
            </w:r>
            <w:r>
              <w:rPr>
                <w:rFonts w:hint="eastAsia"/>
                <w:color w:val="auto"/>
                <w:sz w:val="24"/>
                <w:szCs w:val="20"/>
                <w:highlight w:val="none"/>
                <w:vertAlign w:val="subscript"/>
              </w:rPr>
              <w:t>2</w:t>
            </w:r>
            <w:r>
              <w:rPr>
                <w:rFonts w:hint="eastAsia"/>
                <w:color w:val="auto"/>
                <w:sz w:val="24"/>
                <w:szCs w:val="20"/>
                <w:highlight w:val="none"/>
              </w:rPr>
              <w:t>排放浓度为</w:t>
            </w:r>
            <w:r>
              <w:rPr>
                <w:rFonts w:hint="eastAsia"/>
                <w:color w:val="auto"/>
                <w:sz w:val="24"/>
                <w:szCs w:val="20"/>
                <w:highlight w:val="none"/>
                <w:lang w:val="en-US" w:eastAsia="zh-CN"/>
              </w:rPr>
              <w:t>80.28</w:t>
            </w:r>
            <w:r>
              <w:rPr>
                <w:rFonts w:hint="eastAsia"/>
                <w:color w:val="auto"/>
                <w:sz w:val="24"/>
                <w:szCs w:val="20"/>
                <w:highlight w:val="none"/>
              </w:rPr>
              <w:t>mg/m</w:t>
            </w:r>
            <w:r>
              <w:rPr>
                <w:rFonts w:hint="eastAsia"/>
                <w:color w:val="auto"/>
                <w:sz w:val="24"/>
                <w:szCs w:val="20"/>
                <w:highlight w:val="none"/>
                <w:vertAlign w:val="superscript"/>
              </w:rPr>
              <w:t>3</w:t>
            </w:r>
            <w:r>
              <w:rPr>
                <w:rFonts w:hint="eastAsia"/>
                <w:color w:val="auto"/>
                <w:sz w:val="24"/>
                <w:szCs w:val="20"/>
                <w:highlight w:val="none"/>
                <w:lang w:val="en-US" w:eastAsia="zh-CN"/>
              </w:rPr>
              <w:t>；汞及其化合物</w:t>
            </w:r>
            <w:r>
              <w:rPr>
                <w:rFonts w:hint="eastAsia"/>
                <w:color w:val="auto"/>
                <w:sz w:val="24"/>
                <w:szCs w:val="20"/>
                <w:highlight w:val="none"/>
              </w:rPr>
              <w:t>排放浓度为</w:t>
            </w:r>
            <w:r>
              <w:rPr>
                <w:rFonts w:hint="eastAsia"/>
                <w:color w:val="auto"/>
                <w:sz w:val="24"/>
                <w:szCs w:val="20"/>
                <w:highlight w:val="none"/>
                <w:lang w:val="en-US" w:eastAsia="zh-CN"/>
              </w:rPr>
              <w:t>0.007</w:t>
            </w:r>
            <w:r>
              <w:rPr>
                <w:rFonts w:hint="eastAsia"/>
                <w:color w:val="auto"/>
                <w:sz w:val="24"/>
                <w:szCs w:val="20"/>
                <w:highlight w:val="none"/>
              </w:rPr>
              <w:t>mg/m</w:t>
            </w:r>
            <w:r>
              <w:rPr>
                <w:rFonts w:hint="eastAsia"/>
                <w:color w:val="auto"/>
                <w:sz w:val="24"/>
                <w:szCs w:val="20"/>
                <w:highlight w:val="none"/>
                <w:vertAlign w:val="superscript"/>
              </w:rPr>
              <w:t>3</w:t>
            </w:r>
            <w:r>
              <w:rPr>
                <w:rFonts w:hint="eastAsia"/>
                <w:color w:val="auto"/>
                <w:sz w:val="24"/>
                <w:szCs w:val="20"/>
                <w:highlight w:val="none"/>
              </w:rPr>
              <w:t>，各污染物排放浓度符合《锅炉大气污染物排放标准》（GB13271-2014）表</w:t>
            </w:r>
            <w:r>
              <w:rPr>
                <w:rFonts w:hint="eastAsia"/>
                <w:color w:val="auto"/>
                <w:sz w:val="24"/>
                <w:szCs w:val="20"/>
                <w:highlight w:val="none"/>
                <w:lang w:val="en-US" w:eastAsia="zh-CN"/>
              </w:rPr>
              <w:t>2</w:t>
            </w:r>
            <w:r>
              <w:rPr>
                <w:rFonts w:hint="eastAsia"/>
                <w:color w:val="auto"/>
                <w:sz w:val="24"/>
                <w:szCs w:val="20"/>
                <w:highlight w:val="none"/>
              </w:rPr>
              <w:t>标准要求。锅炉排放的大气污染物对周围环境空气影响较小。</w:t>
            </w:r>
          </w:p>
          <w:p>
            <w:pPr>
              <w:spacing w:line="360" w:lineRule="auto"/>
              <w:ind w:firstLine="470" w:firstLineChars="196"/>
              <w:jc w:val="left"/>
              <w:rPr>
                <w:rFonts w:hint="eastAsia"/>
                <w:color w:val="auto"/>
                <w:sz w:val="24"/>
                <w:szCs w:val="24"/>
                <w:highlight w:val="none"/>
                <w:lang w:val="en-US" w:eastAsia="zh-CN"/>
              </w:rPr>
            </w:pPr>
            <w:r>
              <w:rPr>
                <w:rFonts w:hint="eastAsia"/>
                <w:snapToGrid w:val="0"/>
                <w:color w:val="auto"/>
                <w:kern w:val="0"/>
                <w:sz w:val="24"/>
                <w:szCs w:val="28"/>
                <w:highlight w:val="none"/>
              </w:rPr>
              <w:t>核算大气污染物排放总量为：</w:t>
            </w:r>
            <w:r>
              <w:rPr>
                <w:rFonts w:hint="eastAsia"/>
                <w:color w:val="auto"/>
                <w:sz w:val="24"/>
                <w:szCs w:val="20"/>
                <w:highlight w:val="none"/>
              </w:rPr>
              <w:t>SO</w:t>
            </w:r>
            <w:r>
              <w:rPr>
                <w:rFonts w:hint="eastAsia"/>
                <w:color w:val="auto"/>
                <w:sz w:val="24"/>
                <w:szCs w:val="20"/>
                <w:highlight w:val="none"/>
                <w:vertAlign w:val="subscript"/>
              </w:rPr>
              <w:t>2</w:t>
            </w:r>
            <w:r>
              <w:rPr>
                <w:rFonts w:hint="eastAsia" w:cs="Times New Roman"/>
                <w:bCs w:val="0"/>
                <w:color w:val="auto"/>
                <w:sz w:val="24"/>
                <w:szCs w:val="24"/>
                <w:highlight w:val="none"/>
                <w:lang w:val="en-US" w:eastAsia="zh-CN"/>
              </w:rPr>
              <w:t>9.874</w:t>
            </w:r>
            <w:r>
              <w:rPr>
                <w:rFonts w:hint="eastAsia"/>
                <w:color w:val="auto"/>
                <w:sz w:val="24"/>
                <w:szCs w:val="24"/>
                <w:highlight w:val="none"/>
              </w:rPr>
              <w:t>t</w:t>
            </w:r>
            <w:r>
              <w:rPr>
                <w:color w:val="auto"/>
                <w:sz w:val="24"/>
                <w:szCs w:val="24"/>
                <w:highlight w:val="none"/>
              </w:rPr>
              <w:t>/a</w:t>
            </w:r>
            <w:r>
              <w:rPr>
                <w:rFonts w:hint="eastAsia"/>
                <w:color w:val="auto"/>
                <w:sz w:val="24"/>
                <w:szCs w:val="20"/>
                <w:highlight w:val="none"/>
              </w:rPr>
              <w:t>；NOx</w:t>
            </w:r>
            <w:r>
              <w:rPr>
                <w:rFonts w:hint="eastAsia" w:cs="Times New Roman"/>
                <w:bCs w:val="0"/>
                <w:color w:val="auto"/>
                <w:sz w:val="24"/>
                <w:szCs w:val="24"/>
                <w:highlight w:val="none"/>
                <w:lang w:val="en-US" w:eastAsia="zh-CN"/>
              </w:rPr>
              <w:t>11.07</w:t>
            </w:r>
            <w:r>
              <w:rPr>
                <w:rFonts w:hint="eastAsia"/>
                <w:color w:val="auto"/>
                <w:sz w:val="24"/>
                <w:szCs w:val="24"/>
                <w:highlight w:val="none"/>
              </w:rPr>
              <w:t>t</w:t>
            </w:r>
            <w:r>
              <w:rPr>
                <w:color w:val="auto"/>
                <w:sz w:val="24"/>
                <w:szCs w:val="24"/>
                <w:highlight w:val="none"/>
              </w:rPr>
              <w:t>/a</w:t>
            </w:r>
            <w:r>
              <w:rPr>
                <w:rFonts w:hint="eastAsia"/>
                <w:color w:val="auto"/>
                <w:sz w:val="24"/>
                <w:szCs w:val="20"/>
                <w:highlight w:val="none"/>
              </w:rPr>
              <w:t>；颗粒物</w:t>
            </w:r>
            <w:r>
              <w:rPr>
                <w:rFonts w:hint="eastAsia"/>
                <w:color w:val="auto"/>
                <w:sz w:val="24"/>
                <w:szCs w:val="20"/>
                <w:highlight w:val="none"/>
                <w:lang w:val="en-US" w:eastAsia="zh-CN"/>
              </w:rPr>
              <w:t>1.457</w:t>
            </w:r>
            <w:r>
              <w:rPr>
                <w:rFonts w:hint="eastAsia"/>
                <w:color w:val="auto"/>
                <w:sz w:val="24"/>
                <w:szCs w:val="24"/>
                <w:highlight w:val="none"/>
              </w:rPr>
              <w:t>t</w:t>
            </w:r>
            <w:r>
              <w:rPr>
                <w:color w:val="auto"/>
                <w:sz w:val="24"/>
                <w:szCs w:val="24"/>
                <w:highlight w:val="none"/>
              </w:rPr>
              <w:t>/a</w:t>
            </w:r>
            <w:r>
              <w:rPr>
                <w:rFonts w:hint="eastAsia"/>
                <w:color w:val="auto"/>
                <w:sz w:val="24"/>
                <w:szCs w:val="24"/>
                <w:highlight w:val="none"/>
                <w:lang w:eastAsia="zh-CN"/>
              </w:rPr>
              <w:t>；汞及其化合物</w:t>
            </w:r>
            <w:r>
              <w:rPr>
                <w:rFonts w:hint="eastAsia"/>
                <w:color w:val="auto"/>
                <w:sz w:val="24"/>
                <w:szCs w:val="24"/>
                <w:highlight w:val="none"/>
                <w:lang w:val="en-US" w:eastAsia="zh-CN"/>
              </w:rPr>
              <w:t>0.0009t/a。</w:t>
            </w:r>
          </w:p>
          <w:p>
            <w:pPr>
              <w:spacing w:line="360" w:lineRule="auto"/>
              <w:ind w:firstLine="470" w:firstLineChars="196"/>
              <w:jc w:val="left"/>
              <w:rPr>
                <w:snapToGrid w:val="0"/>
                <w:color w:val="auto"/>
                <w:kern w:val="0"/>
                <w:sz w:val="24"/>
                <w:szCs w:val="28"/>
                <w:highlight w:val="none"/>
              </w:rPr>
            </w:pPr>
            <w:r>
              <w:rPr>
                <w:snapToGrid w:val="0"/>
                <w:color w:val="auto"/>
                <w:kern w:val="0"/>
                <w:sz w:val="24"/>
                <w:szCs w:val="28"/>
                <w:highlight w:val="none"/>
              </w:rPr>
              <w:t>（2）地表水环境影响分析结论</w:t>
            </w:r>
          </w:p>
          <w:p>
            <w:pPr>
              <w:spacing w:line="360" w:lineRule="auto"/>
              <w:ind w:firstLine="480" w:firstLineChars="200"/>
              <w:rPr>
                <w:color w:val="auto"/>
                <w:sz w:val="24"/>
                <w:szCs w:val="20"/>
                <w:highlight w:val="none"/>
              </w:rPr>
            </w:pPr>
            <w:r>
              <w:rPr>
                <w:rFonts w:hint="eastAsia"/>
                <w:bCs/>
                <w:color w:val="auto"/>
                <w:sz w:val="24"/>
                <w:szCs w:val="28"/>
                <w:highlight w:val="none"/>
              </w:rPr>
              <w:t>本项目不新增员工，不增加员工生活污水；脱硫废水经</w:t>
            </w:r>
            <w:r>
              <w:rPr>
                <w:rFonts w:hint="eastAsia"/>
                <w:bCs/>
                <w:color w:val="auto"/>
                <w:sz w:val="24"/>
                <w:szCs w:val="28"/>
                <w:highlight w:val="none"/>
                <w:lang w:eastAsia="zh-CN"/>
              </w:rPr>
              <w:t>混凝沉淀处理后</w:t>
            </w:r>
            <w:r>
              <w:rPr>
                <w:rFonts w:hint="eastAsia"/>
                <w:bCs/>
                <w:color w:val="auto"/>
                <w:sz w:val="24"/>
                <w:szCs w:val="28"/>
                <w:highlight w:val="none"/>
              </w:rPr>
              <w:t>回用</w:t>
            </w:r>
            <w:r>
              <w:rPr>
                <w:rFonts w:hint="eastAsia"/>
                <w:bCs/>
                <w:color w:val="auto"/>
                <w:sz w:val="24"/>
                <w:szCs w:val="28"/>
                <w:highlight w:val="none"/>
                <w:lang w:eastAsia="zh-CN"/>
              </w:rPr>
              <w:t>，不外排。</w:t>
            </w:r>
            <w:r>
              <w:rPr>
                <w:color w:val="auto"/>
                <w:sz w:val="24"/>
                <w:szCs w:val="20"/>
                <w:highlight w:val="none"/>
              </w:rPr>
              <w:t>对周围环境影响较小。</w:t>
            </w:r>
          </w:p>
          <w:p>
            <w:pPr>
              <w:spacing w:line="360" w:lineRule="auto"/>
              <w:ind w:firstLine="470" w:firstLineChars="196"/>
              <w:jc w:val="left"/>
              <w:rPr>
                <w:snapToGrid w:val="0"/>
                <w:color w:val="auto"/>
                <w:kern w:val="0"/>
                <w:sz w:val="24"/>
                <w:szCs w:val="28"/>
                <w:highlight w:val="none"/>
              </w:rPr>
            </w:pPr>
            <w:r>
              <w:rPr>
                <w:snapToGrid w:val="0"/>
                <w:color w:val="auto"/>
                <w:kern w:val="0"/>
                <w:sz w:val="24"/>
                <w:szCs w:val="28"/>
                <w:highlight w:val="none"/>
              </w:rPr>
              <w:t>（3）声环境影响分析结论</w:t>
            </w:r>
          </w:p>
          <w:p>
            <w:pPr>
              <w:tabs>
                <w:tab w:val="left" w:pos="6020"/>
              </w:tabs>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项目采用低噪声设备、采取隔声、减振等降噪措施，厂界噪声符合《工业企业厂界环境噪声排放标准》（GB12348-2008）2类声环境功能区标准要求</w:t>
            </w:r>
            <w:r>
              <w:rPr>
                <w:rFonts w:hint="default" w:ascii="Times New Roman" w:hAnsi="Times New Roman" w:eastAsia="宋体" w:cs="Times New Roman"/>
                <w:color w:val="auto"/>
                <w:sz w:val="24"/>
                <w:szCs w:val="24"/>
                <w:highlight w:val="none"/>
                <w:lang w:eastAsia="zh-CN"/>
              </w:rPr>
              <w:t>，敏感点噪声值满足</w:t>
            </w:r>
            <w:r>
              <w:rPr>
                <w:rFonts w:hint="default" w:ascii="Times New Roman" w:hAnsi="Times New Roman" w:eastAsia="宋体" w:cs="Times New Roman"/>
                <w:color w:val="auto"/>
                <w:spacing w:val="6"/>
                <w:kern w:val="0"/>
                <w:sz w:val="24"/>
                <w:szCs w:val="24"/>
                <w:highlight w:val="none"/>
              </w:rPr>
              <w:t>《声环境质量标准》(GB3096-2008)</w:t>
            </w:r>
            <w:r>
              <w:rPr>
                <w:rFonts w:hint="default" w:ascii="Times New Roman" w:hAnsi="Times New Roman" w:eastAsia="宋体" w:cs="Times New Roman"/>
                <w:color w:val="auto"/>
                <w:spacing w:val="6"/>
                <w:kern w:val="0"/>
                <w:sz w:val="24"/>
                <w:szCs w:val="24"/>
                <w:highlight w:val="none"/>
                <w:lang w:eastAsia="zh-CN"/>
              </w:rPr>
              <w:t>中的</w:t>
            </w:r>
            <w:r>
              <w:rPr>
                <w:rFonts w:hint="default" w:ascii="Times New Roman" w:hAnsi="Times New Roman" w:eastAsia="宋体" w:cs="Times New Roman"/>
                <w:color w:val="auto"/>
                <w:kern w:val="0"/>
                <w:sz w:val="24"/>
                <w:szCs w:val="24"/>
                <w:highlight w:val="none"/>
              </w:rPr>
              <w:t>2类标准</w:t>
            </w:r>
            <w:r>
              <w:rPr>
                <w:rFonts w:hint="default" w:ascii="Times New Roman" w:hAnsi="Times New Roman" w:eastAsia="宋体" w:cs="Times New Roman"/>
                <w:color w:val="auto"/>
                <w:sz w:val="24"/>
                <w:szCs w:val="24"/>
                <w:highlight w:val="none"/>
              </w:rPr>
              <w:t>要求。</w:t>
            </w:r>
          </w:p>
          <w:p>
            <w:pPr>
              <w:spacing w:line="360" w:lineRule="auto"/>
              <w:ind w:firstLine="470" w:firstLineChars="196"/>
              <w:jc w:val="left"/>
              <w:rPr>
                <w:color w:val="auto"/>
                <w:sz w:val="24"/>
                <w:szCs w:val="28"/>
                <w:highlight w:val="none"/>
              </w:rPr>
            </w:pPr>
            <w:r>
              <w:rPr>
                <w:color w:val="auto"/>
                <w:sz w:val="24"/>
                <w:szCs w:val="28"/>
                <w:highlight w:val="none"/>
              </w:rPr>
              <w:t>（4）固废环境影响分析结论</w:t>
            </w:r>
          </w:p>
          <w:p>
            <w:pPr>
              <w:spacing w:line="360" w:lineRule="auto"/>
              <w:ind w:firstLine="480" w:firstLineChars="200"/>
              <w:rPr>
                <w:color w:val="auto"/>
                <w:sz w:val="24"/>
                <w:szCs w:val="20"/>
                <w:highlight w:val="none"/>
              </w:rPr>
            </w:pPr>
            <w:r>
              <w:rPr>
                <w:rFonts w:hint="eastAsia"/>
                <w:color w:val="auto"/>
                <w:sz w:val="24"/>
                <w:szCs w:val="20"/>
                <w:highlight w:val="none"/>
              </w:rPr>
              <w:t>本项目产生的固体废弃物主要为除尘器回收粉尘和脱硫副产物</w:t>
            </w:r>
            <w:r>
              <w:rPr>
                <w:rFonts w:hint="eastAsia"/>
                <w:color w:val="auto"/>
                <w:sz w:val="24"/>
                <w:szCs w:val="20"/>
                <w:highlight w:val="none"/>
                <w:lang w:eastAsia="zh-CN"/>
              </w:rPr>
              <w:t>。</w:t>
            </w:r>
            <w:r>
              <w:rPr>
                <w:rFonts w:hint="eastAsia"/>
                <w:color w:val="auto"/>
                <w:sz w:val="24"/>
                <w:szCs w:val="20"/>
                <w:highlight w:val="none"/>
              </w:rPr>
              <w:t>除尘器回收粉尘</w:t>
            </w:r>
            <w:r>
              <w:rPr>
                <w:rFonts w:hint="eastAsia"/>
                <w:color w:val="auto"/>
                <w:sz w:val="24"/>
                <w:szCs w:val="20"/>
                <w:highlight w:val="none"/>
                <w:lang w:eastAsia="zh-CN"/>
              </w:rPr>
              <w:t>、</w:t>
            </w:r>
            <w:r>
              <w:rPr>
                <w:rFonts w:hint="eastAsia"/>
                <w:color w:val="auto"/>
                <w:sz w:val="24"/>
                <w:szCs w:val="20"/>
                <w:highlight w:val="none"/>
              </w:rPr>
              <w:t>脱硫副产物统一收集后</w:t>
            </w:r>
            <w:r>
              <w:rPr>
                <w:rFonts w:hint="eastAsia"/>
                <w:color w:val="auto"/>
                <w:sz w:val="24"/>
                <w:szCs w:val="20"/>
                <w:highlight w:val="none"/>
                <w:lang w:eastAsia="zh-CN"/>
              </w:rPr>
              <w:t>，</w:t>
            </w:r>
            <w:r>
              <w:rPr>
                <w:rFonts w:hint="eastAsia"/>
                <w:color w:val="auto"/>
                <w:sz w:val="24"/>
                <w:szCs w:val="20"/>
                <w:highlight w:val="none"/>
              </w:rPr>
              <w:t>外售综合利用</w:t>
            </w:r>
            <w:r>
              <w:rPr>
                <w:rFonts w:hint="eastAsia"/>
                <w:color w:val="auto"/>
                <w:sz w:val="24"/>
                <w:szCs w:val="20"/>
                <w:highlight w:val="none"/>
                <w:lang w:eastAsia="zh-CN"/>
              </w:rPr>
              <w:t>。</w:t>
            </w:r>
            <w:r>
              <w:rPr>
                <w:color w:val="auto"/>
                <w:sz w:val="24"/>
                <w:szCs w:val="28"/>
                <w:highlight w:val="none"/>
              </w:rPr>
              <w:t>固体废物全部得到了妥善的处置，</w:t>
            </w:r>
            <w:r>
              <w:rPr>
                <w:rFonts w:hint="eastAsia"/>
                <w:color w:val="auto"/>
                <w:sz w:val="24"/>
                <w:szCs w:val="28"/>
                <w:highlight w:val="none"/>
              </w:rPr>
              <w:t>不会</w:t>
            </w:r>
            <w:r>
              <w:rPr>
                <w:color w:val="auto"/>
                <w:sz w:val="24"/>
                <w:szCs w:val="28"/>
                <w:highlight w:val="none"/>
              </w:rPr>
              <w:t>对周边环境</w:t>
            </w:r>
            <w:r>
              <w:rPr>
                <w:rFonts w:hint="eastAsia"/>
                <w:color w:val="auto"/>
                <w:sz w:val="24"/>
                <w:szCs w:val="28"/>
                <w:highlight w:val="none"/>
              </w:rPr>
              <w:t>造成</w:t>
            </w:r>
            <w:r>
              <w:rPr>
                <w:color w:val="auto"/>
                <w:sz w:val="24"/>
                <w:szCs w:val="28"/>
                <w:highlight w:val="none"/>
              </w:rPr>
              <w:t>影响。</w:t>
            </w:r>
          </w:p>
          <w:p>
            <w:pPr>
              <w:spacing w:line="360" w:lineRule="auto"/>
              <w:ind w:firstLine="472" w:firstLineChars="196"/>
              <w:rPr>
                <w:b/>
                <w:color w:val="auto"/>
                <w:sz w:val="24"/>
                <w:szCs w:val="28"/>
                <w:highlight w:val="none"/>
              </w:rPr>
            </w:pPr>
            <w:r>
              <w:rPr>
                <w:b/>
                <w:color w:val="auto"/>
                <w:sz w:val="24"/>
                <w:szCs w:val="28"/>
                <w:highlight w:val="none"/>
              </w:rPr>
              <w:t>建议</w:t>
            </w:r>
          </w:p>
          <w:p>
            <w:pPr>
              <w:spacing w:line="360" w:lineRule="auto"/>
              <w:ind w:firstLine="480" w:firstLineChars="200"/>
              <w:rPr>
                <w:color w:val="auto"/>
                <w:sz w:val="24"/>
                <w:szCs w:val="28"/>
                <w:highlight w:val="none"/>
              </w:rPr>
            </w:pPr>
            <w:r>
              <w:rPr>
                <w:rFonts w:hint="eastAsia"/>
                <w:color w:val="auto"/>
                <w:sz w:val="24"/>
                <w:szCs w:val="28"/>
                <w:highlight w:val="none"/>
              </w:rPr>
              <w:t>（1）加强环境意识教育，制定环保设施操作管理规程，建立健全各项环保岗位责任制，确保环保设施正常、稳定运行，各项污染物达标排放。</w:t>
            </w:r>
          </w:p>
          <w:p>
            <w:pPr>
              <w:spacing w:line="360" w:lineRule="auto"/>
              <w:ind w:firstLine="480" w:firstLineChars="200"/>
              <w:rPr>
                <w:color w:val="auto"/>
                <w:sz w:val="24"/>
                <w:szCs w:val="28"/>
                <w:highlight w:val="none"/>
              </w:rPr>
            </w:pPr>
            <w:r>
              <w:rPr>
                <w:rFonts w:hint="eastAsia"/>
                <w:color w:val="auto"/>
                <w:sz w:val="24"/>
                <w:szCs w:val="28"/>
                <w:highlight w:val="none"/>
              </w:rPr>
              <w:t>（2）建立环境管理规章制度，实施有效的目标责任管理，把工作状况、工作态度、污染物排放、污染事故等作为考核指标，落实到工作岗位，纳入奖惩制度。</w:t>
            </w:r>
          </w:p>
          <w:p>
            <w:pPr>
              <w:spacing w:line="360" w:lineRule="auto"/>
              <w:ind w:firstLine="480"/>
              <w:rPr>
                <w:color w:val="auto"/>
                <w:sz w:val="24"/>
                <w:szCs w:val="28"/>
                <w:highlight w:val="none"/>
              </w:rPr>
            </w:pPr>
            <w:r>
              <w:rPr>
                <w:rFonts w:hint="eastAsia"/>
                <w:color w:val="auto"/>
                <w:sz w:val="24"/>
                <w:szCs w:val="28"/>
                <w:highlight w:val="none"/>
              </w:rPr>
              <w:t>（3）严格执行建设项目竣工环保验收，项目建设完成，经验收合格后，方可投入正式运营。</w:t>
            </w:r>
          </w:p>
          <w:p>
            <w:pPr>
              <w:ind w:firstLine="482" w:firstLineChars="200"/>
              <w:rPr>
                <w:b/>
                <w:color w:val="auto"/>
                <w:sz w:val="24"/>
                <w:highlight w:val="none"/>
              </w:rPr>
            </w:pPr>
            <w:r>
              <w:rPr>
                <w:b/>
                <w:color w:val="auto"/>
                <w:sz w:val="24"/>
                <w:highlight w:val="none"/>
              </w:rPr>
              <w:t>五、总结论</w:t>
            </w:r>
          </w:p>
          <w:p>
            <w:pPr>
              <w:spacing w:line="360" w:lineRule="auto"/>
              <w:ind w:firstLine="480" w:firstLineChars="200"/>
              <w:rPr>
                <w:color w:val="auto"/>
                <w:sz w:val="24"/>
                <w:highlight w:val="none"/>
              </w:rPr>
            </w:pPr>
            <w:r>
              <w:rPr>
                <w:color w:val="auto"/>
                <w:sz w:val="24"/>
                <w:highlight w:val="none"/>
              </w:rPr>
              <w:t>该项目符合国家产业政策，环保治理措施技术可行、污染物达标排放。企业在确实落实各项治理措施的情况下，在环保方面是可行的。</w:t>
            </w:r>
          </w:p>
          <w:p>
            <w:pPr>
              <w:spacing w:line="500" w:lineRule="exact"/>
              <w:ind w:firstLine="562" w:firstLineChars="200"/>
              <w:rPr>
                <w:b/>
                <w:color w:val="auto"/>
                <w:sz w:val="28"/>
                <w:szCs w:val="28"/>
                <w:highlight w:val="none"/>
              </w:rPr>
            </w:pPr>
          </w:p>
        </w:tc>
      </w:tr>
    </w:tbl>
    <w:p>
      <w:pPr>
        <w:spacing w:line="20" w:lineRule="exact"/>
        <w:rPr>
          <w:color w:val="auto"/>
          <w:highlight w:val="none"/>
        </w:rPr>
      </w:pPr>
    </w:p>
    <w:p>
      <w:pPr>
        <w:rPr>
          <w:color w:val="auto"/>
          <w:highlight w:val="none"/>
        </w:rPr>
      </w:pPr>
    </w:p>
    <w:p>
      <w:pPr>
        <w:rPr>
          <w:color w:val="auto"/>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jc w:val="center"/>
        <w:rPr>
          <w:color w:val="auto"/>
          <w:highlight w:val="none"/>
        </w:rPr>
      </w:pPr>
      <w:r>
        <w:rPr>
          <w:rFonts w:ascii="Times New Roman" w:hAnsi="Times New Roman"/>
          <w:snapToGrid w:val="0"/>
          <w:color w:val="auto"/>
          <w:kern w:val="0"/>
          <w:sz w:val="24"/>
          <w:szCs w:val="24"/>
          <w:highlight w:val="none"/>
        </w:rPr>
        <w:drawing>
          <wp:anchor distT="0" distB="0" distL="114300" distR="114300" simplePos="0" relativeHeight="251708416" behindDoc="0" locked="0" layoutInCell="1" allowOverlap="1">
            <wp:simplePos x="0" y="0"/>
            <wp:positionH relativeFrom="page">
              <wp:posOffset>7550150</wp:posOffset>
            </wp:positionH>
            <wp:positionV relativeFrom="page">
              <wp:posOffset>1159510</wp:posOffset>
            </wp:positionV>
            <wp:extent cx="915035" cy="951230"/>
            <wp:effectExtent l="0" t="0" r="18415" b="1270"/>
            <wp:wrapNone/>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5"/>
                    <a:stretch>
                      <a:fillRect/>
                    </a:stretch>
                  </pic:blipFill>
                  <pic:spPr>
                    <a:xfrm>
                      <a:off x="0" y="0"/>
                      <a:ext cx="915035" cy="951230"/>
                    </a:xfrm>
                    <a:prstGeom prst="rect">
                      <a:avLst/>
                    </a:prstGeom>
                    <a:noFill/>
                    <a:ln>
                      <a:noFill/>
                    </a:ln>
                  </pic:spPr>
                </pic:pic>
              </a:graphicData>
            </a:graphic>
          </wp:anchor>
        </w:drawing>
      </w:r>
      <w:r>
        <w:rPr>
          <w:rFonts w:ascii="宋体" w:hAnsi="宋体" w:cs="宋体"/>
          <w:color w:val="auto"/>
          <w:kern w:val="0"/>
          <w:sz w:val="24"/>
          <w:highlight w:val="none"/>
        </w:rPr>
        <mc:AlternateContent>
          <mc:Choice Requires="wps">
            <w:drawing>
              <wp:anchor distT="0" distB="0" distL="114300" distR="114300" simplePos="0" relativeHeight="251661312" behindDoc="0" locked="0" layoutInCell="1" allowOverlap="1">
                <wp:simplePos x="0" y="0"/>
                <wp:positionH relativeFrom="column">
                  <wp:posOffset>4953000</wp:posOffset>
                </wp:positionH>
                <wp:positionV relativeFrom="paragraph">
                  <wp:posOffset>2376170</wp:posOffset>
                </wp:positionV>
                <wp:extent cx="117475" cy="139065"/>
                <wp:effectExtent l="20320" t="31115" r="33655" b="39370"/>
                <wp:wrapNone/>
                <wp:docPr id="35" name="自选图形 851"/>
                <wp:cNvGraphicFramePr/>
                <a:graphic xmlns:a="http://schemas.openxmlformats.org/drawingml/2006/main">
                  <a:graphicData uri="http://schemas.microsoft.com/office/word/2010/wordprocessingShape">
                    <wps:wsp>
                      <wps:cNvSpPr/>
                      <wps:spPr>
                        <a:xfrm>
                          <a:off x="0" y="0"/>
                          <a:ext cx="117475" cy="139065"/>
                        </a:xfrm>
                        <a:prstGeom prst="star5">
                          <a:avLst/>
                        </a:prstGeom>
                        <a:solidFill>
                          <a:srgbClr val="FF0000"/>
                        </a:solidFill>
                        <a:ln w="15875" cap="flat" cmpd="sng">
                          <a:solidFill>
                            <a:srgbClr val="FF0000"/>
                          </a:solidFill>
                          <a:prstDash val="solid"/>
                          <a:miter/>
                          <a:headEnd type="none" w="med" len="med"/>
                          <a:tailEnd type="none" w="med" len="med"/>
                        </a:ln>
                      </wps:spPr>
                      <wps:bodyPr upright="1"/>
                    </wps:wsp>
                  </a:graphicData>
                </a:graphic>
              </wp:anchor>
            </w:drawing>
          </mc:Choice>
          <mc:Fallback>
            <w:pict>
              <v:shape id="自选图形 851" o:spid="_x0000_s1026" style="position:absolute;left:0pt;margin-left:390pt;margin-top:187.1pt;height:10.95pt;width:9.25pt;z-index:251661312;mso-width-relative:page;mso-height-relative:page;" fillcolor="#FF0000" filled="t" stroked="t" coordsize="117475,139065" o:gfxdata="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uRSRR2wAAAAsBAAAPAAAAAAAAAAEAIAAAACIAAABkcnMvZG93bnJldi54bWxQSwECFAAUAAAA&#10;CACHTuJAoQAJOOsBAADaAwAADgAAAAAAAAABACAAAAAqAQAAZHJzL2Uyb0RvYy54bWxQSwUGAAAA&#10;AAYABgBZAQAAhwUAAAAA&#10;" path="m0,53117l44871,53118,58737,0,72603,53118,117474,53117,81172,85946,95039,139064,58737,106235,22435,139064,36302,85946xe">
                <v:path o:connectlocs="58737,0;0,53117;22435,139064;95039,139064;117474,53117" o:connectangles="247,164,82,82,0"/>
                <v:fill on="t" focussize="0,0"/>
                <v:stroke weight="1.25pt" color="#FF0000" joinstyle="miter"/>
                <v:imagedata o:title=""/>
                <o:lock v:ext="edit" aspectratio="f"/>
              </v:shape>
            </w:pict>
          </mc:Fallback>
        </mc:AlternateContent>
      </w:r>
      <w:r>
        <w:rPr>
          <w:color w:val="auto"/>
          <w:highlight w:val="none"/>
        </w:rPr>
        <w:drawing>
          <wp:inline distT="0" distB="0" distL="114300" distR="114300">
            <wp:extent cx="6309995" cy="4539615"/>
            <wp:effectExtent l="0" t="0" r="14605" b="13335"/>
            <wp:docPr id="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pic:cNvPicPr>
                      <a:picLocks noChangeAspect="1"/>
                    </pic:cNvPicPr>
                  </pic:nvPicPr>
                  <pic:blipFill>
                    <a:blip r:embed="rId30"/>
                    <a:stretch>
                      <a:fillRect/>
                    </a:stretch>
                  </pic:blipFill>
                  <pic:spPr>
                    <a:xfrm>
                      <a:off x="0" y="0"/>
                      <a:ext cx="6309995" cy="4539615"/>
                    </a:xfrm>
                    <a:prstGeom prst="rect">
                      <a:avLst/>
                    </a:prstGeom>
                    <a:noFill/>
                    <a:ln>
                      <a:noFill/>
                    </a:ln>
                  </pic:spPr>
                </pic:pic>
              </a:graphicData>
            </a:graphic>
          </wp:inline>
        </w:drawing>
      </w:r>
    </w:p>
    <w:p>
      <w:pPr>
        <w:pStyle w:val="2"/>
        <w:spacing w:before="0" w:after="0" w:line="240" w:lineRule="auto"/>
        <w:jc w:val="center"/>
        <w:rPr>
          <w:color w:val="auto"/>
          <w:sz w:val="24"/>
          <w:highlight w:val="none"/>
        </w:rPr>
      </w:pPr>
      <w:bookmarkStart w:id="57" w:name="_Toc14487"/>
      <w:r>
        <w:rPr>
          <w:rFonts w:hint="eastAsia"/>
          <w:color w:val="auto"/>
          <w:sz w:val="24"/>
          <w:highlight w:val="none"/>
        </w:rPr>
        <w:t>附图1 地理位置图</w:t>
      </w:r>
      <w:bookmarkEnd w:id="57"/>
    </w:p>
    <w:p>
      <w:pPr>
        <w:pStyle w:val="2"/>
        <w:spacing w:before="0" w:after="0" w:line="240" w:lineRule="auto"/>
        <w:jc w:val="center"/>
        <w:rPr>
          <w:color w:val="auto"/>
          <w:sz w:val="24"/>
          <w:highlight w:val="none"/>
        </w:rPr>
        <w:sectPr>
          <w:pgSz w:w="16838" w:h="11906" w:orient="landscape"/>
          <w:pgMar w:top="1800" w:right="1440" w:bottom="1800" w:left="144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jc w:val="center"/>
        <w:rPr>
          <w:b/>
          <w:color w:val="auto"/>
          <w:sz w:val="30"/>
          <w:szCs w:val="30"/>
          <w:highlight w:val="none"/>
        </w:rPr>
      </w:pPr>
    </w:p>
    <w:p>
      <w:pPr>
        <w:pStyle w:val="2"/>
        <w:jc w:val="center"/>
        <w:rPr>
          <w:color w:val="auto"/>
          <w:sz w:val="24"/>
          <w:highlight w:val="none"/>
        </w:rPr>
        <w:sectPr>
          <w:footerReference r:id="rId7" w:type="default"/>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bookmarkStart w:id="58" w:name="_Toc21606"/>
      <w:r>
        <w:rPr>
          <w:color w:val="auto"/>
          <w:sz w:val="44"/>
          <w:highlight w:val="none"/>
        </w:rPr>
        <mc:AlternateContent>
          <mc:Choice Requires="wps">
            <w:drawing>
              <wp:anchor distT="0" distB="0" distL="114300" distR="114300" simplePos="0" relativeHeight="251710464" behindDoc="0" locked="0" layoutInCell="1" allowOverlap="1">
                <wp:simplePos x="0" y="0"/>
                <wp:positionH relativeFrom="column">
                  <wp:posOffset>1551305</wp:posOffset>
                </wp:positionH>
                <wp:positionV relativeFrom="paragraph">
                  <wp:posOffset>2057400</wp:posOffset>
                </wp:positionV>
                <wp:extent cx="483235" cy="331470"/>
                <wp:effectExtent l="0" t="0" r="12065" b="11430"/>
                <wp:wrapNone/>
                <wp:docPr id="18" name="文本框 18"/>
                <wp:cNvGraphicFramePr/>
                <a:graphic xmlns:a="http://schemas.openxmlformats.org/drawingml/2006/main">
                  <a:graphicData uri="http://schemas.microsoft.com/office/word/2010/wordprocessingShape">
                    <wps:wsp>
                      <wps:cNvSpPr txBox="1"/>
                      <wps:spPr>
                        <a:xfrm>
                          <a:off x="2694305" y="3456940"/>
                          <a:ext cx="483235" cy="33147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lang w:eastAsia="zh-CN"/>
                              </w:rPr>
                            </w:pPr>
                            <w:r>
                              <w:rPr>
                                <w:rFonts w:hint="eastAsia"/>
                                <w:lang w:eastAsia="zh-CN"/>
                              </w:rPr>
                              <w:t>烟囱</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2.15pt;margin-top:162pt;height:26.1pt;width:38.05pt;z-index:251710464;mso-width-relative:page;mso-height-relative:page;" fillcolor="#FFFFFF [3201]" filled="t" stroked="f" coordsize="21600,21600" o:gfxdata="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dRw3ktYAAAALAQAADwAAAAAAAAABACAAAAAiAAAAZHJz&#10;L2Rvd25yZXYueG1sUEsBAhQAFAAAAAgAh07iQDguS/g/AgAATgQAAA4AAAAAAAAAAQAgAAAAJQEA&#10;AGRycy9lMm9Eb2MueG1sUEsFBgAAAAAGAAYAWQEAANYFAAAAAA==&#10;">
                <v:fill on="t" focussize="0,0"/>
                <v:stroke on="f" weight="0.5pt"/>
                <v:imagedata o:title=""/>
                <o:lock v:ext="edit" aspectratio="f"/>
                <v:textbox>
                  <w:txbxContent>
                    <w:p>
                      <w:pPr>
                        <w:rPr>
                          <w:rFonts w:hint="eastAsia" w:eastAsia="宋体"/>
                          <w:lang w:eastAsia="zh-CN"/>
                        </w:rPr>
                      </w:pPr>
                      <w:r>
                        <w:rPr>
                          <w:rFonts w:hint="eastAsia"/>
                          <w:lang w:eastAsia="zh-CN"/>
                        </w:rPr>
                        <w:t>烟囱</w:t>
                      </w:r>
                    </w:p>
                  </w:txbxContent>
                </v:textbox>
              </v:shape>
            </w:pict>
          </mc:Fallback>
        </mc:AlternateContent>
      </w:r>
      <w:r>
        <w:rPr>
          <w:color w:val="auto"/>
          <w:sz w:val="44"/>
          <w:highlight w:val="none"/>
        </w:rPr>
        <mc:AlternateContent>
          <mc:Choice Requires="wps">
            <w:drawing>
              <wp:anchor distT="0" distB="0" distL="114300" distR="114300" simplePos="0" relativeHeight="251709440" behindDoc="0" locked="0" layoutInCell="1" allowOverlap="1">
                <wp:simplePos x="0" y="0"/>
                <wp:positionH relativeFrom="column">
                  <wp:posOffset>1284605</wp:posOffset>
                </wp:positionH>
                <wp:positionV relativeFrom="paragraph">
                  <wp:posOffset>2070100</wp:posOffset>
                </wp:positionV>
                <wp:extent cx="133350" cy="107950"/>
                <wp:effectExtent l="12700" t="12700" r="25400" b="12700"/>
                <wp:wrapNone/>
                <wp:docPr id="16" name="同心圆 16"/>
                <wp:cNvGraphicFramePr/>
                <a:graphic xmlns:a="http://schemas.openxmlformats.org/drawingml/2006/main">
                  <a:graphicData uri="http://schemas.microsoft.com/office/word/2010/wordprocessingShape">
                    <wps:wsp>
                      <wps:cNvSpPr/>
                      <wps:spPr>
                        <a:xfrm>
                          <a:off x="2427605" y="3380740"/>
                          <a:ext cx="133350" cy="107950"/>
                        </a:xfrm>
                        <a:prstGeom prst="donu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101.15pt;margin-top:163pt;height:8.5pt;width:10.5pt;z-index:251709440;v-text-anchor:middle;mso-width-relative:page;mso-height-relative:page;" filled="f" stroked="t" coordsize="21600,21600" o:gfxdata="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Mwt1lbXAAAACwEA&#10;AA8AAAAAAAAAAQAgAAAAIgAAAGRycy9kb3ducmV2LnhtbFBLAQIUABQAAAAIAIdO4kAZTrcFVAIA&#10;AHcEAAAOAAAAAAAAAAEAIAAAACYBAABkcnMvZTJvRG9jLnhtbFBLBQYAAAAABgAGAFkBAADsBQAA&#10;AAA=&#10;" adj="4371">
                <v:fill on="f" focussize="0,0"/>
                <v:stroke weight="2pt" color="#000000 [3213]" joinstyle="round"/>
                <v:imagedata o:title=""/>
                <o:lock v:ext="edit" aspectratio="f"/>
              </v:shape>
            </w:pict>
          </mc:Fallback>
        </mc:AlternateContent>
      </w:r>
      <w:r>
        <w:rPr>
          <w:color w:val="auto"/>
          <w:highlight w:val="none"/>
        </w:rPr>
        <w:drawing>
          <wp:inline distT="0" distB="0" distL="114300" distR="114300">
            <wp:extent cx="6057900" cy="4182110"/>
            <wp:effectExtent l="0" t="0" r="0" b="8890"/>
            <wp:docPr id="1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pic:cNvPicPr>
                      <a:picLocks noChangeAspect="1"/>
                    </pic:cNvPicPr>
                  </pic:nvPicPr>
                  <pic:blipFill>
                    <a:blip r:embed="rId31"/>
                    <a:stretch>
                      <a:fillRect/>
                    </a:stretch>
                  </pic:blipFill>
                  <pic:spPr>
                    <a:xfrm>
                      <a:off x="0" y="0"/>
                      <a:ext cx="6057900" cy="4182110"/>
                    </a:xfrm>
                    <a:prstGeom prst="rect">
                      <a:avLst/>
                    </a:prstGeom>
                    <a:noFill/>
                    <a:ln>
                      <a:noFill/>
                    </a:ln>
                  </pic:spPr>
                </pic:pic>
              </a:graphicData>
            </a:graphic>
          </wp:inline>
        </w:drawing>
      </w:r>
      <w:r>
        <w:rPr>
          <w:rFonts w:hint="eastAsia"/>
          <w:color w:val="auto"/>
          <w:sz w:val="24"/>
          <w:highlight w:val="none"/>
        </w:rPr>
        <w:t>附图2 平面布置图</w:t>
      </w:r>
      <w:bookmarkEnd w:id="58"/>
    </w:p>
    <w:tbl>
      <w:tblPr>
        <w:tblStyle w:val="36"/>
        <w:tblW w:w="9327" w:type="dxa"/>
        <w:tblInd w:w="6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81"/>
        <w:gridCol w:w="45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7" w:hRule="atLeast"/>
        </w:trPr>
        <w:tc>
          <w:tcPr>
            <w:tcW w:w="4781" w:type="dxa"/>
          </w:tcPr>
          <w:p>
            <w:pPr>
              <w:jc w:val="center"/>
              <w:rPr>
                <w:rFonts w:hint="eastAsia" w:eastAsia="宋体"/>
                <w:b/>
                <w:color w:val="auto"/>
                <w:sz w:val="24"/>
                <w:highlight w:val="none"/>
                <w:lang w:eastAsia="zh-CN"/>
              </w:rPr>
            </w:pPr>
            <w:bookmarkStart w:id="59" w:name="_Toc4500249"/>
            <w:r>
              <w:rPr>
                <w:rFonts w:hint="eastAsia" w:eastAsia="宋体"/>
                <w:b/>
                <w:color w:val="auto"/>
                <w:sz w:val="24"/>
                <w:highlight w:val="none"/>
                <w:lang w:eastAsia="zh-CN"/>
              </w:rPr>
              <w:drawing>
                <wp:inline distT="0" distB="0" distL="114300" distR="114300">
                  <wp:extent cx="2889250" cy="2190115"/>
                  <wp:effectExtent l="0" t="0" r="6350" b="635"/>
                  <wp:docPr id="34" name="图片 34" descr="4677a9956093741c60450c0632f9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4677a9956093741c60450c0632f9043"/>
                          <pic:cNvPicPr>
                            <a:picLocks noChangeAspect="1"/>
                          </pic:cNvPicPr>
                        </pic:nvPicPr>
                        <pic:blipFill>
                          <a:blip r:embed="rId32"/>
                          <a:stretch>
                            <a:fillRect/>
                          </a:stretch>
                        </pic:blipFill>
                        <pic:spPr>
                          <a:xfrm>
                            <a:off x="0" y="0"/>
                            <a:ext cx="2889250" cy="2190115"/>
                          </a:xfrm>
                          <a:prstGeom prst="rect">
                            <a:avLst/>
                          </a:prstGeom>
                        </pic:spPr>
                      </pic:pic>
                    </a:graphicData>
                  </a:graphic>
                </wp:inline>
              </w:drawing>
            </w:r>
          </w:p>
        </w:tc>
        <w:tc>
          <w:tcPr>
            <w:tcW w:w="4546" w:type="dxa"/>
          </w:tcPr>
          <w:p>
            <w:pPr>
              <w:jc w:val="center"/>
              <w:rPr>
                <w:rFonts w:hint="eastAsia" w:eastAsia="宋体"/>
                <w:b/>
                <w:color w:val="auto"/>
                <w:sz w:val="24"/>
                <w:highlight w:val="none"/>
                <w:lang w:eastAsia="zh-CN"/>
              </w:rPr>
            </w:pPr>
            <w:r>
              <w:rPr>
                <w:rFonts w:hint="eastAsia" w:eastAsia="宋体"/>
                <w:b/>
                <w:color w:val="auto"/>
                <w:sz w:val="24"/>
                <w:highlight w:val="none"/>
                <w:lang w:eastAsia="zh-CN"/>
              </w:rPr>
              <w:drawing>
                <wp:inline distT="0" distB="0" distL="114300" distR="114300">
                  <wp:extent cx="2743200" cy="2167255"/>
                  <wp:effectExtent l="0" t="0" r="0" b="4445"/>
                  <wp:docPr id="38" name="图片 38" descr="fcf50981ae749ddfb00bcf4b91d76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fcf50981ae749ddfb00bcf4b91d76d5"/>
                          <pic:cNvPicPr>
                            <a:picLocks noChangeAspect="1"/>
                          </pic:cNvPicPr>
                        </pic:nvPicPr>
                        <pic:blipFill>
                          <a:blip r:embed="rId33"/>
                          <a:stretch>
                            <a:fillRect/>
                          </a:stretch>
                        </pic:blipFill>
                        <pic:spPr>
                          <a:xfrm>
                            <a:off x="0" y="0"/>
                            <a:ext cx="2743200" cy="216725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1" w:type="dxa"/>
          </w:tcPr>
          <w:p>
            <w:pPr>
              <w:jc w:val="center"/>
              <w:rPr>
                <w:b/>
                <w:color w:val="auto"/>
                <w:szCs w:val="21"/>
                <w:highlight w:val="none"/>
              </w:rPr>
            </w:pPr>
            <w:r>
              <w:rPr>
                <w:rFonts w:hint="eastAsia"/>
                <w:b/>
                <w:color w:val="auto"/>
                <w:szCs w:val="21"/>
                <w:highlight w:val="none"/>
              </w:rPr>
              <w:t>东侧为居民</w:t>
            </w:r>
          </w:p>
        </w:tc>
        <w:tc>
          <w:tcPr>
            <w:tcW w:w="4546" w:type="dxa"/>
          </w:tcPr>
          <w:p>
            <w:pPr>
              <w:jc w:val="center"/>
              <w:rPr>
                <w:rFonts w:hint="eastAsia" w:eastAsia="宋体"/>
                <w:b/>
                <w:color w:val="auto"/>
                <w:szCs w:val="21"/>
                <w:highlight w:val="none"/>
                <w:lang w:eastAsia="zh-CN"/>
              </w:rPr>
            </w:pPr>
            <w:r>
              <w:rPr>
                <w:rFonts w:hint="eastAsia"/>
                <w:b/>
                <w:color w:val="auto"/>
                <w:szCs w:val="21"/>
                <w:highlight w:val="none"/>
              </w:rPr>
              <w:t>南侧为</w:t>
            </w:r>
            <w:r>
              <w:rPr>
                <w:rFonts w:hint="eastAsia"/>
                <w:b/>
                <w:color w:val="auto"/>
                <w:szCs w:val="21"/>
                <w:highlight w:val="none"/>
                <w:lang w:eastAsia="zh-CN"/>
              </w:rPr>
              <w:t>江川农场学校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1" w:hRule="atLeast"/>
        </w:trPr>
        <w:tc>
          <w:tcPr>
            <w:tcW w:w="4781" w:type="dxa"/>
          </w:tcPr>
          <w:p>
            <w:pPr>
              <w:jc w:val="center"/>
              <w:rPr>
                <w:rFonts w:hint="eastAsia" w:eastAsia="宋体"/>
                <w:b/>
                <w:color w:val="auto"/>
                <w:szCs w:val="21"/>
                <w:highlight w:val="none"/>
                <w:lang w:eastAsia="zh-CN"/>
              </w:rPr>
            </w:pPr>
            <w:r>
              <w:rPr>
                <w:rFonts w:hint="eastAsia" w:eastAsia="宋体"/>
                <w:b/>
                <w:color w:val="auto"/>
                <w:szCs w:val="21"/>
                <w:highlight w:val="none"/>
                <w:lang w:eastAsia="zh-CN"/>
              </w:rPr>
              <w:drawing>
                <wp:inline distT="0" distB="0" distL="114300" distR="114300">
                  <wp:extent cx="2889250" cy="2080260"/>
                  <wp:effectExtent l="0" t="0" r="6350" b="15240"/>
                  <wp:docPr id="43" name="图片 43" descr="c041e2234f246e48021a3bda81d0b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041e2234f246e48021a3bda81d0bc3"/>
                          <pic:cNvPicPr>
                            <a:picLocks noChangeAspect="1"/>
                          </pic:cNvPicPr>
                        </pic:nvPicPr>
                        <pic:blipFill>
                          <a:blip r:embed="rId34"/>
                          <a:stretch>
                            <a:fillRect/>
                          </a:stretch>
                        </pic:blipFill>
                        <pic:spPr>
                          <a:xfrm>
                            <a:off x="0" y="0"/>
                            <a:ext cx="2889250" cy="2080260"/>
                          </a:xfrm>
                          <a:prstGeom prst="rect">
                            <a:avLst/>
                          </a:prstGeom>
                        </pic:spPr>
                      </pic:pic>
                    </a:graphicData>
                  </a:graphic>
                </wp:inline>
              </w:drawing>
            </w:r>
          </w:p>
        </w:tc>
        <w:tc>
          <w:tcPr>
            <w:tcW w:w="4546" w:type="dxa"/>
          </w:tcPr>
          <w:p>
            <w:pPr>
              <w:jc w:val="center"/>
              <w:rPr>
                <w:rFonts w:hint="eastAsia" w:eastAsia="宋体"/>
                <w:b/>
                <w:color w:val="auto"/>
                <w:szCs w:val="21"/>
                <w:highlight w:val="none"/>
                <w:lang w:eastAsia="zh-CN"/>
              </w:rPr>
            </w:pPr>
            <w:r>
              <w:rPr>
                <w:rFonts w:hint="eastAsia" w:eastAsia="宋体"/>
                <w:b/>
                <w:color w:val="auto"/>
                <w:szCs w:val="21"/>
                <w:highlight w:val="none"/>
                <w:lang w:eastAsia="zh-CN"/>
              </w:rPr>
              <w:drawing>
                <wp:inline distT="0" distB="0" distL="114300" distR="114300">
                  <wp:extent cx="2889250" cy="2109470"/>
                  <wp:effectExtent l="0" t="0" r="6350" b="5080"/>
                  <wp:docPr id="44" name="图片 44" descr="f87fd5f2c273ad5157677ae1b7f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f87fd5f2c273ad5157677ae1b7f1574"/>
                          <pic:cNvPicPr>
                            <a:picLocks noChangeAspect="1"/>
                          </pic:cNvPicPr>
                        </pic:nvPicPr>
                        <pic:blipFill>
                          <a:blip r:embed="rId35"/>
                          <a:stretch>
                            <a:fillRect/>
                          </a:stretch>
                        </pic:blipFill>
                        <pic:spPr>
                          <a:xfrm>
                            <a:off x="0" y="0"/>
                            <a:ext cx="2889250" cy="2109470"/>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81" w:type="dxa"/>
          </w:tcPr>
          <w:p>
            <w:pPr>
              <w:jc w:val="center"/>
              <w:rPr>
                <w:rFonts w:hint="eastAsia" w:eastAsia="宋体"/>
                <w:b/>
                <w:color w:val="auto"/>
                <w:szCs w:val="21"/>
                <w:highlight w:val="none"/>
                <w:lang w:eastAsia="zh-CN"/>
              </w:rPr>
            </w:pPr>
            <w:r>
              <w:rPr>
                <w:rFonts w:hint="eastAsia"/>
                <w:b/>
                <w:color w:val="auto"/>
                <w:szCs w:val="21"/>
                <w:highlight w:val="none"/>
              </w:rPr>
              <w:t>西侧为</w:t>
            </w:r>
            <w:r>
              <w:rPr>
                <w:rFonts w:hint="eastAsia"/>
                <w:b/>
                <w:color w:val="auto"/>
                <w:szCs w:val="21"/>
                <w:highlight w:val="none"/>
                <w:lang w:eastAsia="zh-CN"/>
              </w:rPr>
              <w:t>空地</w:t>
            </w:r>
          </w:p>
        </w:tc>
        <w:tc>
          <w:tcPr>
            <w:tcW w:w="4546" w:type="dxa"/>
          </w:tcPr>
          <w:p>
            <w:pPr>
              <w:jc w:val="center"/>
              <w:rPr>
                <w:rFonts w:hint="eastAsia" w:eastAsia="宋体"/>
                <w:b/>
                <w:color w:val="auto"/>
                <w:szCs w:val="21"/>
                <w:highlight w:val="none"/>
                <w:lang w:eastAsia="zh-CN"/>
              </w:rPr>
            </w:pPr>
            <w:r>
              <w:rPr>
                <w:rFonts w:hint="eastAsia"/>
                <w:b/>
                <w:color w:val="auto"/>
                <w:szCs w:val="21"/>
                <w:highlight w:val="none"/>
              </w:rPr>
              <w:t>北侧为</w:t>
            </w:r>
            <w:r>
              <w:rPr>
                <w:rFonts w:hint="eastAsia"/>
                <w:b/>
                <w:color w:val="auto"/>
                <w:szCs w:val="21"/>
                <w:highlight w:val="none"/>
                <w:lang w:eastAsia="zh-CN"/>
              </w:rPr>
              <w:t>居民</w:t>
            </w:r>
          </w:p>
        </w:tc>
      </w:tr>
    </w:tbl>
    <w:p>
      <w:pPr>
        <w:pStyle w:val="2"/>
        <w:jc w:val="center"/>
        <w:rPr>
          <w:color w:val="auto"/>
          <w:sz w:val="28"/>
          <w:szCs w:val="28"/>
          <w:highlight w:val="none"/>
        </w:rPr>
      </w:pPr>
      <w:bookmarkStart w:id="60" w:name="_Toc18254"/>
      <w:r>
        <w:rPr>
          <w:rFonts w:hint="eastAsia"/>
          <w:color w:val="auto"/>
          <w:sz w:val="24"/>
          <w:highlight w:val="none"/>
        </w:rPr>
        <w:t>附图3 周边环境图</w:t>
      </w:r>
      <w:bookmarkEnd w:id="60"/>
    </w:p>
    <w:p>
      <w:pPr>
        <w:pStyle w:val="2"/>
        <w:spacing w:before="0" w:after="0" w:line="240" w:lineRule="auto"/>
        <w:rPr>
          <w:color w:val="auto"/>
          <w:sz w:val="24"/>
          <w:highlight w:val="none"/>
        </w:rPr>
      </w:pPr>
      <w:r>
        <w:rPr>
          <w:color w:val="auto"/>
          <w:highlight w:val="none"/>
        </w:rPr>
        <w:br w:type="page"/>
      </w:r>
      <w:bookmarkStart w:id="61" w:name="_Toc1481"/>
      <w:r>
        <w:rPr>
          <w:rFonts w:hint="eastAsia"/>
          <w:color w:val="auto"/>
          <w:sz w:val="24"/>
          <w:highlight w:val="none"/>
        </w:rPr>
        <w:t>附件</w:t>
      </w:r>
      <w:r>
        <w:rPr>
          <w:color w:val="auto"/>
          <w:sz w:val="24"/>
          <w:highlight w:val="none"/>
        </w:rPr>
        <w:t>1</w:t>
      </w:r>
      <w:r>
        <w:rPr>
          <w:rFonts w:hint="eastAsia"/>
          <w:color w:val="auto"/>
          <w:sz w:val="24"/>
          <w:highlight w:val="none"/>
        </w:rPr>
        <w:t>营业执照</w:t>
      </w:r>
      <w:bookmarkEnd w:id="59"/>
      <w:bookmarkEnd w:id="61"/>
    </w:p>
    <w:p>
      <w:pPr>
        <w:jc w:val="center"/>
        <w:rPr>
          <w:color w:val="auto"/>
          <w:highlight w:val="none"/>
        </w:rPr>
      </w:pPr>
    </w:p>
    <w:p>
      <w:pPr>
        <w:jc w:val="center"/>
        <w:rPr>
          <w:rFonts w:hint="eastAsia" w:ascii="Arial" w:hAnsi="Arial" w:eastAsia="宋体"/>
          <w:color w:val="auto"/>
          <w:kern w:val="0"/>
          <w:sz w:val="24"/>
          <w:highlight w:val="none"/>
          <w:lang w:eastAsia="zh-CN"/>
        </w:rPr>
        <w:sectPr>
          <w:pgSz w:w="11906" w:h="16838"/>
          <w:pgMar w:top="1134" w:right="1134" w:bottom="1134" w:left="794" w:header="851" w:footer="992" w:gutter="0"/>
          <w:pgBorders>
            <w:top w:val="none" w:sz="0" w:space="0"/>
            <w:left w:val="none" w:sz="0" w:space="0"/>
            <w:bottom w:val="none" w:sz="0" w:space="0"/>
            <w:right w:val="none" w:sz="0" w:space="0"/>
          </w:pgBorders>
          <w:pgNumType w:fmt="decimal"/>
          <w:cols w:space="720" w:num="1"/>
        </w:sectPr>
      </w:pPr>
      <w:r>
        <w:rPr>
          <w:rFonts w:hint="eastAsia" w:ascii="Arial" w:hAnsi="Arial" w:eastAsia="宋体"/>
          <w:color w:val="auto"/>
          <w:kern w:val="0"/>
          <w:sz w:val="24"/>
          <w:highlight w:val="none"/>
          <w:lang w:eastAsia="zh-CN"/>
        </w:rPr>
        <w:drawing>
          <wp:inline distT="0" distB="0" distL="114300" distR="114300">
            <wp:extent cx="5534025" cy="7620000"/>
            <wp:effectExtent l="0" t="0" r="9525" b="0"/>
            <wp:docPr id="11" name="图片 11"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营业执照"/>
                    <pic:cNvPicPr>
                      <a:picLocks noChangeAspect="1"/>
                    </pic:cNvPicPr>
                  </pic:nvPicPr>
                  <pic:blipFill>
                    <a:blip r:embed="rId36"/>
                    <a:stretch>
                      <a:fillRect/>
                    </a:stretch>
                  </pic:blipFill>
                  <pic:spPr>
                    <a:xfrm>
                      <a:off x="0" y="0"/>
                      <a:ext cx="5534025" cy="7620000"/>
                    </a:xfrm>
                    <a:prstGeom prst="rect">
                      <a:avLst/>
                    </a:prstGeom>
                  </pic:spPr>
                </pic:pic>
              </a:graphicData>
            </a:graphic>
          </wp:inline>
        </w:drawing>
      </w:r>
    </w:p>
    <w:p>
      <w:pPr>
        <w:pStyle w:val="2"/>
        <w:spacing w:before="0" w:after="0" w:line="240" w:lineRule="auto"/>
        <w:rPr>
          <w:rFonts w:hint="eastAsia"/>
          <w:color w:val="auto"/>
          <w:sz w:val="28"/>
          <w:szCs w:val="28"/>
          <w:highlight w:val="none"/>
          <w:lang w:eastAsia="zh-CN"/>
        </w:rPr>
      </w:pPr>
      <w:bookmarkStart w:id="62" w:name="_Toc1587"/>
      <w:bookmarkStart w:id="63" w:name="_Toc533691620"/>
      <w:bookmarkStart w:id="64" w:name="_Toc4500250"/>
      <w:r>
        <w:rPr>
          <w:rFonts w:hint="eastAsia"/>
          <w:color w:val="auto"/>
          <w:sz w:val="28"/>
          <w:szCs w:val="28"/>
          <w:highlight w:val="none"/>
        </w:rPr>
        <w:t>附件</w:t>
      </w:r>
      <w:r>
        <w:rPr>
          <w:color w:val="auto"/>
          <w:sz w:val="28"/>
          <w:szCs w:val="28"/>
          <w:highlight w:val="none"/>
        </w:rPr>
        <w:t>2</w:t>
      </w:r>
      <w:r>
        <w:rPr>
          <w:rFonts w:hint="eastAsia"/>
          <w:color w:val="auto"/>
          <w:sz w:val="28"/>
          <w:szCs w:val="28"/>
          <w:highlight w:val="none"/>
          <w:lang w:eastAsia="zh-CN"/>
        </w:rPr>
        <w:t>土地证</w:t>
      </w:r>
      <w:bookmarkEnd w:id="62"/>
    </w:p>
    <w:p>
      <w:pPr>
        <w:pStyle w:val="35"/>
        <w:rPr>
          <w:rFonts w:hint="eastAsia"/>
          <w:color w:val="auto"/>
          <w:highlight w:val="none"/>
          <w:lang w:eastAsia="zh-CN"/>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r>
        <w:rPr>
          <w:rFonts w:hint="eastAsia"/>
          <w:color w:val="auto"/>
          <w:highlight w:val="none"/>
          <w:lang w:eastAsia="zh-CN"/>
        </w:rPr>
        <w:drawing>
          <wp:inline distT="0" distB="0" distL="114300" distR="114300">
            <wp:extent cx="4877435" cy="5873115"/>
            <wp:effectExtent l="0" t="0" r="18415" b="13335"/>
            <wp:docPr id="17" name="图片 17" descr="7f70965e987072e628a1fa08526201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f70965e987072e628a1fa08526201d"/>
                    <pic:cNvPicPr>
                      <a:picLocks noChangeAspect="1"/>
                    </pic:cNvPicPr>
                  </pic:nvPicPr>
                  <pic:blipFill>
                    <a:blip r:embed="rId37"/>
                    <a:srcRect l="14154" t="9990" r="1644" b="13970"/>
                    <a:stretch>
                      <a:fillRect/>
                    </a:stretch>
                  </pic:blipFill>
                  <pic:spPr>
                    <a:xfrm>
                      <a:off x="0" y="0"/>
                      <a:ext cx="4877435" cy="5873115"/>
                    </a:xfrm>
                    <a:prstGeom prst="rect">
                      <a:avLst/>
                    </a:prstGeom>
                  </pic:spPr>
                </pic:pic>
              </a:graphicData>
            </a:graphic>
          </wp:inline>
        </w:drawing>
      </w:r>
    </w:p>
    <w:p>
      <w:pPr>
        <w:pStyle w:val="2"/>
        <w:spacing w:before="0" w:after="0" w:line="240" w:lineRule="auto"/>
        <w:rPr>
          <w:rFonts w:hint="eastAsia" w:eastAsia="宋体"/>
          <w:color w:val="auto"/>
          <w:sz w:val="28"/>
          <w:szCs w:val="28"/>
          <w:highlight w:val="none"/>
          <w:lang w:eastAsia="zh-CN"/>
        </w:rPr>
      </w:pPr>
      <w:bookmarkStart w:id="65" w:name="_Toc3347"/>
      <w:r>
        <w:rPr>
          <w:rFonts w:hint="eastAsia"/>
          <w:color w:val="auto"/>
          <w:sz w:val="28"/>
          <w:szCs w:val="28"/>
          <w:highlight w:val="none"/>
        </w:rPr>
        <w:t>附件</w:t>
      </w:r>
      <w:r>
        <w:rPr>
          <w:rFonts w:hint="eastAsia"/>
          <w:color w:val="auto"/>
          <w:sz w:val="28"/>
          <w:szCs w:val="28"/>
          <w:highlight w:val="none"/>
          <w:lang w:val="en-US" w:eastAsia="zh-CN"/>
        </w:rPr>
        <w:t>3</w:t>
      </w:r>
      <w:r>
        <w:rPr>
          <w:rFonts w:hint="eastAsia"/>
          <w:color w:val="auto"/>
          <w:sz w:val="28"/>
          <w:szCs w:val="28"/>
          <w:highlight w:val="none"/>
          <w:lang w:eastAsia="zh-CN"/>
        </w:rPr>
        <w:t>煤质分析报告</w:t>
      </w:r>
      <w:bookmarkEnd w:id="65"/>
    </w:p>
    <w:p>
      <w:pPr>
        <w:bidi w:val="0"/>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273675" cy="7261860"/>
            <wp:effectExtent l="0" t="0" r="3175" b="15240"/>
            <wp:docPr id="3" name="图片 3" descr="煤质分析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煤质分析报告"/>
                    <pic:cNvPicPr>
                      <a:picLocks noChangeAspect="1"/>
                    </pic:cNvPicPr>
                  </pic:nvPicPr>
                  <pic:blipFill>
                    <a:blip r:embed="rId38"/>
                    <a:stretch>
                      <a:fillRect/>
                    </a:stretch>
                  </pic:blipFill>
                  <pic:spPr>
                    <a:xfrm rot="10800000">
                      <a:off x="0" y="0"/>
                      <a:ext cx="5273675" cy="7261860"/>
                    </a:xfrm>
                    <a:prstGeom prst="rect">
                      <a:avLst/>
                    </a:prstGeom>
                  </pic:spPr>
                </pic:pic>
              </a:graphicData>
            </a:graphic>
          </wp:inline>
        </w:drawing>
      </w:r>
    </w:p>
    <w:p>
      <w:pPr>
        <w:pStyle w:val="2"/>
        <w:spacing w:before="0" w:after="0" w:line="240" w:lineRule="auto"/>
        <w:rPr>
          <w:rFonts w:hint="eastAsia"/>
          <w:color w:val="auto"/>
          <w:sz w:val="28"/>
          <w:szCs w:val="28"/>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
        <w:spacing w:before="0" w:after="0" w:line="240" w:lineRule="auto"/>
        <w:rPr>
          <w:color w:val="auto"/>
          <w:sz w:val="28"/>
          <w:szCs w:val="28"/>
          <w:highlight w:val="none"/>
        </w:rPr>
      </w:pPr>
      <w:bookmarkStart w:id="66" w:name="_Toc27911"/>
      <w:r>
        <w:rPr>
          <w:rFonts w:hint="eastAsia"/>
          <w:color w:val="auto"/>
          <w:sz w:val="28"/>
          <w:szCs w:val="28"/>
          <w:highlight w:val="none"/>
        </w:rPr>
        <w:t>附件</w:t>
      </w:r>
      <w:r>
        <w:rPr>
          <w:rFonts w:hint="eastAsia"/>
          <w:color w:val="auto"/>
          <w:sz w:val="28"/>
          <w:szCs w:val="28"/>
          <w:highlight w:val="none"/>
          <w:lang w:val="en-US" w:eastAsia="zh-CN"/>
        </w:rPr>
        <w:t>4</w:t>
      </w:r>
      <w:r>
        <w:rPr>
          <w:rFonts w:hint="eastAsia"/>
          <w:color w:val="auto"/>
          <w:sz w:val="28"/>
          <w:szCs w:val="28"/>
          <w:highlight w:val="none"/>
        </w:rPr>
        <w:t>建设项目大气环境影响评价自查表</w:t>
      </w:r>
      <w:bookmarkEnd w:id="63"/>
      <w:bookmarkEnd w:id="64"/>
      <w:bookmarkEnd w:id="66"/>
    </w:p>
    <w:tbl>
      <w:tblPr>
        <w:tblStyle w:val="36"/>
        <w:tblW w:w="9285" w:type="dxa"/>
        <w:jc w:val="center"/>
        <w:tblLayout w:type="fixed"/>
        <w:tblCellMar>
          <w:top w:w="0" w:type="dxa"/>
          <w:left w:w="108" w:type="dxa"/>
          <w:bottom w:w="0" w:type="dxa"/>
          <w:right w:w="108" w:type="dxa"/>
        </w:tblCellMar>
      </w:tblPr>
      <w:tblGrid>
        <w:gridCol w:w="964"/>
        <w:gridCol w:w="1837"/>
        <w:gridCol w:w="849"/>
        <w:gridCol w:w="74"/>
        <w:gridCol w:w="492"/>
        <w:gridCol w:w="139"/>
        <w:gridCol w:w="176"/>
        <w:gridCol w:w="394"/>
        <w:gridCol w:w="399"/>
        <w:gridCol w:w="711"/>
        <w:gridCol w:w="585"/>
        <w:gridCol w:w="149"/>
        <w:gridCol w:w="683"/>
        <w:gridCol w:w="282"/>
        <w:gridCol w:w="167"/>
        <w:gridCol w:w="591"/>
        <w:gridCol w:w="793"/>
      </w:tblGrid>
      <w:tr>
        <w:tblPrEx>
          <w:tblCellMar>
            <w:top w:w="0" w:type="dxa"/>
            <w:left w:w="108" w:type="dxa"/>
            <w:bottom w:w="0" w:type="dxa"/>
            <w:right w:w="108" w:type="dxa"/>
          </w:tblCellMar>
        </w:tblPrEx>
        <w:trPr>
          <w:trHeight w:val="319" w:hRule="atLeast"/>
          <w:jc w:val="center"/>
        </w:trPr>
        <w:tc>
          <w:tcPr>
            <w:tcW w:w="2801" w:type="dxa"/>
            <w:gridSpan w:val="2"/>
            <w:tcBorders>
              <w:top w:val="single" w:color="000000" w:sz="8" w:space="0"/>
              <w:left w:val="single" w:color="000000" w:sz="8" w:space="0"/>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工作内容</w:t>
            </w:r>
          </w:p>
        </w:tc>
        <w:tc>
          <w:tcPr>
            <w:tcW w:w="6484" w:type="dxa"/>
            <w:gridSpan w:val="15"/>
            <w:tcBorders>
              <w:top w:val="single" w:color="000000" w:sz="8" w:space="0"/>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自查项目</w:t>
            </w:r>
          </w:p>
        </w:tc>
      </w:tr>
      <w:tr>
        <w:tblPrEx>
          <w:tblCellMar>
            <w:top w:w="0" w:type="dxa"/>
            <w:left w:w="108" w:type="dxa"/>
            <w:bottom w:w="0" w:type="dxa"/>
            <w:right w:w="108" w:type="dxa"/>
          </w:tblCellMar>
        </w:tblPrEx>
        <w:trPr>
          <w:trHeight w:val="319" w:hRule="atLeast"/>
          <w:jc w:val="center"/>
        </w:trPr>
        <w:tc>
          <w:tcPr>
            <w:tcW w:w="964" w:type="dxa"/>
            <w:vMerge w:val="restart"/>
            <w:tcBorders>
              <w:top w:val="nil"/>
              <w:left w:val="single" w:color="000000" w:sz="8" w:space="0"/>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评价等级与范围</w:t>
            </w: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评价等级</w:t>
            </w:r>
          </w:p>
        </w:tc>
        <w:tc>
          <w:tcPr>
            <w:tcW w:w="2523" w:type="dxa"/>
            <w:gridSpan w:val="7"/>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一级□</w:t>
            </w:r>
          </w:p>
        </w:tc>
        <w:tc>
          <w:tcPr>
            <w:tcW w:w="2128"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二级</w:t>
            </w:r>
            <w:r>
              <w:rPr>
                <w:rFonts w:hint="eastAsia" w:ascii="Wingdings 2" w:hAnsi="Wingdings 2" w:cs="宋体"/>
                <w:color w:val="auto"/>
                <w:kern w:val="0"/>
                <w:sz w:val="18"/>
                <w:szCs w:val="18"/>
                <w:highlight w:val="none"/>
              </w:rPr>
              <w:sym w:font="Wingdings" w:char="00FE"/>
            </w:r>
          </w:p>
        </w:tc>
        <w:tc>
          <w:tcPr>
            <w:tcW w:w="1833"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三级□</w:t>
            </w:r>
          </w:p>
        </w:tc>
      </w:tr>
      <w:tr>
        <w:tblPrEx>
          <w:tblCellMar>
            <w:top w:w="0" w:type="dxa"/>
            <w:left w:w="108" w:type="dxa"/>
            <w:bottom w:w="0" w:type="dxa"/>
            <w:right w:w="108" w:type="dxa"/>
          </w:tblCellMar>
        </w:tblPrEx>
        <w:trPr>
          <w:trHeight w:val="319"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评价范围</w:t>
            </w:r>
          </w:p>
        </w:tc>
        <w:tc>
          <w:tcPr>
            <w:tcW w:w="2523" w:type="dxa"/>
            <w:gridSpan w:val="7"/>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边长</w:t>
            </w:r>
            <w:r>
              <w:rPr>
                <w:color w:val="auto"/>
                <w:kern w:val="0"/>
                <w:sz w:val="18"/>
                <w:szCs w:val="18"/>
                <w:highlight w:val="none"/>
              </w:rPr>
              <w:t>=50km</w:t>
            </w:r>
            <w:r>
              <w:rPr>
                <w:rFonts w:hint="eastAsia" w:ascii="宋体" w:hAnsi="宋体" w:cs="宋体"/>
                <w:color w:val="auto"/>
                <w:kern w:val="0"/>
                <w:sz w:val="18"/>
                <w:szCs w:val="18"/>
                <w:highlight w:val="none"/>
              </w:rPr>
              <w:t>□</w:t>
            </w:r>
          </w:p>
        </w:tc>
        <w:tc>
          <w:tcPr>
            <w:tcW w:w="2128"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边长</w:t>
            </w:r>
            <w:r>
              <w:rPr>
                <w:color w:val="auto"/>
                <w:kern w:val="0"/>
                <w:sz w:val="18"/>
                <w:szCs w:val="18"/>
                <w:highlight w:val="none"/>
              </w:rPr>
              <w:t>=5~50km</w:t>
            </w:r>
            <w:r>
              <w:rPr>
                <w:rFonts w:hint="eastAsia" w:ascii="宋体" w:hAnsi="宋体" w:cs="宋体"/>
                <w:color w:val="auto"/>
                <w:kern w:val="0"/>
                <w:sz w:val="18"/>
                <w:szCs w:val="18"/>
                <w:highlight w:val="none"/>
              </w:rPr>
              <w:t>□</w:t>
            </w:r>
          </w:p>
        </w:tc>
        <w:tc>
          <w:tcPr>
            <w:tcW w:w="1833"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边长</w:t>
            </w:r>
            <w:r>
              <w:rPr>
                <w:color w:val="auto"/>
                <w:kern w:val="0"/>
                <w:sz w:val="18"/>
                <w:szCs w:val="18"/>
                <w:highlight w:val="none"/>
              </w:rPr>
              <w:t>=5km</w:t>
            </w:r>
            <w:r>
              <w:rPr>
                <w:rFonts w:hint="eastAsia" w:ascii="Wingdings 2" w:hAnsi="Wingdings 2" w:cs="宋体"/>
                <w:color w:val="auto"/>
                <w:kern w:val="0"/>
                <w:sz w:val="18"/>
                <w:szCs w:val="18"/>
                <w:highlight w:val="none"/>
              </w:rPr>
              <w:sym w:font="Wingdings" w:char="00FE"/>
            </w:r>
          </w:p>
        </w:tc>
      </w:tr>
      <w:tr>
        <w:tblPrEx>
          <w:tblCellMar>
            <w:top w:w="0" w:type="dxa"/>
            <w:left w:w="108" w:type="dxa"/>
            <w:bottom w:w="0" w:type="dxa"/>
            <w:right w:w="108" w:type="dxa"/>
          </w:tblCellMar>
        </w:tblPrEx>
        <w:trPr>
          <w:trHeight w:val="199" w:hRule="atLeast"/>
          <w:jc w:val="center"/>
        </w:trPr>
        <w:tc>
          <w:tcPr>
            <w:tcW w:w="964" w:type="dxa"/>
            <w:vMerge w:val="restart"/>
            <w:tcBorders>
              <w:top w:val="nil"/>
              <w:left w:val="single" w:color="000000" w:sz="8" w:space="0"/>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评价因子</w:t>
            </w:r>
          </w:p>
        </w:tc>
        <w:tc>
          <w:tcPr>
            <w:tcW w:w="1837" w:type="dxa"/>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SO</w:t>
            </w:r>
            <w:r>
              <w:rPr>
                <w:color w:val="auto"/>
                <w:kern w:val="0"/>
                <w:sz w:val="18"/>
                <w:szCs w:val="18"/>
                <w:highlight w:val="none"/>
                <w:vertAlign w:val="subscript"/>
              </w:rPr>
              <w:t>2</w:t>
            </w:r>
            <w:r>
              <w:rPr>
                <w:color w:val="auto"/>
                <w:kern w:val="0"/>
                <w:sz w:val="18"/>
                <w:szCs w:val="18"/>
                <w:highlight w:val="none"/>
              </w:rPr>
              <w:t>+NOx</w:t>
            </w:r>
            <w:r>
              <w:rPr>
                <w:rFonts w:hint="eastAsia" w:ascii="宋体" w:hAnsi="宋体"/>
                <w:color w:val="auto"/>
                <w:kern w:val="0"/>
                <w:sz w:val="18"/>
                <w:szCs w:val="18"/>
                <w:highlight w:val="none"/>
              </w:rPr>
              <w:t>排放量</w:t>
            </w:r>
          </w:p>
        </w:tc>
        <w:tc>
          <w:tcPr>
            <w:tcW w:w="1415" w:type="dxa"/>
            <w:gridSpan w:val="3"/>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w:t>
            </w:r>
            <w:r>
              <w:rPr>
                <w:color w:val="auto"/>
                <w:kern w:val="0"/>
                <w:sz w:val="18"/>
                <w:szCs w:val="18"/>
                <w:highlight w:val="none"/>
              </w:rPr>
              <w:t>2000t/a</w:t>
            </w:r>
            <w:r>
              <w:rPr>
                <w:rFonts w:hint="eastAsia" w:ascii="宋体" w:hAnsi="宋体" w:cs="宋体"/>
                <w:color w:val="auto"/>
                <w:kern w:val="0"/>
                <w:sz w:val="18"/>
                <w:szCs w:val="18"/>
                <w:highlight w:val="none"/>
              </w:rPr>
              <w:t>□</w:t>
            </w:r>
          </w:p>
        </w:tc>
        <w:tc>
          <w:tcPr>
            <w:tcW w:w="2553" w:type="dxa"/>
            <w:gridSpan w:val="7"/>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500~2000t/a</w:t>
            </w:r>
            <w:r>
              <w:rPr>
                <w:rFonts w:hint="eastAsia" w:ascii="宋体" w:hAnsi="宋体"/>
                <w:color w:val="auto"/>
                <w:kern w:val="0"/>
                <w:sz w:val="18"/>
                <w:szCs w:val="18"/>
                <w:highlight w:val="none"/>
              </w:rPr>
              <w:t>□</w:t>
            </w:r>
          </w:p>
        </w:tc>
        <w:tc>
          <w:tcPr>
            <w:tcW w:w="2516" w:type="dxa"/>
            <w:gridSpan w:val="5"/>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&lt;500t/a</w:t>
            </w:r>
            <w:r>
              <w:rPr>
                <w:rFonts w:hint="eastAsia" w:ascii="Wingdings 2" w:hAnsi="Wingdings 2" w:cs="宋体"/>
                <w:color w:val="auto"/>
                <w:kern w:val="0"/>
                <w:sz w:val="18"/>
                <w:szCs w:val="18"/>
                <w:highlight w:val="none"/>
              </w:rPr>
              <w:sym w:font="Wingdings" w:char="00FE"/>
            </w:r>
          </w:p>
        </w:tc>
      </w:tr>
      <w:tr>
        <w:tblPrEx>
          <w:tblCellMar>
            <w:top w:w="0" w:type="dxa"/>
            <w:left w:w="108" w:type="dxa"/>
            <w:bottom w:w="0" w:type="dxa"/>
            <w:right w:w="108" w:type="dxa"/>
          </w:tblCellMar>
        </w:tblPrEx>
        <w:trPr>
          <w:trHeight w:val="7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vMerge w:val="restart"/>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评价因子</w:t>
            </w:r>
          </w:p>
        </w:tc>
        <w:tc>
          <w:tcPr>
            <w:tcW w:w="3968" w:type="dxa"/>
            <w:gridSpan w:val="10"/>
            <w:tcBorders>
              <w:top w:val="nil"/>
              <w:left w:val="nil"/>
              <w:bottom w:val="nil"/>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基本污染物（</w:t>
            </w:r>
            <w:r>
              <w:rPr>
                <w:color w:val="auto"/>
                <w:kern w:val="0"/>
                <w:sz w:val="18"/>
                <w:szCs w:val="18"/>
                <w:highlight w:val="none"/>
              </w:rPr>
              <w:t>SO</w:t>
            </w:r>
            <w:r>
              <w:rPr>
                <w:color w:val="auto"/>
                <w:kern w:val="0"/>
                <w:sz w:val="18"/>
                <w:szCs w:val="18"/>
                <w:highlight w:val="none"/>
                <w:vertAlign w:val="subscript"/>
              </w:rPr>
              <w:t>2</w:t>
            </w:r>
            <w:r>
              <w:rPr>
                <w:rFonts w:hint="eastAsia" w:ascii="宋体" w:hAnsi="宋体" w:cs="宋体"/>
                <w:color w:val="auto"/>
                <w:kern w:val="0"/>
                <w:sz w:val="18"/>
                <w:szCs w:val="18"/>
                <w:highlight w:val="none"/>
              </w:rPr>
              <w:t>、</w:t>
            </w:r>
            <w:r>
              <w:rPr>
                <w:rFonts w:hint="eastAsia"/>
                <w:color w:val="auto"/>
                <w:kern w:val="0"/>
                <w:sz w:val="18"/>
                <w:szCs w:val="18"/>
                <w:highlight w:val="none"/>
              </w:rPr>
              <w:t>颗粒物、NO</w:t>
            </w:r>
            <w:r>
              <w:rPr>
                <w:rFonts w:hint="eastAsia"/>
                <w:color w:val="auto"/>
                <w:kern w:val="0"/>
                <w:sz w:val="18"/>
                <w:szCs w:val="18"/>
                <w:highlight w:val="none"/>
                <w:vertAlign w:val="subscript"/>
              </w:rPr>
              <w:t>x</w:t>
            </w:r>
            <w:r>
              <w:rPr>
                <w:rFonts w:hint="eastAsia" w:ascii="宋体" w:hAnsi="宋体" w:cs="宋体"/>
                <w:color w:val="auto"/>
                <w:kern w:val="0"/>
                <w:sz w:val="18"/>
                <w:szCs w:val="18"/>
                <w:highlight w:val="none"/>
              </w:rPr>
              <w:t>）</w:t>
            </w:r>
          </w:p>
        </w:tc>
        <w:tc>
          <w:tcPr>
            <w:tcW w:w="2516" w:type="dxa"/>
            <w:gridSpan w:val="5"/>
            <w:tcBorders>
              <w:top w:val="nil"/>
              <w:left w:val="nil"/>
              <w:bottom w:val="nil"/>
              <w:right w:val="single" w:color="000000" w:sz="8" w:space="0"/>
            </w:tcBorders>
            <w:vAlign w:val="bottom"/>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包括二次</w:t>
            </w:r>
            <w:r>
              <w:rPr>
                <w:color w:val="auto"/>
                <w:kern w:val="0"/>
                <w:sz w:val="18"/>
                <w:szCs w:val="18"/>
                <w:highlight w:val="none"/>
              </w:rPr>
              <w:t>PM</w:t>
            </w:r>
            <w:r>
              <w:rPr>
                <w:color w:val="auto"/>
                <w:kern w:val="0"/>
                <w:sz w:val="18"/>
                <w:szCs w:val="18"/>
                <w:highlight w:val="none"/>
                <w:vertAlign w:val="subscript"/>
              </w:rPr>
              <w:t>2.5</w:t>
            </w:r>
            <w:r>
              <w:rPr>
                <w:rFonts w:hint="eastAsia" w:ascii="宋体" w:hAnsi="宋体" w:cs="宋体"/>
                <w:color w:val="auto"/>
                <w:kern w:val="0"/>
                <w:sz w:val="18"/>
                <w:szCs w:val="18"/>
                <w:highlight w:val="none"/>
              </w:rPr>
              <w:t>□</w:t>
            </w:r>
          </w:p>
        </w:tc>
      </w:tr>
      <w:tr>
        <w:tblPrEx>
          <w:tblCellMar>
            <w:top w:w="0" w:type="dxa"/>
            <w:left w:w="108" w:type="dxa"/>
            <w:bottom w:w="0" w:type="dxa"/>
            <w:right w:w="108" w:type="dxa"/>
          </w:tblCellMar>
        </w:tblPrEx>
        <w:trPr>
          <w:trHeight w:val="7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3968" w:type="dxa"/>
            <w:gridSpan w:val="10"/>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其他污染物（ ）</w:t>
            </w:r>
          </w:p>
        </w:tc>
        <w:tc>
          <w:tcPr>
            <w:tcW w:w="2516" w:type="dxa"/>
            <w:gridSpan w:val="5"/>
            <w:tcBorders>
              <w:top w:val="nil"/>
              <w:left w:val="nil"/>
              <w:bottom w:val="single" w:color="000000" w:sz="8" w:space="0"/>
              <w:right w:val="single" w:color="000000" w:sz="8" w:space="0"/>
            </w:tcBorders>
            <w:vAlign w:val="bottom"/>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不包括二次</w:t>
            </w:r>
            <w:r>
              <w:rPr>
                <w:color w:val="auto"/>
                <w:kern w:val="0"/>
                <w:sz w:val="18"/>
                <w:szCs w:val="18"/>
                <w:highlight w:val="none"/>
              </w:rPr>
              <w:t>PM</w:t>
            </w:r>
            <w:r>
              <w:rPr>
                <w:color w:val="auto"/>
                <w:kern w:val="0"/>
                <w:sz w:val="18"/>
                <w:szCs w:val="18"/>
                <w:highlight w:val="none"/>
                <w:vertAlign w:val="subscript"/>
              </w:rPr>
              <w:t>2.5</w:t>
            </w:r>
            <w:r>
              <w:rPr>
                <w:rFonts w:hint="eastAsia" w:ascii="Wingdings 2" w:hAnsi="Wingdings 2" w:cs="宋体"/>
                <w:color w:val="auto"/>
                <w:kern w:val="0"/>
                <w:sz w:val="18"/>
                <w:szCs w:val="18"/>
                <w:highlight w:val="none"/>
              </w:rPr>
              <w:sym w:font="Wingdings" w:char="00FE"/>
            </w:r>
          </w:p>
        </w:tc>
      </w:tr>
      <w:tr>
        <w:tblPrEx>
          <w:tblCellMar>
            <w:top w:w="0" w:type="dxa"/>
            <w:left w:w="108" w:type="dxa"/>
            <w:bottom w:w="0" w:type="dxa"/>
            <w:right w:w="108" w:type="dxa"/>
          </w:tblCellMar>
        </w:tblPrEx>
        <w:trPr>
          <w:trHeight w:val="75" w:hRule="atLeast"/>
          <w:jc w:val="center"/>
        </w:trPr>
        <w:tc>
          <w:tcPr>
            <w:tcW w:w="964" w:type="dxa"/>
            <w:tcBorders>
              <w:top w:val="nil"/>
              <w:left w:val="single" w:color="000000" w:sz="8" w:space="0"/>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评价标准</w:t>
            </w: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评价标准</w:t>
            </w:r>
          </w:p>
        </w:tc>
        <w:tc>
          <w:tcPr>
            <w:tcW w:w="1730" w:type="dxa"/>
            <w:gridSpan w:val="5"/>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国家标准</w:t>
            </w:r>
            <w:r>
              <w:rPr>
                <w:rFonts w:hint="eastAsia" w:ascii="Wingdings 2" w:hAnsi="Wingdings 2" w:cs="宋体"/>
                <w:color w:val="auto"/>
                <w:kern w:val="0"/>
                <w:sz w:val="18"/>
                <w:szCs w:val="18"/>
                <w:highlight w:val="none"/>
              </w:rPr>
              <w:sym w:font="Wingdings" w:char="00FE"/>
            </w:r>
          </w:p>
        </w:tc>
        <w:tc>
          <w:tcPr>
            <w:tcW w:w="2238" w:type="dxa"/>
            <w:gridSpan w:val="5"/>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地方标准□</w:t>
            </w:r>
          </w:p>
        </w:tc>
        <w:tc>
          <w:tcPr>
            <w:tcW w:w="1132" w:type="dxa"/>
            <w:gridSpan w:val="3"/>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附录</w:t>
            </w:r>
            <w:r>
              <w:rPr>
                <w:color w:val="auto"/>
                <w:kern w:val="0"/>
                <w:sz w:val="18"/>
                <w:szCs w:val="18"/>
                <w:highlight w:val="none"/>
              </w:rPr>
              <w:t>D</w:t>
            </w:r>
            <w:r>
              <w:rPr>
                <w:rFonts w:hint="eastAsia" w:ascii="宋体" w:hAnsi="宋体" w:cs="宋体"/>
                <w:color w:val="auto"/>
                <w:kern w:val="0"/>
                <w:sz w:val="18"/>
                <w:szCs w:val="18"/>
                <w:highlight w:val="none"/>
              </w:rPr>
              <w:t>□</w:t>
            </w:r>
          </w:p>
        </w:tc>
        <w:tc>
          <w:tcPr>
            <w:tcW w:w="1384" w:type="dxa"/>
            <w:gridSpan w:val="2"/>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其他标准□</w:t>
            </w:r>
          </w:p>
        </w:tc>
      </w:tr>
      <w:tr>
        <w:tblPrEx>
          <w:tblCellMar>
            <w:top w:w="0" w:type="dxa"/>
            <w:left w:w="108" w:type="dxa"/>
            <w:bottom w:w="0" w:type="dxa"/>
            <w:right w:w="108" w:type="dxa"/>
          </w:tblCellMar>
        </w:tblPrEx>
        <w:trPr>
          <w:trHeight w:val="75" w:hRule="atLeast"/>
          <w:jc w:val="center"/>
        </w:trPr>
        <w:tc>
          <w:tcPr>
            <w:tcW w:w="964" w:type="dxa"/>
            <w:vMerge w:val="restart"/>
            <w:tcBorders>
              <w:top w:val="nil"/>
              <w:left w:val="single" w:color="000000" w:sz="8" w:space="0"/>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现状评价</w:t>
            </w: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评价功能区</w:t>
            </w:r>
          </w:p>
        </w:tc>
        <w:tc>
          <w:tcPr>
            <w:tcW w:w="2523" w:type="dxa"/>
            <w:gridSpan w:val="7"/>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一类区□</w:t>
            </w:r>
          </w:p>
        </w:tc>
        <w:tc>
          <w:tcPr>
            <w:tcW w:w="2128"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二类区</w:t>
            </w:r>
            <w:r>
              <w:rPr>
                <w:rFonts w:hint="eastAsia" w:ascii="Wingdings 2" w:hAnsi="Wingdings 2" w:cs="宋体"/>
                <w:color w:val="auto"/>
                <w:kern w:val="0"/>
                <w:sz w:val="18"/>
                <w:szCs w:val="18"/>
                <w:highlight w:val="none"/>
              </w:rPr>
              <w:sym w:font="Wingdings" w:char="00FE"/>
            </w:r>
          </w:p>
        </w:tc>
        <w:tc>
          <w:tcPr>
            <w:tcW w:w="1833"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一类区和二类区□</w:t>
            </w:r>
          </w:p>
        </w:tc>
      </w:tr>
      <w:tr>
        <w:tblPrEx>
          <w:tblCellMar>
            <w:top w:w="0" w:type="dxa"/>
            <w:left w:w="108" w:type="dxa"/>
            <w:bottom w:w="0" w:type="dxa"/>
            <w:right w:w="108" w:type="dxa"/>
          </w:tblCellMar>
        </w:tblPrEx>
        <w:trPr>
          <w:trHeight w:val="96"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评价基准年</w:t>
            </w:r>
          </w:p>
        </w:tc>
        <w:tc>
          <w:tcPr>
            <w:tcW w:w="6484" w:type="dxa"/>
            <w:gridSpan w:val="15"/>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w:t>
            </w:r>
            <w:r>
              <w:rPr>
                <w:color w:val="auto"/>
                <w:kern w:val="0"/>
                <w:sz w:val="18"/>
                <w:szCs w:val="18"/>
                <w:highlight w:val="none"/>
              </w:rPr>
              <w:t>201</w:t>
            </w:r>
            <w:r>
              <w:rPr>
                <w:rFonts w:hint="eastAsia"/>
                <w:color w:val="auto"/>
                <w:kern w:val="0"/>
                <w:sz w:val="18"/>
                <w:szCs w:val="18"/>
                <w:highlight w:val="none"/>
                <w:lang w:val="en-US" w:eastAsia="zh-CN"/>
              </w:rPr>
              <w:t>8</w:t>
            </w:r>
            <w:r>
              <w:rPr>
                <w:rFonts w:hint="eastAsia" w:ascii="宋体" w:hAnsi="宋体" w:cs="宋体"/>
                <w:color w:val="auto"/>
                <w:kern w:val="0"/>
                <w:sz w:val="18"/>
                <w:szCs w:val="18"/>
                <w:highlight w:val="none"/>
              </w:rPr>
              <w:t>）年</w:t>
            </w:r>
          </w:p>
        </w:tc>
      </w:tr>
      <w:tr>
        <w:tblPrEx>
          <w:tblCellMar>
            <w:top w:w="0" w:type="dxa"/>
            <w:left w:w="108" w:type="dxa"/>
            <w:bottom w:w="0" w:type="dxa"/>
            <w:right w:w="108" w:type="dxa"/>
          </w:tblCellMar>
        </w:tblPrEx>
        <w:trPr>
          <w:trHeight w:val="327"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环境空气质量现状调查数据来源</w:t>
            </w:r>
          </w:p>
        </w:tc>
        <w:tc>
          <w:tcPr>
            <w:tcW w:w="2523" w:type="dxa"/>
            <w:gridSpan w:val="7"/>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长期例行监测数据□</w:t>
            </w:r>
          </w:p>
        </w:tc>
        <w:tc>
          <w:tcPr>
            <w:tcW w:w="2128"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主管部门发布的数据</w:t>
            </w:r>
            <w:r>
              <w:rPr>
                <w:rFonts w:hint="eastAsia" w:ascii="Wingdings 2" w:hAnsi="Wingdings 2" w:cs="宋体"/>
                <w:color w:val="auto"/>
                <w:kern w:val="0"/>
                <w:sz w:val="18"/>
                <w:szCs w:val="18"/>
                <w:highlight w:val="none"/>
              </w:rPr>
              <w:sym w:font="Wingdings" w:char="00FE"/>
            </w:r>
          </w:p>
        </w:tc>
        <w:tc>
          <w:tcPr>
            <w:tcW w:w="1833"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现状补充检测</w:t>
            </w:r>
            <w:r>
              <w:rPr>
                <w:rFonts w:hint="eastAsia" w:ascii="宋体" w:hAnsi="宋体" w:cs="宋体"/>
                <w:color w:val="auto"/>
                <w:kern w:val="0"/>
                <w:sz w:val="18"/>
                <w:szCs w:val="18"/>
                <w:highlight w:val="none"/>
              </w:rPr>
              <w:sym w:font="Wingdings 2" w:char="0052"/>
            </w:r>
          </w:p>
        </w:tc>
      </w:tr>
      <w:tr>
        <w:tblPrEx>
          <w:tblCellMar>
            <w:top w:w="0" w:type="dxa"/>
            <w:left w:w="108" w:type="dxa"/>
            <w:bottom w:w="0" w:type="dxa"/>
            <w:right w:w="108" w:type="dxa"/>
          </w:tblCellMar>
        </w:tblPrEx>
        <w:trPr>
          <w:trHeight w:val="319"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现状评价</w:t>
            </w:r>
          </w:p>
        </w:tc>
        <w:tc>
          <w:tcPr>
            <w:tcW w:w="3819" w:type="dxa"/>
            <w:gridSpan w:val="9"/>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达标区</w:t>
            </w:r>
            <w:r>
              <w:rPr>
                <w:rFonts w:hint="eastAsia" w:ascii="Wingdings 2" w:hAnsi="Wingdings 2" w:cs="宋体"/>
                <w:color w:val="auto"/>
                <w:kern w:val="0"/>
                <w:sz w:val="18"/>
                <w:szCs w:val="18"/>
                <w:highlight w:val="none"/>
              </w:rPr>
              <w:sym w:font="Wingdings" w:char="00FE"/>
            </w:r>
          </w:p>
        </w:tc>
        <w:tc>
          <w:tcPr>
            <w:tcW w:w="2665" w:type="dxa"/>
            <w:gridSpan w:val="6"/>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不达标区□</w:t>
            </w:r>
          </w:p>
        </w:tc>
      </w:tr>
      <w:tr>
        <w:tblPrEx>
          <w:tblCellMar>
            <w:top w:w="0" w:type="dxa"/>
            <w:left w:w="108" w:type="dxa"/>
            <w:bottom w:w="0" w:type="dxa"/>
            <w:right w:w="108" w:type="dxa"/>
          </w:tblCellMar>
        </w:tblPrEx>
        <w:trPr>
          <w:trHeight w:val="75" w:hRule="atLeast"/>
          <w:jc w:val="center"/>
        </w:trPr>
        <w:tc>
          <w:tcPr>
            <w:tcW w:w="964" w:type="dxa"/>
            <w:vMerge w:val="restart"/>
            <w:tcBorders>
              <w:top w:val="nil"/>
              <w:left w:val="single" w:color="000000" w:sz="8" w:space="0"/>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污染源调查</w:t>
            </w:r>
          </w:p>
        </w:tc>
        <w:tc>
          <w:tcPr>
            <w:tcW w:w="1837" w:type="dxa"/>
            <w:vMerge w:val="restart"/>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调查内容</w:t>
            </w:r>
          </w:p>
        </w:tc>
        <w:tc>
          <w:tcPr>
            <w:tcW w:w="2124" w:type="dxa"/>
            <w:gridSpan w:val="6"/>
            <w:tcBorders>
              <w:top w:val="nil"/>
              <w:left w:val="nil"/>
              <w:bottom w:val="nil"/>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本项目正常排放源</w:t>
            </w:r>
            <w:r>
              <w:rPr>
                <w:rFonts w:hint="eastAsia" w:ascii="Wingdings 2" w:hAnsi="Wingdings 2" w:cs="宋体"/>
                <w:color w:val="auto"/>
                <w:kern w:val="0"/>
                <w:sz w:val="18"/>
                <w:szCs w:val="18"/>
                <w:highlight w:val="none"/>
              </w:rPr>
              <w:sym w:font="Wingdings" w:char="00FE"/>
            </w:r>
          </w:p>
        </w:tc>
        <w:tc>
          <w:tcPr>
            <w:tcW w:w="1695" w:type="dxa"/>
            <w:gridSpan w:val="3"/>
            <w:vMerge w:val="restart"/>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拟替代的污染源□</w:t>
            </w:r>
          </w:p>
        </w:tc>
        <w:tc>
          <w:tcPr>
            <w:tcW w:w="832" w:type="dxa"/>
            <w:gridSpan w:val="2"/>
            <w:vMerge w:val="restart"/>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其他在建、本项目污染源□</w:t>
            </w:r>
          </w:p>
        </w:tc>
        <w:tc>
          <w:tcPr>
            <w:tcW w:w="1833" w:type="dxa"/>
            <w:gridSpan w:val="4"/>
            <w:vMerge w:val="restart"/>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区域污染源□</w:t>
            </w:r>
          </w:p>
        </w:tc>
      </w:tr>
      <w:tr>
        <w:tblPrEx>
          <w:tblCellMar>
            <w:top w:w="0" w:type="dxa"/>
            <w:left w:w="108" w:type="dxa"/>
            <w:bottom w:w="0" w:type="dxa"/>
            <w:right w:w="108" w:type="dxa"/>
          </w:tblCellMar>
        </w:tblPrEx>
        <w:trPr>
          <w:trHeight w:val="7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2124" w:type="dxa"/>
            <w:gridSpan w:val="6"/>
            <w:tcBorders>
              <w:top w:val="nil"/>
              <w:left w:val="nil"/>
              <w:bottom w:val="nil"/>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本项目非正常排放源□</w:t>
            </w:r>
          </w:p>
        </w:tc>
        <w:tc>
          <w:tcPr>
            <w:tcW w:w="1695" w:type="dxa"/>
            <w:gridSpan w:val="3"/>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832" w:type="dxa"/>
            <w:gridSpan w:val="2"/>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3" w:type="dxa"/>
            <w:gridSpan w:val="4"/>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r>
      <w:tr>
        <w:tblPrEx>
          <w:tblCellMar>
            <w:top w:w="0" w:type="dxa"/>
            <w:left w:w="108" w:type="dxa"/>
            <w:bottom w:w="0" w:type="dxa"/>
            <w:right w:w="108" w:type="dxa"/>
          </w:tblCellMar>
        </w:tblPrEx>
        <w:trPr>
          <w:trHeight w:val="664"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2124" w:type="dxa"/>
            <w:gridSpan w:val="6"/>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现有污染源□</w:t>
            </w:r>
          </w:p>
        </w:tc>
        <w:tc>
          <w:tcPr>
            <w:tcW w:w="1695" w:type="dxa"/>
            <w:gridSpan w:val="3"/>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832" w:type="dxa"/>
            <w:gridSpan w:val="2"/>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3" w:type="dxa"/>
            <w:gridSpan w:val="4"/>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r>
      <w:tr>
        <w:tblPrEx>
          <w:tblCellMar>
            <w:top w:w="0" w:type="dxa"/>
            <w:left w:w="108" w:type="dxa"/>
            <w:bottom w:w="0" w:type="dxa"/>
            <w:right w:w="108" w:type="dxa"/>
          </w:tblCellMar>
        </w:tblPrEx>
        <w:trPr>
          <w:trHeight w:val="611" w:hRule="atLeast"/>
          <w:jc w:val="center"/>
        </w:trPr>
        <w:tc>
          <w:tcPr>
            <w:tcW w:w="964" w:type="dxa"/>
            <w:vMerge w:val="restart"/>
            <w:tcBorders>
              <w:top w:val="nil"/>
              <w:left w:val="single" w:color="000000" w:sz="8" w:space="0"/>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大气环境影响预测与评价</w:t>
            </w:r>
          </w:p>
          <w:p>
            <w:pPr>
              <w:widowControl/>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（不进行预测）</w:t>
            </w: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预测模型</w:t>
            </w:r>
          </w:p>
        </w:tc>
        <w:tc>
          <w:tcPr>
            <w:tcW w:w="849" w:type="dxa"/>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AERMOD</w:t>
            </w:r>
            <w:r>
              <w:rPr>
                <w:rFonts w:hint="eastAsia" w:ascii="宋体" w:hAnsi="宋体"/>
                <w:color w:val="auto"/>
                <w:kern w:val="0"/>
                <w:sz w:val="18"/>
                <w:szCs w:val="18"/>
                <w:highlight w:val="none"/>
              </w:rPr>
              <w:t>□</w:t>
            </w:r>
          </w:p>
        </w:tc>
        <w:tc>
          <w:tcPr>
            <w:tcW w:w="705" w:type="dxa"/>
            <w:gridSpan w:val="3"/>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ADMS</w:t>
            </w:r>
            <w:r>
              <w:rPr>
                <w:rFonts w:hint="eastAsia" w:ascii="宋体" w:hAnsi="宋体"/>
                <w:color w:val="auto"/>
                <w:kern w:val="0"/>
                <w:sz w:val="18"/>
                <w:szCs w:val="18"/>
                <w:highlight w:val="none"/>
              </w:rPr>
              <w:t>□</w:t>
            </w:r>
          </w:p>
        </w:tc>
        <w:tc>
          <w:tcPr>
            <w:tcW w:w="969" w:type="dxa"/>
            <w:gridSpan w:val="3"/>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AUSTAL2000</w:t>
            </w:r>
            <w:r>
              <w:rPr>
                <w:rFonts w:hint="eastAsia" w:ascii="宋体" w:hAnsi="宋体"/>
                <w:color w:val="auto"/>
                <w:kern w:val="0"/>
                <w:sz w:val="18"/>
                <w:szCs w:val="18"/>
                <w:highlight w:val="none"/>
              </w:rPr>
              <w:t>□</w:t>
            </w:r>
          </w:p>
        </w:tc>
        <w:tc>
          <w:tcPr>
            <w:tcW w:w="1296" w:type="dxa"/>
            <w:gridSpan w:val="2"/>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EDMS/AEDT</w:t>
            </w:r>
            <w:r>
              <w:rPr>
                <w:rFonts w:hint="eastAsia" w:ascii="宋体" w:hAnsi="宋体"/>
                <w:color w:val="auto"/>
                <w:kern w:val="0"/>
                <w:sz w:val="18"/>
                <w:szCs w:val="18"/>
                <w:highlight w:val="none"/>
              </w:rPr>
              <w:t>□</w:t>
            </w:r>
          </w:p>
        </w:tc>
        <w:tc>
          <w:tcPr>
            <w:tcW w:w="832" w:type="dxa"/>
            <w:gridSpan w:val="2"/>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CALPUFF</w:t>
            </w:r>
            <w:r>
              <w:rPr>
                <w:rFonts w:hint="eastAsia" w:ascii="宋体" w:hAnsi="宋体"/>
                <w:color w:val="auto"/>
                <w:kern w:val="0"/>
                <w:sz w:val="18"/>
                <w:szCs w:val="18"/>
                <w:highlight w:val="none"/>
              </w:rPr>
              <w:t>□</w:t>
            </w:r>
          </w:p>
        </w:tc>
        <w:tc>
          <w:tcPr>
            <w:tcW w:w="1040" w:type="dxa"/>
            <w:gridSpan w:val="3"/>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网格模型□</w:t>
            </w:r>
          </w:p>
        </w:tc>
        <w:tc>
          <w:tcPr>
            <w:tcW w:w="793"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其他□</w:t>
            </w:r>
          </w:p>
        </w:tc>
      </w:tr>
      <w:tr>
        <w:tblPrEx>
          <w:tblCellMar>
            <w:top w:w="0" w:type="dxa"/>
            <w:left w:w="108" w:type="dxa"/>
            <w:bottom w:w="0" w:type="dxa"/>
            <w:right w:w="108" w:type="dxa"/>
          </w:tblCellMar>
        </w:tblPrEx>
        <w:trPr>
          <w:trHeight w:val="8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预测范围</w:t>
            </w:r>
          </w:p>
        </w:tc>
        <w:tc>
          <w:tcPr>
            <w:tcW w:w="2523" w:type="dxa"/>
            <w:gridSpan w:val="7"/>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边长≥</w:t>
            </w:r>
            <w:r>
              <w:rPr>
                <w:color w:val="auto"/>
                <w:kern w:val="0"/>
                <w:sz w:val="18"/>
                <w:szCs w:val="18"/>
                <w:highlight w:val="none"/>
              </w:rPr>
              <w:t>50km</w:t>
            </w:r>
            <w:r>
              <w:rPr>
                <w:rFonts w:hint="eastAsia" w:ascii="宋体" w:hAnsi="宋体" w:cs="宋体"/>
                <w:color w:val="auto"/>
                <w:kern w:val="0"/>
                <w:sz w:val="18"/>
                <w:szCs w:val="18"/>
                <w:highlight w:val="none"/>
              </w:rPr>
              <w:t>□</w:t>
            </w:r>
          </w:p>
        </w:tc>
        <w:tc>
          <w:tcPr>
            <w:tcW w:w="2128"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边长</w:t>
            </w:r>
            <w:r>
              <w:rPr>
                <w:color w:val="auto"/>
                <w:kern w:val="0"/>
                <w:sz w:val="18"/>
                <w:szCs w:val="18"/>
                <w:highlight w:val="none"/>
              </w:rPr>
              <w:t>5~50km</w:t>
            </w:r>
            <w:r>
              <w:rPr>
                <w:rFonts w:hint="eastAsia" w:ascii="宋体" w:hAnsi="宋体" w:cs="宋体"/>
                <w:color w:val="auto"/>
                <w:kern w:val="0"/>
                <w:sz w:val="18"/>
                <w:szCs w:val="18"/>
                <w:highlight w:val="none"/>
              </w:rPr>
              <w:t>□</w:t>
            </w:r>
          </w:p>
        </w:tc>
        <w:tc>
          <w:tcPr>
            <w:tcW w:w="1833"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边长</w:t>
            </w:r>
            <w:r>
              <w:rPr>
                <w:color w:val="auto"/>
                <w:kern w:val="0"/>
                <w:sz w:val="18"/>
                <w:szCs w:val="18"/>
                <w:highlight w:val="none"/>
              </w:rPr>
              <w:t>=5km</w:t>
            </w:r>
            <w:r>
              <w:rPr>
                <w:rFonts w:hint="eastAsia" w:ascii="宋体" w:hAnsi="宋体" w:cs="宋体"/>
                <w:color w:val="auto"/>
                <w:kern w:val="0"/>
                <w:sz w:val="18"/>
                <w:szCs w:val="18"/>
                <w:highlight w:val="none"/>
              </w:rPr>
              <w:t>□</w:t>
            </w:r>
          </w:p>
        </w:tc>
      </w:tr>
      <w:tr>
        <w:tblPrEx>
          <w:tblCellMar>
            <w:top w:w="0" w:type="dxa"/>
            <w:left w:w="108" w:type="dxa"/>
            <w:bottom w:w="0" w:type="dxa"/>
            <w:right w:w="108" w:type="dxa"/>
          </w:tblCellMar>
        </w:tblPrEx>
        <w:trPr>
          <w:trHeight w:val="7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vMerge w:val="restart"/>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预测因子</w:t>
            </w:r>
          </w:p>
        </w:tc>
        <w:tc>
          <w:tcPr>
            <w:tcW w:w="3819" w:type="dxa"/>
            <w:gridSpan w:val="9"/>
            <w:vMerge w:val="restart"/>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预测因子（</w:t>
            </w:r>
            <w:r>
              <w:rPr>
                <w:rFonts w:hint="eastAsia"/>
                <w:color w:val="auto"/>
                <w:kern w:val="0"/>
                <w:sz w:val="18"/>
                <w:szCs w:val="18"/>
                <w:highlight w:val="none"/>
              </w:rPr>
              <w:t xml:space="preserve">    </w:t>
            </w:r>
            <w:r>
              <w:rPr>
                <w:rFonts w:hint="eastAsia" w:ascii="宋体" w:hAnsi="宋体" w:cs="宋体"/>
                <w:color w:val="auto"/>
                <w:kern w:val="0"/>
                <w:sz w:val="18"/>
                <w:szCs w:val="18"/>
                <w:highlight w:val="none"/>
              </w:rPr>
              <w:t>）</w:t>
            </w:r>
          </w:p>
        </w:tc>
        <w:tc>
          <w:tcPr>
            <w:tcW w:w="2665" w:type="dxa"/>
            <w:gridSpan w:val="6"/>
            <w:tcBorders>
              <w:top w:val="nil"/>
              <w:left w:val="nil"/>
              <w:bottom w:val="nil"/>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包括二次</w:t>
            </w:r>
            <w:r>
              <w:rPr>
                <w:color w:val="auto"/>
                <w:kern w:val="0"/>
                <w:sz w:val="18"/>
                <w:szCs w:val="18"/>
                <w:highlight w:val="none"/>
              </w:rPr>
              <w:t>PM</w:t>
            </w:r>
            <w:r>
              <w:rPr>
                <w:color w:val="auto"/>
                <w:kern w:val="0"/>
                <w:sz w:val="18"/>
                <w:szCs w:val="18"/>
                <w:highlight w:val="none"/>
                <w:vertAlign w:val="subscript"/>
              </w:rPr>
              <w:t>2.5</w:t>
            </w:r>
            <w:r>
              <w:rPr>
                <w:rFonts w:hint="eastAsia" w:ascii="宋体" w:hAnsi="宋体" w:cs="宋体"/>
                <w:color w:val="auto"/>
                <w:kern w:val="0"/>
                <w:sz w:val="18"/>
                <w:szCs w:val="18"/>
                <w:highlight w:val="none"/>
              </w:rPr>
              <w:t>□</w:t>
            </w:r>
          </w:p>
        </w:tc>
      </w:tr>
      <w:tr>
        <w:tblPrEx>
          <w:tblCellMar>
            <w:top w:w="0" w:type="dxa"/>
            <w:left w:w="108" w:type="dxa"/>
            <w:bottom w:w="0" w:type="dxa"/>
            <w:right w:w="108" w:type="dxa"/>
          </w:tblCellMar>
        </w:tblPrEx>
        <w:trPr>
          <w:trHeight w:val="7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3819" w:type="dxa"/>
            <w:gridSpan w:val="9"/>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2665" w:type="dxa"/>
            <w:gridSpan w:val="6"/>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不包括二次</w:t>
            </w:r>
            <w:r>
              <w:rPr>
                <w:color w:val="auto"/>
                <w:kern w:val="0"/>
                <w:sz w:val="18"/>
                <w:szCs w:val="18"/>
                <w:highlight w:val="none"/>
              </w:rPr>
              <w:t>PM</w:t>
            </w:r>
            <w:r>
              <w:rPr>
                <w:color w:val="auto"/>
                <w:kern w:val="0"/>
                <w:sz w:val="18"/>
                <w:szCs w:val="18"/>
                <w:highlight w:val="none"/>
                <w:vertAlign w:val="subscript"/>
              </w:rPr>
              <w:t>2.5</w:t>
            </w:r>
            <w:r>
              <w:rPr>
                <w:rFonts w:hint="eastAsia" w:ascii="宋体" w:hAnsi="宋体" w:cs="宋体"/>
                <w:color w:val="auto"/>
                <w:kern w:val="0"/>
                <w:sz w:val="18"/>
                <w:szCs w:val="18"/>
                <w:highlight w:val="none"/>
              </w:rPr>
              <w:t>□</w:t>
            </w:r>
          </w:p>
        </w:tc>
      </w:tr>
      <w:tr>
        <w:tblPrEx>
          <w:tblCellMar>
            <w:top w:w="0" w:type="dxa"/>
            <w:left w:w="108" w:type="dxa"/>
            <w:bottom w:w="0" w:type="dxa"/>
            <w:right w:w="108" w:type="dxa"/>
          </w:tblCellMar>
        </w:tblPrEx>
        <w:trPr>
          <w:trHeight w:val="7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正常排放短期浓度贡献值</w:t>
            </w:r>
          </w:p>
        </w:tc>
        <w:tc>
          <w:tcPr>
            <w:tcW w:w="3819" w:type="dxa"/>
            <w:gridSpan w:val="9"/>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C</w:t>
            </w:r>
            <w:r>
              <w:rPr>
                <w:rFonts w:hint="eastAsia" w:ascii="宋体" w:hAnsi="宋体"/>
                <w:color w:val="auto"/>
                <w:kern w:val="0"/>
                <w:sz w:val="18"/>
                <w:szCs w:val="18"/>
                <w:highlight w:val="none"/>
              </w:rPr>
              <w:t>本项目最大占标率≤</w:t>
            </w:r>
            <w:r>
              <w:rPr>
                <w:color w:val="auto"/>
                <w:kern w:val="0"/>
                <w:sz w:val="18"/>
                <w:szCs w:val="18"/>
                <w:highlight w:val="none"/>
              </w:rPr>
              <w:t>100%</w:t>
            </w:r>
            <w:r>
              <w:rPr>
                <w:rFonts w:hint="eastAsia" w:ascii="宋体" w:hAnsi="宋体"/>
                <w:color w:val="auto"/>
                <w:kern w:val="0"/>
                <w:sz w:val="18"/>
                <w:szCs w:val="18"/>
                <w:highlight w:val="none"/>
              </w:rPr>
              <w:t>□</w:t>
            </w:r>
          </w:p>
        </w:tc>
        <w:tc>
          <w:tcPr>
            <w:tcW w:w="2665" w:type="dxa"/>
            <w:gridSpan w:val="6"/>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C</w:t>
            </w:r>
            <w:r>
              <w:rPr>
                <w:rFonts w:hint="eastAsia" w:ascii="宋体" w:hAnsi="宋体"/>
                <w:color w:val="auto"/>
                <w:kern w:val="0"/>
                <w:sz w:val="18"/>
                <w:szCs w:val="18"/>
                <w:highlight w:val="none"/>
              </w:rPr>
              <w:t>本项目最大占标率</w:t>
            </w:r>
            <w:r>
              <w:rPr>
                <w:color w:val="auto"/>
                <w:kern w:val="0"/>
                <w:sz w:val="18"/>
                <w:szCs w:val="18"/>
                <w:highlight w:val="none"/>
              </w:rPr>
              <w:t>&gt;100%</w:t>
            </w:r>
            <w:r>
              <w:rPr>
                <w:rFonts w:hint="eastAsia" w:ascii="宋体" w:hAnsi="宋体"/>
                <w:color w:val="auto"/>
                <w:kern w:val="0"/>
                <w:sz w:val="18"/>
                <w:szCs w:val="18"/>
                <w:highlight w:val="none"/>
              </w:rPr>
              <w:t>□</w:t>
            </w:r>
          </w:p>
        </w:tc>
      </w:tr>
      <w:tr>
        <w:tblPrEx>
          <w:tblCellMar>
            <w:top w:w="0" w:type="dxa"/>
            <w:left w:w="108" w:type="dxa"/>
            <w:bottom w:w="0" w:type="dxa"/>
            <w:right w:w="108" w:type="dxa"/>
          </w:tblCellMar>
        </w:tblPrEx>
        <w:trPr>
          <w:trHeight w:val="7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vMerge w:val="restart"/>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正常排放年均浓度贡献值</w:t>
            </w:r>
          </w:p>
        </w:tc>
        <w:tc>
          <w:tcPr>
            <w:tcW w:w="923" w:type="dxa"/>
            <w:gridSpan w:val="2"/>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一类区</w:t>
            </w:r>
          </w:p>
        </w:tc>
        <w:tc>
          <w:tcPr>
            <w:tcW w:w="2896" w:type="dxa"/>
            <w:gridSpan w:val="7"/>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C</w:t>
            </w:r>
            <w:r>
              <w:rPr>
                <w:rFonts w:hint="eastAsia" w:ascii="宋体" w:hAnsi="宋体"/>
                <w:color w:val="auto"/>
                <w:kern w:val="0"/>
                <w:sz w:val="18"/>
                <w:szCs w:val="18"/>
                <w:highlight w:val="none"/>
                <w:vertAlign w:val="subscript"/>
              </w:rPr>
              <w:t>本项目</w:t>
            </w:r>
            <w:r>
              <w:rPr>
                <w:rFonts w:hint="eastAsia" w:ascii="宋体" w:hAnsi="宋体"/>
                <w:color w:val="auto"/>
                <w:kern w:val="0"/>
                <w:sz w:val="18"/>
                <w:szCs w:val="18"/>
                <w:highlight w:val="none"/>
              </w:rPr>
              <w:t>最大占标率≤</w:t>
            </w:r>
            <w:r>
              <w:rPr>
                <w:color w:val="auto"/>
                <w:kern w:val="0"/>
                <w:sz w:val="18"/>
                <w:szCs w:val="18"/>
                <w:highlight w:val="none"/>
              </w:rPr>
              <w:t>10%</w:t>
            </w:r>
            <w:r>
              <w:rPr>
                <w:rFonts w:hint="eastAsia" w:ascii="宋体" w:hAnsi="宋体"/>
                <w:color w:val="auto"/>
                <w:kern w:val="0"/>
                <w:sz w:val="18"/>
                <w:szCs w:val="18"/>
                <w:highlight w:val="none"/>
              </w:rPr>
              <w:t>□</w:t>
            </w:r>
          </w:p>
        </w:tc>
        <w:tc>
          <w:tcPr>
            <w:tcW w:w="2665" w:type="dxa"/>
            <w:gridSpan w:val="6"/>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C</w:t>
            </w:r>
            <w:r>
              <w:rPr>
                <w:rFonts w:hint="eastAsia" w:ascii="宋体" w:hAnsi="宋体"/>
                <w:color w:val="auto"/>
                <w:kern w:val="0"/>
                <w:sz w:val="18"/>
                <w:szCs w:val="18"/>
                <w:highlight w:val="none"/>
                <w:vertAlign w:val="subscript"/>
              </w:rPr>
              <w:t>本项目</w:t>
            </w:r>
            <w:r>
              <w:rPr>
                <w:rFonts w:hint="eastAsia" w:ascii="宋体" w:hAnsi="宋体"/>
                <w:color w:val="auto"/>
                <w:kern w:val="0"/>
                <w:sz w:val="18"/>
                <w:szCs w:val="18"/>
                <w:highlight w:val="none"/>
              </w:rPr>
              <w:t>最大占标率</w:t>
            </w:r>
            <w:r>
              <w:rPr>
                <w:color w:val="auto"/>
                <w:kern w:val="0"/>
                <w:sz w:val="18"/>
                <w:szCs w:val="18"/>
                <w:highlight w:val="none"/>
              </w:rPr>
              <w:t>&gt;10%</w:t>
            </w:r>
            <w:r>
              <w:rPr>
                <w:rFonts w:hint="eastAsia" w:ascii="宋体" w:hAnsi="宋体"/>
                <w:color w:val="auto"/>
                <w:kern w:val="0"/>
                <w:sz w:val="18"/>
                <w:szCs w:val="18"/>
                <w:highlight w:val="none"/>
              </w:rPr>
              <w:t>□</w:t>
            </w:r>
          </w:p>
        </w:tc>
      </w:tr>
      <w:tr>
        <w:tblPrEx>
          <w:tblCellMar>
            <w:top w:w="0" w:type="dxa"/>
            <w:left w:w="108" w:type="dxa"/>
            <w:bottom w:w="0" w:type="dxa"/>
            <w:right w:w="108" w:type="dxa"/>
          </w:tblCellMar>
        </w:tblPrEx>
        <w:trPr>
          <w:trHeight w:val="364"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923" w:type="dxa"/>
            <w:gridSpan w:val="2"/>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二类区</w:t>
            </w:r>
          </w:p>
        </w:tc>
        <w:tc>
          <w:tcPr>
            <w:tcW w:w="2896" w:type="dxa"/>
            <w:gridSpan w:val="7"/>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C</w:t>
            </w:r>
            <w:r>
              <w:rPr>
                <w:rFonts w:hint="eastAsia" w:ascii="宋体" w:hAnsi="宋体"/>
                <w:color w:val="auto"/>
                <w:kern w:val="0"/>
                <w:sz w:val="18"/>
                <w:szCs w:val="18"/>
                <w:highlight w:val="none"/>
                <w:vertAlign w:val="subscript"/>
              </w:rPr>
              <w:t>本项目</w:t>
            </w:r>
            <w:r>
              <w:rPr>
                <w:rFonts w:hint="eastAsia" w:ascii="宋体" w:hAnsi="宋体"/>
                <w:color w:val="auto"/>
                <w:kern w:val="0"/>
                <w:sz w:val="18"/>
                <w:szCs w:val="18"/>
                <w:highlight w:val="none"/>
              </w:rPr>
              <w:t>最大占标率≤</w:t>
            </w:r>
            <w:r>
              <w:rPr>
                <w:color w:val="auto"/>
                <w:kern w:val="0"/>
                <w:sz w:val="18"/>
                <w:szCs w:val="18"/>
                <w:highlight w:val="none"/>
              </w:rPr>
              <w:t>30%</w:t>
            </w:r>
            <w:r>
              <w:rPr>
                <w:rFonts w:hint="eastAsia" w:ascii="宋体" w:hAnsi="宋体"/>
                <w:color w:val="auto"/>
                <w:kern w:val="0"/>
                <w:sz w:val="18"/>
                <w:szCs w:val="18"/>
                <w:highlight w:val="none"/>
              </w:rPr>
              <w:t>□</w:t>
            </w:r>
          </w:p>
        </w:tc>
        <w:tc>
          <w:tcPr>
            <w:tcW w:w="2665" w:type="dxa"/>
            <w:gridSpan w:val="6"/>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C</w:t>
            </w:r>
            <w:r>
              <w:rPr>
                <w:rFonts w:hint="eastAsia" w:ascii="宋体" w:hAnsi="宋体"/>
                <w:color w:val="auto"/>
                <w:kern w:val="0"/>
                <w:sz w:val="18"/>
                <w:szCs w:val="18"/>
                <w:highlight w:val="none"/>
                <w:vertAlign w:val="subscript"/>
              </w:rPr>
              <w:t>本项目</w:t>
            </w:r>
            <w:r>
              <w:rPr>
                <w:rFonts w:hint="eastAsia" w:ascii="宋体" w:hAnsi="宋体"/>
                <w:color w:val="auto"/>
                <w:kern w:val="0"/>
                <w:sz w:val="18"/>
                <w:szCs w:val="18"/>
                <w:highlight w:val="none"/>
              </w:rPr>
              <w:t>最大占标率</w:t>
            </w:r>
            <w:r>
              <w:rPr>
                <w:color w:val="auto"/>
                <w:kern w:val="0"/>
                <w:sz w:val="18"/>
                <w:szCs w:val="18"/>
                <w:highlight w:val="none"/>
              </w:rPr>
              <w:t>&gt;30%</w:t>
            </w:r>
            <w:r>
              <w:rPr>
                <w:rFonts w:hint="eastAsia" w:ascii="宋体" w:hAnsi="宋体"/>
                <w:color w:val="auto"/>
                <w:kern w:val="0"/>
                <w:sz w:val="18"/>
                <w:szCs w:val="18"/>
                <w:highlight w:val="none"/>
              </w:rPr>
              <w:t>□</w:t>
            </w:r>
          </w:p>
        </w:tc>
      </w:tr>
      <w:tr>
        <w:tblPrEx>
          <w:tblCellMar>
            <w:top w:w="0" w:type="dxa"/>
            <w:left w:w="108" w:type="dxa"/>
            <w:bottom w:w="0" w:type="dxa"/>
            <w:right w:w="108" w:type="dxa"/>
          </w:tblCellMar>
        </w:tblPrEx>
        <w:trPr>
          <w:trHeight w:val="631"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single" w:color="000000" w:sz="8" w:space="0"/>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非正常</w:t>
            </w:r>
            <w:r>
              <w:rPr>
                <w:color w:val="auto"/>
                <w:kern w:val="0"/>
                <w:sz w:val="18"/>
                <w:szCs w:val="18"/>
                <w:highlight w:val="none"/>
              </w:rPr>
              <w:t>1h</w:t>
            </w:r>
            <w:r>
              <w:rPr>
                <w:rFonts w:hint="eastAsia" w:ascii="宋体" w:hAnsi="宋体" w:cs="宋体"/>
                <w:color w:val="auto"/>
                <w:kern w:val="0"/>
                <w:sz w:val="18"/>
                <w:szCs w:val="18"/>
                <w:highlight w:val="none"/>
              </w:rPr>
              <w:t>浓度贡献值</w:t>
            </w:r>
          </w:p>
        </w:tc>
        <w:tc>
          <w:tcPr>
            <w:tcW w:w="2124" w:type="dxa"/>
            <w:gridSpan w:val="6"/>
            <w:tcBorders>
              <w:top w:val="single" w:color="000000" w:sz="8" w:space="0"/>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非正常持续时长（）</w:t>
            </w:r>
            <w:r>
              <w:rPr>
                <w:color w:val="auto"/>
                <w:kern w:val="0"/>
                <w:sz w:val="18"/>
                <w:szCs w:val="18"/>
                <w:highlight w:val="none"/>
              </w:rPr>
              <w:t>h</w:t>
            </w:r>
          </w:p>
        </w:tc>
        <w:tc>
          <w:tcPr>
            <w:tcW w:w="2527" w:type="dxa"/>
            <w:gridSpan w:val="5"/>
            <w:tcBorders>
              <w:top w:val="single" w:color="000000" w:sz="8" w:space="0"/>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C</w:t>
            </w:r>
            <w:r>
              <w:rPr>
                <w:rFonts w:hint="eastAsia" w:ascii="宋体" w:hAnsi="宋体"/>
                <w:color w:val="auto"/>
                <w:kern w:val="0"/>
                <w:sz w:val="18"/>
                <w:szCs w:val="18"/>
                <w:highlight w:val="none"/>
                <w:vertAlign w:val="subscript"/>
              </w:rPr>
              <w:t>非正常</w:t>
            </w:r>
            <w:r>
              <w:rPr>
                <w:rFonts w:hint="eastAsia" w:ascii="宋体" w:hAnsi="宋体"/>
                <w:color w:val="auto"/>
                <w:kern w:val="0"/>
                <w:sz w:val="18"/>
                <w:szCs w:val="18"/>
                <w:highlight w:val="none"/>
              </w:rPr>
              <w:t>占标率≤</w:t>
            </w:r>
            <w:r>
              <w:rPr>
                <w:color w:val="auto"/>
                <w:kern w:val="0"/>
                <w:sz w:val="18"/>
                <w:szCs w:val="18"/>
                <w:highlight w:val="none"/>
              </w:rPr>
              <w:t>100%</w:t>
            </w:r>
            <w:r>
              <w:rPr>
                <w:rFonts w:hint="eastAsia" w:ascii="宋体" w:hAnsi="宋体"/>
                <w:color w:val="auto"/>
                <w:kern w:val="0"/>
                <w:sz w:val="18"/>
                <w:szCs w:val="18"/>
                <w:highlight w:val="none"/>
              </w:rPr>
              <w:t>□</w:t>
            </w:r>
          </w:p>
        </w:tc>
        <w:tc>
          <w:tcPr>
            <w:tcW w:w="1833" w:type="dxa"/>
            <w:gridSpan w:val="4"/>
            <w:tcBorders>
              <w:top w:val="single" w:color="000000" w:sz="8" w:space="0"/>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C</w:t>
            </w:r>
            <w:r>
              <w:rPr>
                <w:rFonts w:hint="eastAsia" w:ascii="宋体" w:hAnsi="宋体"/>
                <w:color w:val="auto"/>
                <w:kern w:val="0"/>
                <w:sz w:val="18"/>
                <w:szCs w:val="18"/>
                <w:highlight w:val="none"/>
                <w:vertAlign w:val="subscript"/>
              </w:rPr>
              <w:t>非正常</w:t>
            </w:r>
            <w:r>
              <w:rPr>
                <w:rFonts w:hint="eastAsia" w:ascii="宋体" w:hAnsi="宋体"/>
                <w:color w:val="auto"/>
                <w:kern w:val="0"/>
                <w:sz w:val="18"/>
                <w:szCs w:val="18"/>
                <w:highlight w:val="none"/>
              </w:rPr>
              <w:t>占标率</w:t>
            </w:r>
            <w:r>
              <w:rPr>
                <w:color w:val="auto"/>
                <w:kern w:val="0"/>
                <w:sz w:val="18"/>
                <w:szCs w:val="18"/>
                <w:highlight w:val="none"/>
              </w:rPr>
              <w:t>&gt;100%</w:t>
            </w:r>
            <w:r>
              <w:rPr>
                <w:rFonts w:hint="eastAsia" w:ascii="宋体" w:hAnsi="宋体"/>
                <w:color w:val="auto"/>
                <w:kern w:val="0"/>
                <w:sz w:val="18"/>
                <w:szCs w:val="18"/>
                <w:highlight w:val="none"/>
              </w:rPr>
              <w:t>□</w:t>
            </w:r>
          </w:p>
        </w:tc>
      </w:tr>
      <w:tr>
        <w:tblPrEx>
          <w:tblCellMar>
            <w:top w:w="0" w:type="dxa"/>
            <w:left w:w="108" w:type="dxa"/>
            <w:bottom w:w="0" w:type="dxa"/>
            <w:right w:w="108" w:type="dxa"/>
          </w:tblCellMar>
        </w:tblPrEx>
        <w:trPr>
          <w:trHeight w:val="7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single" w:color="000000" w:sz="8" w:space="0"/>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保证率日平均浓度和年平均浓度叠加值</w:t>
            </w:r>
          </w:p>
        </w:tc>
        <w:tc>
          <w:tcPr>
            <w:tcW w:w="3819" w:type="dxa"/>
            <w:gridSpan w:val="9"/>
            <w:tcBorders>
              <w:top w:val="single" w:color="000000" w:sz="8" w:space="0"/>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C</w:t>
            </w:r>
            <w:r>
              <w:rPr>
                <w:rFonts w:hint="eastAsia" w:ascii="宋体" w:hAnsi="宋体"/>
                <w:color w:val="auto"/>
                <w:kern w:val="0"/>
                <w:sz w:val="18"/>
                <w:szCs w:val="18"/>
                <w:highlight w:val="none"/>
              </w:rPr>
              <w:t>叠加达标□</w:t>
            </w:r>
          </w:p>
        </w:tc>
        <w:tc>
          <w:tcPr>
            <w:tcW w:w="2665" w:type="dxa"/>
            <w:gridSpan w:val="6"/>
            <w:tcBorders>
              <w:top w:val="single" w:color="000000" w:sz="8" w:space="0"/>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C</w:t>
            </w:r>
            <w:r>
              <w:rPr>
                <w:rFonts w:hint="eastAsia" w:ascii="宋体" w:hAnsi="宋体"/>
                <w:color w:val="auto"/>
                <w:kern w:val="0"/>
                <w:sz w:val="18"/>
                <w:szCs w:val="18"/>
                <w:highlight w:val="none"/>
              </w:rPr>
              <w:t>叠加不达标□</w:t>
            </w:r>
          </w:p>
        </w:tc>
      </w:tr>
      <w:tr>
        <w:tblPrEx>
          <w:tblCellMar>
            <w:top w:w="0" w:type="dxa"/>
            <w:left w:w="108" w:type="dxa"/>
            <w:bottom w:w="0" w:type="dxa"/>
            <w:right w:w="108" w:type="dxa"/>
          </w:tblCellMar>
        </w:tblPrEx>
        <w:trPr>
          <w:trHeight w:val="668"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区域环境质量的整体变化情况</w:t>
            </w:r>
          </w:p>
        </w:tc>
        <w:tc>
          <w:tcPr>
            <w:tcW w:w="3819" w:type="dxa"/>
            <w:gridSpan w:val="9"/>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k</w:t>
            </w:r>
            <w:r>
              <w:rPr>
                <w:rFonts w:hint="eastAsia" w:ascii="宋体" w:hAnsi="宋体"/>
                <w:color w:val="auto"/>
                <w:kern w:val="0"/>
                <w:sz w:val="18"/>
                <w:szCs w:val="18"/>
                <w:highlight w:val="none"/>
              </w:rPr>
              <w:t>≤</w:t>
            </w:r>
            <w:r>
              <w:rPr>
                <w:color w:val="auto"/>
                <w:kern w:val="0"/>
                <w:sz w:val="18"/>
                <w:szCs w:val="18"/>
                <w:highlight w:val="none"/>
              </w:rPr>
              <w:t>-20%</w:t>
            </w:r>
            <w:r>
              <w:rPr>
                <w:rFonts w:hint="eastAsia" w:ascii="宋体" w:hAnsi="宋体"/>
                <w:color w:val="auto"/>
                <w:kern w:val="0"/>
                <w:sz w:val="18"/>
                <w:szCs w:val="18"/>
                <w:highlight w:val="none"/>
              </w:rPr>
              <w:t>□</w:t>
            </w:r>
          </w:p>
        </w:tc>
        <w:tc>
          <w:tcPr>
            <w:tcW w:w="2665" w:type="dxa"/>
            <w:gridSpan w:val="6"/>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k&gt;-20%</w:t>
            </w:r>
            <w:r>
              <w:rPr>
                <w:rFonts w:hint="eastAsia" w:ascii="宋体" w:hAnsi="宋体"/>
                <w:color w:val="auto"/>
                <w:kern w:val="0"/>
                <w:sz w:val="18"/>
                <w:szCs w:val="18"/>
                <w:highlight w:val="none"/>
              </w:rPr>
              <w:t>□</w:t>
            </w:r>
          </w:p>
        </w:tc>
      </w:tr>
      <w:tr>
        <w:tblPrEx>
          <w:tblCellMar>
            <w:top w:w="0" w:type="dxa"/>
            <w:left w:w="108" w:type="dxa"/>
            <w:bottom w:w="0" w:type="dxa"/>
            <w:right w:w="108" w:type="dxa"/>
          </w:tblCellMar>
        </w:tblPrEx>
        <w:trPr>
          <w:trHeight w:val="75" w:hRule="atLeast"/>
          <w:jc w:val="center"/>
        </w:trPr>
        <w:tc>
          <w:tcPr>
            <w:tcW w:w="964" w:type="dxa"/>
            <w:vMerge w:val="restart"/>
            <w:tcBorders>
              <w:top w:val="nil"/>
              <w:left w:val="single" w:color="000000" w:sz="8" w:space="0"/>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环境监测计划</w:t>
            </w:r>
          </w:p>
        </w:tc>
        <w:tc>
          <w:tcPr>
            <w:tcW w:w="1837" w:type="dxa"/>
            <w:vMerge w:val="restart"/>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污染源监测</w:t>
            </w:r>
          </w:p>
        </w:tc>
        <w:tc>
          <w:tcPr>
            <w:tcW w:w="2523" w:type="dxa"/>
            <w:gridSpan w:val="7"/>
            <w:vMerge w:val="restart"/>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监测因子：</w:t>
            </w:r>
            <w:r>
              <w:rPr>
                <w:rFonts w:hint="eastAsia" w:hAnsi="宋体"/>
                <w:color w:val="auto"/>
                <w:kern w:val="0"/>
                <w:sz w:val="18"/>
                <w:szCs w:val="18"/>
                <w:highlight w:val="none"/>
              </w:rPr>
              <w:t>（汞及其化合物、林格曼黑度、</w:t>
            </w:r>
            <w:r>
              <w:rPr>
                <w:rFonts w:hint="eastAsia"/>
                <w:color w:val="auto"/>
                <w:kern w:val="0"/>
                <w:sz w:val="18"/>
                <w:szCs w:val="18"/>
                <w:highlight w:val="none"/>
              </w:rPr>
              <w:t>颗粒物</w:t>
            </w:r>
            <w:r>
              <w:rPr>
                <w:rFonts w:hint="eastAsia" w:hAnsi="宋体"/>
                <w:color w:val="auto"/>
                <w:kern w:val="0"/>
                <w:sz w:val="18"/>
                <w:szCs w:val="18"/>
                <w:highlight w:val="none"/>
              </w:rPr>
              <w:t>、</w:t>
            </w:r>
            <w:r>
              <w:rPr>
                <w:color w:val="auto"/>
                <w:kern w:val="0"/>
                <w:sz w:val="18"/>
                <w:szCs w:val="18"/>
                <w:highlight w:val="none"/>
              </w:rPr>
              <w:t>SO</w:t>
            </w:r>
            <w:r>
              <w:rPr>
                <w:color w:val="auto"/>
                <w:kern w:val="0"/>
                <w:sz w:val="18"/>
                <w:szCs w:val="18"/>
                <w:highlight w:val="none"/>
                <w:vertAlign w:val="subscript"/>
              </w:rPr>
              <w:t>2</w:t>
            </w:r>
            <w:r>
              <w:rPr>
                <w:rFonts w:hint="eastAsia" w:hAnsi="宋体"/>
                <w:color w:val="auto"/>
                <w:kern w:val="0"/>
                <w:sz w:val="18"/>
                <w:szCs w:val="18"/>
                <w:highlight w:val="none"/>
              </w:rPr>
              <w:t>、</w:t>
            </w:r>
            <w:r>
              <w:rPr>
                <w:color w:val="auto"/>
                <w:kern w:val="0"/>
                <w:sz w:val="18"/>
                <w:szCs w:val="18"/>
                <w:highlight w:val="none"/>
              </w:rPr>
              <w:t>NO</w:t>
            </w:r>
            <w:r>
              <w:rPr>
                <w:color w:val="auto"/>
                <w:kern w:val="0"/>
                <w:sz w:val="18"/>
                <w:szCs w:val="18"/>
                <w:highlight w:val="none"/>
                <w:vertAlign w:val="subscript"/>
              </w:rPr>
              <w:t>x</w:t>
            </w:r>
            <w:r>
              <w:rPr>
                <w:rFonts w:hint="eastAsia" w:ascii="宋体" w:hAnsi="宋体" w:cs="宋体"/>
                <w:color w:val="auto"/>
                <w:kern w:val="0"/>
                <w:sz w:val="18"/>
                <w:szCs w:val="18"/>
                <w:highlight w:val="none"/>
              </w:rPr>
              <w:t>）</w:t>
            </w:r>
          </w:p>
        </w:tc>
        <w:tc>
          <w:tcPr>
            <w:tcW w:w="2128" w:type="dxa"/>
            <w:gridSpan w:val="4"/>
            <w:tcBorders>
              <w:top w:val="nil"/>
              <w:left w:val="nil"/>
              <w:bottom w:val="nil"/>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有组织废气监测</w:t>
            </w:r>
            <w:r>
              <w:rPr>
                <w:rFonts w:hint="eastAsia" w:ascii="Wingdings 2" w:hAnsi="Wingdings 2" w:cs="宋体"/>
                <w:color w:val="auto"/>
                <w:kern w:val="0"/>
                <w:sz w:val="18"/>
                <w:szCs w:val="18"/>
                <w:highlight w:val="none"/>
              </w:rPr>
              <w:sym w:font="Wingdings" w:char="00FE"/>
            </w:r>
          </w:p>
        </w:tc>
        <w:tc>
          <w:tcPr>
            <w:tcW w:w="1833" w:type="dxa"/>
            <w:gridSpan w:val="4"/>
            <w:vMerge w:val="restart"/>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无监测□</w:t>
            </w:r>
          </w:p>
        </w:tc>
      </w:tr>
      <w:tr>
        <w:tblPrEx>
          <w:tblCellMar>
            <w:top w:w="0" w:type="dxa"/>
            <w:left w:w="108" w:type="dxa"/>
            <w:bottom w:w="0" w:type="dxa"/>
            <w:right w:w="108" w:type="dxa"/>
          </w:tblCellMar>
        </w:tblPrEx>
        <w:trPr>
          <w:trHeight w:val="7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2523" w:type="dxa"/>
            <w:gridSpan w:val="7"/>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2128"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无组织废气监测</w:t>
            </w:r>
            <w:r>
              <w:rPr>
                <w:rFonts w:hint="eastAsia" w:ascii="Wingdings 2" w:hAnsi="Wingdings 2" w:cs="宋体"/>
                <w:color w:val="auto"/>
                <w:kern w:val="0"/>
                <w:sz w:val="18"/>
                <w:szCs w:val="18"/>
                <w:highlight w:val="none"/>
              </w:rPr>
              <w:sym w:font="Wingdings" w:char="00FE"/>
            </w:r>
          </w:p>
        </w:tc>
        <w:tc>
          <w:tcPr>
            <w:tcW w:w="1833" w:type="dxa"/>
            <w:gridSpan w:val="4"/>
            <w:vMerge w:val="continue"/>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r>
      <w:tr>
        <w:tblPrEx>
          <w:tblCellMar>
            <w:top w:w="0" w:type="dxa"/>
            <w:left w:w="108" w:type="dxa"/>
            <w:bottom w:w="0" w:type="dxa"/>
            <w:right w:w="108" w:type="dxa"/>
          </w:tblCellMar>
        </w:tblPrEx>
        <w:trPr>
          <w:trHeight w:val="7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环境质量监测</w:t>
            </w:r>
          </w:p>
        </w:tc>
        <w:tc>
          <w:tcPr>
            <w:tcW w:w="2523" w:type="dxa"/>
            <w:gridSpan w:val="7"/>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监测因子：（）</w:t>
            </w:r>
          </w:p>
        </w:tc>
        <w:tc>
          <w:tcPr>
            <w:tcW w:w="2128"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监测点位数（）</w:t>
            </w:r>
          </w:p>
        </w:tc>
        <w:tc>
          <w:tcPr>
            <w:tcW w:w="1833" w:type="dxa"/>
            <w:gridSpan w:val="4"/>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无监测</w:t>
            </w:r>
            <w:r>
              <w:rPr>
                <w:rFonts w:hint="eastAsia" w:ascii="Wingdings 2" w:hAnsi="Wingdings 2" w:cs="宋体"/>
                <w:color w:val="auto"/>
                <w:kern w:val="0"/>
                <w:sz w:val="18"/>
                <w:szCs w:val="18"/>
                <w:highlight w:val="none"/>
              </w:rPr>
              <w:sym w:font="Wingdings" w:char="00FE"/>
            </w:r>
          </w:p>
        </w:tc>
      </w:tr>
      <w:tr>
        <w:tblPrEx>
          <w:tblCellMar>
            <w:top w:w="0" w:type="dxa"/>
            <w:left w:w="108" w:type="dxa"/>
            <w:bottom w:w="0" w:type="dxa"/>
            <w:right w:w="108" w:type="dxa"/>
          </w:tblCellMar>
        </w:tblPrEx>
        <w:trPr>
          <w:trHeight w:val="319" w:hRule="atLeast"/>
          <w:jc w:val="center"/>
        </w:trPr>
        <w:tc>
          <w:tcPr>
            <w:tcW w:w="964" w:type="dxa"/>
            <w:vMerge w:val="restart"/>
            <w:tcBorders>
              <w:top w:val="nil"/>
              <w:left w:val="single" w:color="000000" w:sz="8" w:space="0"/>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评价结论</w:t>
            </w: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环境影响</w:t>
            </w:r>
          </w:p>
        </w:tc>
        <w:tc>
          <w:tcPr>
            <w:tcW w:w="6484" w:type="dxa"/>
            <w:gridSpan w:val="15"/>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可以接受</w:t>
            </w:r>
            <w:r>
              <w:rPr>
                <w:rFonts w:hint="eastAsia" w:ascii="Wingdings 2" w:hAnsi="Wingdings 2" w:cs="宋体"/>
                <w:color w:val="auto"/>
                <w:kern w:val="0"/>
                <w:sz w:val="18"/>
                <w:szCs w:val="18"/>
                <w:highlight w:val="none"/>
              </w:rPr>
              <w:sym w:font="Wingdings" w:char="00FE"/>
            </w:r>
            <w:r>
              <w:rPr>
                <w:rFonts w:hint="eastAsia" w:ascii="宋体" w:hAnsi="宋体" w:cs="宋体"/>
                <w:color w:val="auto"/>
                <w:kern w:val="0"/>
                <w:sz w:val="18"/>
                <w:szCs w:val="18"/>
                <w:highlight w:val="none"/>
              </w:rPr>
              <w:t>不可以接受□</w:t>
            </w:r>
          </w:p>
        </w:tc>
      </w:tr>
      <w:tr>
        <w:tblPrEx>
          <w:tblCellMar>
            <w:top w:w="0" w:type="dxa"/>
            <w:left w:w="108" w:type="dxa"/>
            <w:bottom w:w="0" w:type="dxa"/>
            <w:right w:w="108" w:type="dxa"/>
          </w:tblCellMar>
        </w:tblPrEx>
        <w:trPr>
          <w:trHeight w:val="7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大气环境防护距离</w:t>
            </w:r>
          </w:p>
        </w:tc>
        <w:tc>
          <w:tcPr>
            <w:tcW w:w="6484" w:type="dxa"/>
            <w:gridSpan w:val="15"/>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距（</w:t>
            </w:r>
            <w:r>
              <w:rPr>
                <w:color w:val="auto"/>
                <w:kern w:val="0"/>
                <w:sz w:val="18"/>
                <w:szCs w:val="18"/>
                <w:highlight w:val="none"/>
              </w:rPr>
              <w:t xml:space="preserve">    )</w:t>
            </w:r>
            <w:r>
              <w:rPr>
                <w:rFonts w:hint="eastAsia" w:ascii="宋体" w:hAnsi="宋体" w:cs="宋体"/>
                <w:color w:val="auto"/>
                <w:kern w:val="0"/>
                <w:sz w:val="18"/>
                <w:szCs w:val="18"/>
                <w:highlight w:val="none"/>
              </w:rPr>
              <w:t>厂界最远（）</w:t>
            </w:r>
            <w:r>
              <w:rPr>
                <w:color w:val="auto"/>
                <w:kern w:val="0"/>
                <w:sz w:val="18"/>
                <w:szCs w:val="18"/>
                <w:highlight w:val="none"/>
              </w:rPr>
              <w:t>m</w:t>
            </w:r>
          </w:p>
        </w:tc>
      </w:tr>
      <w:tr>
        <w:tblPrEx>
          <w:tblCellMar>
            <w:top w:w="0" w:type="dxa"/>
            <w:left w:w="108" w:type="dxa"/>
            <w:bottom w:w="0" w:type="dxa"/>
            <w:right w:w="108" w:type="dxa"/>
          </w:tblCellMar>
        </w:tblPrEx>
        <w:trPr>
          <w:trHeight w:val="455" w:hRule="atLeast"/>
          <w:jc w:val="center"/>
        </w:trPr>
        <w:tc>
          <w:tcPr>
            <w:tcW w:w="964" w:type="dxa"/>
            <w:vMerge w:val="continue"/>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p>
        </w:tc>
        <w:tc>
          <w:tcPr>
            <w:tcW w:w="1837" w:type="dxa"/>
            <w:tcBorders>
              <w:top w:val="nil"/>
              <w:left w:val="nil"/>
              <w:bottom w:val="single" w:color="000000" w:sz="8" w:space="0"/>
              <w:right w:val="single" w:color="000000" w:sz="8" w:space="0"/>
            </w:tcBorders>
            <w:vAlign w:val="center"/>
          </w:tcPr>
          <w:p>
            <w:pPr>
              <w:widowControl/>
              <w:jc w:val="center"/>
              <w:rPr>
                <w:rFonts w:ascii="宋体" w:hAnsi="宋体" w:cs="宋体"/>
                <w:color w:val="auto"/>
                <w:kern w:val="0"/>
                <w:sz w:val="18"/>
                <w:szCs w:val="18"/>
                <w:highlight w:val="none"/>
              </w:rPr>
            </w:pPr>
            <w:r>
              <w:rPr>
                <w:rFonts w:hint="eastAsia" w:ascii="宋体" w:hAnsi="宋体" w:cs="宋体"/>
                <w:color w:val="auto"/>
                <w:kern w:val="0"/>
                <w:sz w:val="18"/>
                <w:szCs w:val="18"/>
                <w:highlight w:val="none"/>
              </w:rPr>
              <w:t>污染源年排放量</w:t>
            </w:r>
          </w:p>
        </w:tc>
        <w:tc>
          <w:tcPr>
            <w:tcW w:w="1730" w:type="dxa"/>
            <w:gridSpan w:val="5"/>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SO</w:t>
            </w:r>
            <w:r>
              <w:rPr>
                <w:color w:val="auto"/>
                <w:kern w:val="0"/>
                <w:sz w:val="18"/>
                <w:szCs w:val="18"/>
                <w:highlight w:val="none"/>
                <w:vertAlign w:val="subscript"/>
              </w:rPr>
              <w:t>2</w:t>
            </w:r>
            <w:r>
              <w:rPr>
                <w:color w:val="auto"/>
                <w:kern w:val="0"/>
                <w:sz w:val="18"/>
                <w:szCs w:val="18"/>
                <w:highlight w:val="none"/>
              </w:rPr>
              <w:t>:(</w:t>
            </w:r>
            <w:r>
              <w:rPr>
                <w:rFonts w:hint="eastAsia"/>
                <w:color w:val="auto"/>
                <w:kern w:val="0"/>
                <w:sz w:val="18"/>
                <w:szCs w:val="18"/>
                <w:highlight w:val="none"/>
                <w:lang w:val="en-US" w:eastAsia="zh-CN"/>
              </w:rPr>
              <w:t>9.874</w:t>
            </w:r>
            <w:r>
              <w:rPr>
                <w:color w:val="auto"/>
                <w:kern w:val="0"/>
                <w:sz w:val="18"/>
                <w:szCs w:val="18"/>
                <w:highlight w:val="none"/>
              </w:rPr>
              <w:t xml:space="preserve"> )t/a</w:t>
            </w:r>
          </w:p>
        </w:tc>
        <w:tc>
          <w:tcPr>
            <w:tcW w:w="1504" w:type="dxa"/>
            <w:gridSpan w:val="3"/>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NOx:(</w:t>
            </w:r>
            <w:r>
              <w:rPr>
                <w:rFonts w:hint="eastAsia"/>
                <w:color w:val="auto"/>
                <w:kern w:val="0"/>
                <w:sz w:val="18"/>
                <w:szCs w:val="18"/>
                <w:highlight w:val="none"/>
                <w:lang w:val="en-US" w:eastAsia="zh-CN"/>
              </w:rPr>
              <w:t>11.07</w:t>
            </w:r>
            <w:r>
              <w:rPr>
                <w:color w:val="auto"/>
                <w:kern w:val="0"/>
                <w:sz w:val="18"/>
                <w:szCs w:val="18"/>
                <w:highlight w:val="none"/>
              </w:rPr>
              <w:t>)t/a</w:t>
            </w:r>
          </w:p>
        </w:tc>
        <w:tc>
          <w:tcPr>
            <w:tcW w:w="1699" w:type="dxa"/>
            <w:gridSpan w:val="4"/>
            <w:tcBorders>
              <w:top w:val="nil"/>
              <w:left w:val="nil"/>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颗粒物</w:t>
            </w:r>
            <w:r>
              <w:rPr>
                <w:color w:val="auto"/>
                <w:kern w:val="0"/>
                <w:sz w:val="18"/>
                <w:szCs w:val="18"/>
                <w:highlight w:val="none"/>
              </w:rPr>
              <w:t>:(</w:t>
            </w:r>
            <w:r>
              <w:rPr>
                <w:rFonts w:hint="eastAsia"/>
                <w:color w:val="auto"/>
                <w:kern w:val="0"/>
                <w:sz w:val="18"/>
                <w:szCs w:val="18"/>
                <w:highlight w:val="none"/>
                <w:lang w:val="en-US" w:eastAsia="zh-CN"/>
              </w:rPr>
              <w:t>1.457</w:t>
            </w:r>
            <w:r>
              <w:rPr>
                <w:color w:val="auto"/>
                <w:kern w:val="0"/>
                <w:sz w:val="18"/>
                <w:szCs w:val="18"/>
                <w:highlight w:val="none"/>
              </w:rPr>
              <w:t>)t/a</w:t>
            </w:r>
          </w:p>
        </w:tc>
        <w:tc>
          <w:tcPr>
            <w:tcW w:w="1551" w:type="dxa"/>
            <w:gridSpan w:val="3"/>
            <w:tcBorders>
              <w:top w:val="nil"/>
              <w:left w:val="nil"/>
              <w:bottom w:val="single" w:color="000000" w:sz="8" w:space="0"/>
              <w:right w:val="single" w:color="000000" w:sz="8" w:space="0"/>
            </w:tcBorders>
            <w:vAlign w:val="center"/>
          </w:tcPr>
          <w:p>
            <w:pPr>
              <w:widowControl/>
              <w:jc w:val="center"/>
              <w:rPr>
                <w:color w:val="auto"/>
                <w:kern w:val="0"/>
                <w:sz w:val="18"/>
                <w:szCs w:val="18"/>
                <w:highlight w:val="none"/>
              </w:rPr>
            </w:pPr>
            <w:r>
              <w:rPr>
                <w:color w:val="auto"/>
                <w:kern w:val="0"/>
                <w:sz w:val="18"/>
                <w:szCs w:val="18"/>
                <w:highlight w:val="none"/>
              </w:rPr>
              <w:t>VOCs:(0)t/a</w:t>
            </w:r>
          </w:p>
        </w:tc>
      </w:tr>
      <w:tr>
        <w:tblPrEx>
          <w:tblCellMar>
            <w:top w:w="0" w:type="dxa"/>
            <w:left w:w="108" w:type="dxa"/>
            <w:bottom w:w="0" w:type="dxa"/>
            <w:right w:w="108" w:type="dxa"/>
          </w:tblCellMar>
        </w:tblPrEx>
        <w:trPr>
          <w:trHeight w:val="43" w:hRule="atLeast"/>
          <w:jc w:val="center"/>
        </w:trPr>
        <w:tc>
          <w:tcPr>
            <w:tcW w:w="9285" w:type="dxa"/>
            <w:gridSpan w:val="17"/>
            <w:tcBorders>
              <w:top w:val="nil"/>
              <w:left w:val="single" w:color="000000" w:sz="8" w:space="0"/>
              <w:bottom w:val="single" w:color="000000" w:sz="8" w:space="0"/>
              <w:right w:val="single" w:color="000000" w:sz="8" w:space="0"/>
            </w:tcBorders>
            <w:vAlign w:val="center"/>
          </w:tcPr>
          <w:p>
            <w:pPr>
              <w:widowControl/>
              <w:jc w:val="left"/>
              <w:rPr>
                <w:rFonts w:ascii="宋体" w:hAnsi="宋体" w:cs="宋体"/>
                <w:color w:val="auto"/>
                <w:kern w:val="0"/>
                <w:sz w:val="18"/>
                <w:szCs w:val="18"/>
                <w:highlight w:val="none"/>
              </w:rPr>
            </w:pPr>
            <w:r>
              <w:rPr>
                <w:rFonts w:hint="eastAsia" w:ascii="宋体" w:hAnsi="宋体" w:cs="宋体"/>
                <w:color w:val="auto"/>
                <w:kern w:val="0"/>
                <w:sz w:val="18"/>
                <w:szCs w:val="18"/>
                <w:highlight w:val="none"/>
              </w:rPr>
              <w:t>注：</w:t>
            </w:r>
            <w:r>
              <w:rPr>
                <w:color w:val="auto"/>
                <w:kern w:val="0"/>
                <w:sz w:val="18"/>
                <w:szCs w:val="18"/>
                <w:highlight w:val="none"/>
              </w:rPr>
              <w:t>“</w:t>
            </w:r>
            <w:r>
              <w:rPr>
                <w:rFonts w:hint="eastAsia" w:ascii="宋体" w:hAnsi="宋体" w:cs="宋体"/>
                <w:color w:val="auto"/>
                <w:kern w:val="0"/>
                <w:sz w:val="18"/>
                <w:szCs w:val="18"/>
                <w:highlight w:val="none"/>
              </w:rPr>
              <w:t>□</w:t>
            </w:r>
            <w:r>
              <w:rPr>
                <w:color w:val="auto"/>
                <w:kern w:val="0"/>
                <w:sz w:val="18"/>
                <w:szCs w:val="18"/>
                <w:highlight w:val="none"/>
              </w:rPr>
              <w:t>”</w:t>
            </w:r>
            <w:r>
              <w:rPr>
                <w:rFonts w:hint="eastAsia" w:ascii="宋体" w:hAnsi="宋体" w:cs="宋体"/>
                <w:color w:val="auto"/>
                <w:kern w:val="0"/>
                <w:sz w:val="18"/>
                <w:szCs w:val="18"/>
                <w:highlight w:val="none"/>
              </w:rPr>
              <w:t>，填</w:t>
            </w:r>
            <w:r>
              <w:rPr>
                <w:color w:val="auto"/>
                <w:kern w:val="0"/>
                <w:sz w:val="18"/>
                <w:szCs w:val="18"/>
                <w:highlight w:val="none"/>
              </w:rPr>
              <w:t>“</w:t>
            </w:r>
            <w:r>
              <w:rPr>
                <w:rFonts w:hint="eastAsia" w:ascii="宋体" w:hAnsi="宋体" w:cs="宋体"/>
                <w:color w:val="auto"/>
                <w:kern w:val="0"/>
                <w:sz w:val="18"/>
                <w:szCs w:val="18"/>
                <w:highlight w:val="none"/>
              </w:rPr>
              <w:t>√</w:t>
            </w:r>
            <w:r>
              <w:rPr>
                <w:color w:val="auto"/>
                <w:kern w:val="0"/>
                <w:sz w:val="18"/>
                <w:szCs w:val="18"/>
                <w:highlight w:val="none"/>
              </w:rPr>
              <w:t>”</w:t>
            </w:r>
            <w:r>
              <w:rPr>
                <w:rFonts w:hint="eastAsia" w:ascii="宋体" w:hAnsi="宋体" w:cs="宋体"/>
                <w:color w:val="auto"/>
                <w:kern w:val="0"/>
                <w:sz w:val="18"/>
                <w:szCs w:val="18"/>
                <w:highlight w:val="none"/>
              </w:rPr>
              <w:t>；</w:t>
            </w:r>
            <w:r>
              <w:rPr>
                <w:color w:val="auto"/>
                <w:kern w:val="0"/>
                <w:sz w:val="18"/>
                <w:szCs w:val="18"/>
                <w:highlight w:val="none"/>
              </w:rPr>
              <w:t>“</w:t>
            </w:r>
            <w:r>
              <w:rPr>
                <w:rFonts w:hint="eastAsia" w:ascii="宋体" w:hAnsi="宋体" w:cs="宋体"/>
                <w:color w:val="auto"/>
                <w:kern w:val="0"/>
                <w:sz w:val="18"/>
                <w:szCs w:val="18"/>
                <w:highlight w:val="none"/>
              </w:rPr>
              <w:t>（）</w:t>
            </w:r>
            <w:r>
              <w:rPr>
                <w:color w:val="auto"/>
                <w:kern w:val="0"/>
                <w:sz w:val="18"/>
                <w:szCs w:val="18"/>
                <w:highlight w:val="none"/>
              </w:rPr>
              <w:t>”</w:t>
            </w:r>
            <w:r>
              <w:rPr>
                <w:rFonts w:hint="eastAsia" w:ascii="宋体" w:hAnsi="宋体" w:cs="宋体"/>
                <w:color w:val="auto"/>
                <w:kern w:val="0"/>
                <w:sz w:val="18"/>
                <w:szCs w:val="18"/>
                <w:highlight w:val="none"/>
              </w:rPr>
              <w:t>为内容填写项</w:t>
            </w:r>
          </w:p>
        </w:tc>
      </w:tr>
    </w:tbl>
    <w:p>
      <w:pPr>
        <w:pStyle w:val="2"/>
        <w:spacing w:before="0" w:after="0" w:line="240" w:lineRule="auto"/>
        <w:rPr>
          <w:color w:val="auto"/>
          <w:sz w:val="28"/>
          <w:szCs w:val="28"/>
          <w:highlight w:val="none"/>
        </w:rPr>
      </w:pPr>
      <w:bookmarkStart w:id="67" w:name="_Toc2205"/>
      <w:r>
        <w:rPr>
          <w:rFonts w:hint="eastAsia"/>
          <w:color w:val="auto"/>
          <w:sz w:val="28"/>
          <w:szCs w:val="28"/>
          <w:highlight w:val="none"/>
        </w:rPr>
        <w:t>附件</w:t>
      </w:r>
      <w:r>
        <w:rPr>
          <w:rFonts w:hint="eastAsia"/>
          <w:color w:val="auto"/>
          <w:sz w:val="28"/>
          <w:szCs w:val="28"/>
          <w:highlight w:val="none"/>
          <w:lang w:val="en-US" w:eastAsia="zh-CN"/>
        </w:rPr>
        <w:t>5</w:t>
      </w:r>
      <w:r>
        <w:rPr>
          <w:rFonts w:hint="eastAsia"/>
          <w:color w:val="auto"/>
          <w:sz w:val="28"/>
          <w:szCs w:val="28"/>
          <w:highlight w:val="none"/>
        </w:rPr>
        <w:t>发改委备案确认书</w:t>
      </w:r>
      <w:bookmarkEnd w:id="67"/>
    </w:p>
    <w:p>
      <w:pPr>
        <w:pStyle w:val="46"/>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483225" cy="7950200"/>
            <wp:effectExtent l="0" t="0" r="3175" b="12700"/>
            <wp:docPr id="41" name="图片 41" descr="微信图片_2019121811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_20191218111017"/>
                    <pic:cNvPicPr>
                      <a:picLocks noChangeAspect="1"/>
                    </pic:cNvPicPr>
                  </pic:nvPicPr>
                  <pic:blipFill>
                    <a:blip r:embed="rId39"/>
                    <a:srcRect l="8797" t="21550" r="9184" b="21213"/>
                    <a:stretch>
                      <a:fillRect/>
                    </a:stretch>
                  </pic:blipFill>
                  <pic:spPr>
                    <a:xfrm>
                      <a:off x="0" y="0"/>
                      <a:ext cx="5483225" cy="7950200"/>
                    </a:xfrm>
                    <a:prstGeom prst="rect">
                      <a:avLst/>
                    </a:prstGeom>
                  </pic:spPr>
                </pic:pic>
              </a:graphicData>
            </a:graphic>
          </wp:inline>
        </w:drawing>
      </w:r>
    </w:p>
    <w:p>
      <w:pPr>
        <w:pStyle w:val="46"/>
        <w:jc w:val="both"/>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895975" cy="8161020"/>
            <wp:effectExtent l="0" t="0" r="9525" b="11430"/>
            <wp:docPr id="40" name="图片 40" descr="微信图片_201912181110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微信图片_201912181110171"/>
                    <pic:cNvPicPr>
                      <a:picLocks noChangeAspect="1"/>
                    </pic:cNvPicPr>
                  </pic:nvPicPr>
                  <pic:blipFill>
                    <a:blip r:embed="rId40"/>
                    <a:srcRect l="4279" t="21428" r="9691" b="21263"/>
                    <a:stretch>
                      <a:fillRect/>
                    </a:stretch>
                  </pic:blipFill>
                  <pic:spPr>
                    <a:xfrm>
                      <a:off x="0" y="0"/>
                      <a:ext cx="5895975" cy="8161020"/>
                    </a:xfrm>
                    <a:prstGeom prst="rect">
                      <a:avLst/>
                    </a:prstGeom>
                  </pic:spPr>
                </pic:pic>
              </a:graphicData>
            </a:graphic>
          </wp:inline>
        </w:drawing>
      </w:r>
    </w:p>
    <w:p>
      <w:pPr>
        <w:pStyle w:val="46"/>
        <w:jc w:val="both"/>
        <w:rPr>
          <w:rFonts w:hint="eastAsia" w:eastAsia="宋体"/>
          <w:color w:val="auto"/>
          <w:highlight w:val="none"/>
          <w:lang w:eastAsia="zh-CN"/>
        </w:rPr>
      </w:pPr>
      <w:r>
        <w:rPr>
          <w:rFonts w:hint="eastAsia" w:eastAsia="宋体"/>
          <w:color w:val="auto"/>
          <w:highlight w:val="none"/>
          <w:lang w:eastAsia="zh-CN"/>
        </w:rPr>
        <w:drawing>
          <wp:inline distT="0" distB="0" distL="114300" distR="114300">
            <wp:extent cx="5647055" cy="7914640"/>
            <wp:effectExtent l="0" t="0" r="10795" b="10160"/>
            <wp:docPr id="39" name="图片 39" descr="微信图片_201912181110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微信图片_201912181110172"/>
                    <pic:cNvPicPr>
                      <a:picLocks noChangeAspect="1"/>
                    </pic:cNvPicPr>
                  </pic:nvPicPr>
                  <pic:blipFill>
                    <a:blip r:embed="rId41"/>
                    <a:srcRect l="9498" t="22827" r="8946" b="22167"/>
                    <a:stretch>
                      <a:fillRect/>
                    </a:stretch>
                  </pic:blipFill>
                  <pic:spPr>
                    <a:xfrm>
                      <a:off x="0" y="0"/>
                      <a:ext cx="5647055" cy="7914640"/>
                    </a:xfrm>
                    <a:prstGeom prst="rect">
                      <a:avLst/>
                    </a:prstGeom>
                  </pic:spPr>
                </pic:pic>
              </a:graphicData>
            </a:graphic>
          </wp:inline>
        </w:drawing>
      </w:r>
    </w:p>
    <w:p>
      <w:pPr>
        <w:rPr>
          <w:color w:val="auto"/>
          <w:sz w:val="30"/>
          <w:szCs w:val="30"/>
          <w:highlight w:val="none"/>
        </w:rPr>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pPr>
    </w:p>
    <w:p>
      <w:pPr>
        <w:pStyle w:val="2"/>
        <w:spacing w:before="0" w:after="0" w:line="240" w:lineRule="auto"/>
        <w:rPr>
          <w:color w:val="auto"/>
          <w:sz w:val="28"/>
          <w:szCs w:val="28"/>
          <w:highlight w:val="none"/>
        </w:rPr>
      </w:pPr>
      <w:bookmarkStart w:id="68" w:name="_Toc30708"/>
      <w:r>
        <w:rPr>
          <w:rFonts w:hint="eastAsia"/>
          <w:color w:val="auto"/>
          <w:sz w:val="28"/>
          <w:szCs w:val="28"/>
          <w:highlight w:val="none"/>
        </w:rPr>
        <w:t>附件</w:t>
      </w:r>
      <w:r>
        <w:rPr>
          <w:rFonts w:hint="eastAsia"/>
          <w:color w:val="auto"/>
          <w:sz w:val="28"/>
          <w:szCs w:val="28"/>
          <w:highlight w:val="none"/>
          <w:lang w:val="en-US" w:eastAsia="zh-CN"/>
        </w:rPr>
        <w:t>6监测报告</w:t>
      </w:r>
      <w:bookmarkEnd w:id="68"/>
    </w:p>
    <w:p>
      <w:pPr>
        <w:pStyle w:val="35"/>
        <w:rPr>
          <w:rFonts w:hint="default" w:eastAsia="宋体"/>
          <w:color w:val="auto"/>
          <w:highlight w:val="none"/>
          <w:lang w:val="en-US" w:eastAsia="zh-CN"/>
        </w:rPr>
      </w:pPr>
      <w:r>
        <w:rPr>
          <w:rFonts w:hint="default" w:eastAsia="宋体"/>
          <w:color w:val="auto"/>
          <w:highlight w:val="none"/>
          <w:lang w:val="en-US" w:eastAsia="zh-CN"/>
        </w:rPr>
        <w:drawing>
          <wp:inline distT="0" distB="0" distL="114300" distR="114300">
            <wp:extent cx="5268595" cy="7452360"/>
            <wp:effectExtent l="0" t="0" r="8255" b="15240"/>
            <wp:docPr id="37" name="图片 37"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1"/>
                    <pic:cNvPicPr>
                      <a:picLocks noChangeAspect="1"/>
                    </pic:cNvPicPr>
                  </pic:nvPicPr>
                  <pic:blipFill>
                    <a:blip r:embed="rId42"/>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36" name="图片 3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2"/>
                    <pic:cNvPicPr>
                      <a:picLocks noChangeAspect="1"/>
                    </pic:cNvPicPr>
                  </pic:nvPicPr>
                  <pic:blipFill>
                    <a:blip r:embed="rId43"/>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20" name="图片 20" descr="b1b869785e2ac4e76d6df9b33f0cd2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b1b869785e2ac4e76d6df9b33f0cd2a"/>
                    <pic:cNvPicPr>
                      <a:picLocks noChangeAspect="1"/>
                    </pic:cNvPicPr>
                  </pic:nvPicPr>
                  <pic:blipFill>
                    <a:blip r:embed="rId44"/>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33" name="图片 3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4"/>
                    <pic:cNvPicPr>
                      <a:picLocks noChangeAspect="1"/>
                    </pic:cNvPicPr>
                  </pic:nvPicPr>
                  <pic:blipFill>
                    <a:blip r:embed="rId45"/>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32" name="图片 32"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5"/>
                    <pic:cNvPicPr>
                      <a:picLocks noChangeAspect="1"/>
                    </pic:cNvPicPr>
                  </pic:nvPicPr>
                  <pic:blipFill>
                    <a:blip r:embed="rId46"/>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31" name="图片 3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6"/>
                    <pic:cNvPicPr>
                      <a:picLocks noChangeAspect="1"/>
                    </pic:cNvPicPr>
                  </pic:nvPicPr>
                  <pic:blipFill>
                    <a:blip r:embed="rId47"/>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30" name="图片 30"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7"/>
                    <pic:cNvPicPr>
                      <a:picLocks noChangeAspect="1"/>
                    </pic:cNvPicPr>
                  </pic:nvPicPr>
                  <pic:blipFill>
                    <a:blip r:embed="rId48"/>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29" name="图片 29"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8"/>
                    <pic:cNvPicPr>
                      <a:picLocks noChangeAspect="1"/>
                    </pic:cNvPicPr>
                  </pic:nvPicPr>
                  <pic:blipFill>
                    <a:blip r:embed="rId49"/>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28" name="图片 28"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9"/>
                    <pic:cNvPicPr>
                      <a:picLocks noChangeAspect="1"/>
                    </pic:cNvPicPr>
                  </pic:nvPicPr>
                  <pic:blipFill>
                    <a:blip r:embed="rId50"/>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27" name="图片 27"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10"/>
                    <pic:cNvPicPr>
                      <a:picLocks noChangeAspect="1"/>
                    </pic:cNvPicPr>
                  </pic:nvPicPr>
                  <pic:blipFill>
                    <a:blip r:embed="rId51"/>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26" name="图片 2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11"/>
                    <pic:cNvPicPr>
                      <a:picLocks noChangeAspect="1"/>
                    </pic:cNvPicPr>
                  </pic:nvPicPr>
                  <pic:blipFill>
                    <a:blip r:embed="rId52"/>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25" name="图片 25"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12"/>
                    <pic:cNvPicPr>
                      <a:picLocks noChangeAspect="1"/>
                    </pic:cNvPicPr>
                  </pic:nvPicPr>
                  <pic:blipFill>
                    <a:blip r:embed="rId53"/>
                    <a:stretch>
                      <a:fillRect/>
                    </a:stretch>
                  </pic:blipFill>
                  <pic:spPr>
                    <a:xfrm>
                      <a:off x="0" y="0"/>
                      <a:ext cx="5268595" cy="7452360"/>
                    </a:xfrm>
                    <a:prstGeom prst="rect">
                      <a:avLst/>
                    </a:prstGeom>
                  </pic:spPr>
                </pic:pic>
              </a:graphicData>
            </a:graphic>
          </wp:inline>
        </w:drawing>
      </w:r>
      <w:r>
        <w:rPr>
          <w:rFonts w:hint="default" w:eastAsia="宋体"/>
          <w:color w:val="auto"/>
          <w:highlight w:val="none"/>
          <w:lang w:val="en-US" w:eastAsia="zh-CN"/>
        </w:rPr>
        <w:drawing>
          <wp:inline distT="0" distB="0" distL="114300" distR="114300">
            <wp:extent cx="5268595" cy="7452360"/>
            <wp:effectExtent l="0" t="0" r="8255" b="15240"/>
            <wp:docPr id="24" name="图片 24"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13"/>
                    <pic:cNvPicPr>
                      <a:picLocks noChangeAspect="1"/>
                    </pic:cNvPicPr>
                  </pic:nvPicPr>
                  <pic:blipFill>
                    <a:blip r:embed="rId54"/>
                    <a:stretch>
                      <a:fillRect/>
                    </a:stretch>
                  </pic:blipFill>
                  <pic:spPr>
                    <a:xfrm>
                      <a:off x="0" y="0"/>
                      <a:ext cx="5268595" cy="7452360"/>
                    </a:xfrm>
                    <a:prstGeom prst="rect">
                      <a:avLst/>
                    </a:prstGeom>
                  </pic:spPr>
                </pic:pic>
              </a:graphicData>
            </a:graphic>
          </wp:inline>
        </w:drawing>
      </w:r>
    </w:p>
    <w:sectPr>
      <w:pgSz w:w="11906" w:h="16838"/>
      <w:pgMar w:top="1440" w:right="1800" w:bottom="1440" w:left="1800" w:header="851" w:footer="992" w:gutter="0"/>
      <w:pgBorders>
        <w:top w:val="none" w:sz="0" w:space="0"/>
        <w:left w:val="none" w:sz="0" w:space="0"/>
        <w:bottom w:val="none" w:sz="0" w:space="0"/>
        <w:right w:val="none" w:sz="0" w:space="0"/>
      </w:pgBorders>
      <w:pgNumType w:fmt="decimal"/>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swiss"/>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Verdana">
    <w:panose1 w:val="020B0604030504040204"/>
    <w:charset w:val="00"/>
    <w:family w:val="swiss"/>
    <w:pitch w:val="default"/>
    <w:sig w:usb0="A10006FF" w:usb1="4000205B" w:usb2="00000010" w:usb3="00000000" w:csb0="2000019F" w:csb1="00000000"/>
  </w:font>
  <w:font w:name="Arial Unicode MS">
    <w:panose1 w:val="020B0604020202020204"/>
    <w:charset w:val="86"/>
    <w:family w:val="swiss"/>
    <w:pitch w:val="default"/>
    <w:sig w:usb0="FFFFFFFF" w:usb1="E9FFFFFF" w:usb2="0000003F" w:usb3="00000000" w:csb0="603F01FF" w:csb1="FFFF0000"/>
  </w:font>
  <w:font w:name="Tahoma">
    <w:panose1 w:val="020B0604030504040204"/>
    <w:charset w:val="00"/>
    <w:family w:val="swiss"/>
    <w:pitch w:val="default"/>
    <w:sig w:usb0="E1002EFF" w:usb1="C000605B" w:usb2="00000029" w:usb3="00000000" w:csb0="200101FF" w:csb1="20280000"/>
  </w:font>
  <w:font w:name="仿宋_GB2312">
    <w:altName w:val="仿宋"/>
    <w:panose1 w:val="02010609030101010101"/>
    <w:charset w:val="86"/>
    <w:family w:val="modern"/>
    <w:pitch w:val="default"/>
    <w:sig w:usb0="00000000" w:usb1="00000000" w:usb2="00000000" w:usb3="00000000" w:csb0="00040000" w:csb1="00000000"/>
  </w:font>
  <w:font w:name="DFKai-SB">
    <w:panose1 w:val="03000509000000000000"/>
    <w:charset w:val="88"/>
    <w:family w:val="script"/>
    <w:pitch w:val="default"/>
    <w:sig w:usb0="00000003" w:usb1="082E0000" w:usb2="00000016" w:usb3="00000000" w:csb0="00100001" w:csb1="00000000"/>
  </w:font>
  <w:font w:name="BatangChe">
    <w:panose1 w:val="02030609000101010101"/>
    <w:charset w:val="81"/>
    <w:family w:val="modern"/>
    <w:pitch w:val="default"/>
    <w:sig w:usb0="B00002AF" w:usb1="69D77CFB" w:usb2="00000030" w:usb3="00000000" w:csb0="4008009F" w:csb1="DFD70000"/>
  </w:font>
  <w:font w:name="华文中宋">
    <w:panose1 w:val="02010600040101010101"/>
    <w:charset w:val="86"/>
    <w:family w:val="auto"/>
    <w:pitch w:val="default"/>
    <w:sig w:usb0="00000287" w:usb1="080F0000" w:usb2="00000000" w:usb3="00000000" w:csb0="0004009F" w:csb1="DFD70000"/>
  </w:font>
  <w:font w:name="”“Times New Roman”“">
    <w:altName w:val="宋体"/>
    <w:panose1 w:val="00000000000000000000"/>
    <w:charset w:val="86"/>
    <w:family w:val="roman"/>
    <w:pitch w:val="default"/>
    <w:sig w:usb0="00000000" w:usb1="00000000" w:usb2="00000010" w:usb3="00000000" w:csb0="00040000"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auto"/>
    <w:pitch w:val="default"/>
    <w:sig w:usb0="80000287" w:usb1="280F3C52" w:usb2="00000016" w:usb3="00000000" w:csb0="0004001F" w:csb1="0000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r>
      <w:rPr>
        <w:sz w:val="18"/>
      </w:rP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jc w:val="center"/>
                          </w:pPr>
                          <w:r>
                            <w:fldChar w:fldCharType="begin"/>
                          </w:r>
                          <w:r>
                            <w:instrText xml:space="preserve"> PAGE   \* MERGEFORMAT </w:instrText>
                          </w:r>
                          <w:r>
                            <w:fldChar w:fldCharType="separate"/>
                          </w:r>
                          <w:r>
                            <w:rPr>
                              <w:lang w:val="zh-CN"/>
                            </w:rPr>
                            <w:t>19</w:t>
                          </w:r>
                          <w:r>
                            <w:rPr>
                              <w:lang w:val="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KyQwkT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LNJWO7QAAAABQEAAA8AAAAAAAAAAQAgAAAA&#10;IgAAAGRycy9kb3ducmV2LnhtbFBLAQIUABQAAAAIAIdO4kCyskMJEwIAABUEAAAOAAAAAAAAAAEA&#10;IAAAAB8BAABkcnMvZTJvRG9jLnhtbFBLBQYAAAAABgAGAFkBAACkBQAAAAA=&#10;">
              <v:fill on="f" focussize="0,0"/>
              <v:stroke on="f" weight="0.5pt"/>
              <v:imagedata o:title=""/>
              <o:lock v:ext="edit" aspectratio="f"/>
              <v:textbox inset="0mm,0mm,0mm,0mm" style="mso-fit-shape-to-text:t;">
                <w:txbxContent>
                  <w:p>
                    <w:pPr>
                      <w:pStyle w:val="24"/>
                      <w:jc w:val="center"/>
                    </w:pPr>
                    <w:r>
                      <w:fldChar w:fldCharType="begin"/>
                    </w:r>
                    <w:r>
                      <w:instrText xml:space="preserve"> PAGE   \* MERGEFORMAT </w:instrText>
                    </w:r>
                    <w:r>
                      <w:fldChar w:fldCharType="separate"/>
                    </w:r>
                    <w:r>
                      <w:rPr>
                        <w:lang w:val="zh-CN"/>
                      </w:rPr>
                      <w:t>19</w:t>
                    </w:r>
                    <w:r>
                      <w:rPr>
                        <w:lang w:val="zh-CN"/>
                      </w:rPr>
                      <w:fldChar w:fldCharType="end"/>
                    </w:r>
                  </w:p>
                </w:txbxContent>
              </v:textbox>
            </v:shape>
          </w:pict>
        </mc:Fallback>
      </mc:AlternateContent>
    </w:r>
  </w:p>
  <w:p>
    <w:pPr>
      <w:pStyle w:val="2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2" name="文本框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jc w:val="center"/>
                          </w:pPr>
                          <w:r>
                            <w:fldChar w:fldCharType="begin"/>
                          </w:r>
                          <w:r>
                            <w:rPr>
                              <w:rStyle w:val="41"/>
                            </w:rPr>
                            <w:instrText xml:space="preserve"> PAGE </w:instrText>
                          </w:r>
                          <w:r>
                            <w:fldChar w:fldCharType="separate"/>
                          </w:r>
                          <w:r>
                            <w:rPr>
                              <w:rStyle w:val="41"/>
                            </w:rPr>
                            <w:t>32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zSVju0AAAAAUBAAAPAAAAAAAAAAEAIAAA&#10;ACIAAABkcnMvZG93bnJldi54bWxQSwECFAAUAAAACACHTuJANUyK4hQCAAAVBAAADgAAAAAAAAAB&#10;ACAAAAAfAQAAZHJzL2Uyb0RvYy54bWxQSwUGAAAAAAYABgBZAQAApQUAAAAA&#10;">
              <v:fill on="f" focussize="0,0"/>
              <v:stroke on="f" weight="0.5pt"/>
              <v:imagedata o:title=""/>
              <o:lock v:ext="edit" aspectratio="f"/>
              <v:textbox inset="0mm,0mm,0mm,0mm" style="mso-fit-shape-to-text:t;">
                <w:txbxContent>
                  <w:p>
                    <w:pPr>
                      <w:pStyle w:val="24"/>
                      <w:jc w:val="center"/>
                    </w:pPr>
                    <w:r>
                      <w:fldChar w:fldCharType="begin"/>
                    </w:r>
                    <w:r>
                      <w:rPr>
                        <w:rStyle w:val="41"/>
                      </w:rPr>
                      <w:instrText xml:space="preserve"> PAGE </w:instrText>
                    </w:r>
                    <w:r>
                      <w:fldChar w:fldCharType="separate"/>
                    </w:r>
                    <w:r>
                      <w:rPr>
                        <w:rStyle w:val="41"/>
                      </w:rPr>
                      <w:t>32</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4"/>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24"/>
                            <w:jc w:val="center"/>
                          </w:pPr>
                          <w:r>
                            <w:fldChar w:fldCharType="begin"/>
                          </w:r>
                          <w:r>
                            <w:instrText xml:space="preserve">PAGE   \* MERGEFORMAT</w:instrText>
                          </w:r>
                          <w:r>
                            <w:fldChar w:fldCharType="separate"/>
                          </w:r>
                          <w:r>
                            <w:rPr>
                              <w:lang w:val="zh-CN"/>
                            </w:rPr>
                            <w:t>37</w:t>
                          </w:r>
                          <w:r>
                            <w:rPr>
                              <w:lang w:val="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s0lY7tAAAAAFAQAADwAAAAAAAAABACAA&#10;AAAiAAAAZHJzL2Rvd25yZXYueG1sUEsBAhQAFAAAAAgAh07iQHfkHQ0VAgAAFQQAAA4AAAAAAAAA&#10;AQAgAAAAHwEAAGRycy9lMm9Eb2MueG1sUEsFBgAAAAAGAAYAWQEAAKYFAAAAAA==&#10;">
              <v:fill on="f" focussize="0,0"/>
              <v:stroke on="f" weight="0.5pt"/>
              <v:imagedata o:title=""/>
              <o:lock v:ext="edit" aspectratio="f"/>
              <v:textbox inset="0mm,0mm,0mm,0mm" style="mso-fit-shape-to-text:t;">
                <w:txbxContent>
                  <w:p>
                    <w:pPr>
                      <w:pStyle w:val="24"/>
                      <w:jc w:val="center"/>
                    </w:pPr>
                    <w:r>
                      <w:fldChar w:fldCharType="begin"/>
                    </w:r>
                    <w:r>
                      <w:instrText xml:space="preserve">PAGE   \* MERGEFORMAT</w:instrText>
                    </w:r>
                    <w:r>
                      <w:fldChar w:fldCharType="separate"/>
                    </w:r>
                    <w:r>
                      <w:rPr>
                        <w:lang w:val="zh-CN"/>
                      </w:rPr>
                      <w:t>37</w:t>
                    </w:r>
                    <w:r>
                      <w:rPr>
                        <w:lang w:val="zh-CN"/>
                      </w:rPr>
                      <w:fldChar w:fldCharType="end"/>
                    </w:r>
                  </w:p>
                </w:txbxContent>
              </v:textbox>
            </v:shape>
          </w:pict>
        </mc:Fallback>
      </mc:AlternateContent>
    </w:r>
  </w:p>
  <w:p>
    <w:pPr>
      <w:pStyle w:val="24"/>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5"/>
      <w:pBdr>
        <w:bottom w:val="none" w:color="auto" w:sz="0" w:space="0"/>
      </w:pBdr>
    </w:pPr>
  </w:p>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D67B31A"/>
    <w:multiLevelType w:val="singleLevel"/>
    <w:tmpl w:val="8D67B31A"/>
    <w:lvl w:ilvl="0" w:tentative="0">
      <w:start w:val="1"/>
      <w:numFmt w:val="decimal"/>
      <w:suff w:val="nothing"/>
      <w:lvlText w:val="%1、"/>
      <w:lvlJc w:val="left"/>
    </w:lvl>
  </w:abstractNum>
  <w:abstractNum w:abstractNumId="1">
    <w:nsid w:val="4821011B"/>
    <w:multiLevelType w:val="singleLevel"/>
    <w:tmpl w:val="4821011B"/>
    <w:lvl w:ilvl="0" w:tentative="0">
      <w:start w:val="5"/>
      <w:numFmt w:val="decimal"/>
      <w:suff w:val="nothing"/>
      <w:lvlText w:val="（%1）"/>
      <w:lvlJc w:val="left"/>
    </w:lvl>
  </w:abstractNum>
  <w:abstractNum w:abstractNumId="2">
    <w:nsid w:val="558CADD2"/>
    <w:multiLevelType w:val="singleLevel"/>
    <w:tmpl w:val="558CADD2"/>
    <w:lvl w:ilvl="0" w:tentative="0">
      <w:start w:val="2"/>
      <w:numFmt w:val="decimal"/>
      <w:suff w:val="nothing"/>
      <w:lvlText w:val="%1、"/>
      <w:lvlJc w:val="left"/>
    </w:lvl>
  </w:abstractNum>
  <w:abstractNum w:abstractNumId="3">
    <w:nsid w:val="5654EFE4"/>
    <w:multiLevelType w:val="singleLevel"/>
    <w:tmpl w:val="5654EFE4"/>
    <w:lvl w:ilvl="0" w:tentative="0">
      <w:start w:val="4"/>
      <w:numFmt w:val="decimal"/>
      <w:suff w:val="nothing"/>
      <w:lvlText w:val="%1、"/>
      <w:lvlJc w:val="left"/>
    </w:lvl>
  </w:abstractNum>
  <w:abstractNum w:abstractNumId="4">
    <w:nsid w:val="7CFB6BCC"/>
    <w:multiLevelType w:val="singleLevel"/>
    <w:tmpl w:val="7CFB6BCC"/>
    <w:lvl w:ilvl="0" w:tentative="0">
      <w:start w:val="1"/>
      <w:numFmt w:val="decimal"/>
      <w:suff w:val="nothing"/>
      <w:lvlText w:val="（%1）"/>
      <w:lvlJc w:val="left"/>
    </w:lvl>
  </w:abstractNum>
  <w:num w:numId="1">
    <w:abstractNumId w:val="0"/>
  </w:num>
  <w:num w:numId="2">
    <w:abstractNumId w:val="3"/>
  </w:num>
  <w:num w:numId="3">
    <w:abstractNumId w:val="1"/>
  </w:num>
  <w:num w:numId="4">
    <w:abstractNumId w:val="2"/>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0"/>
  <w:bordersDoNotSurroundFooter w:val="0"/>
  <w:hideSpellingErrors/>
  <w:documentProtection w:enforcement="0"/>
  <w:defaultTabStop w:val="420"/>
  <w:drawingGridHorizontalSpacing w:val="105"/>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06D3"/>
    <w:rsid w:val="00000CB6"/>
    <w:rsid w:val="0000100F"/>
    <w:rsid w:val="00003CED"/>
    <w:rsid w:val="00003ED5"/>
    <w:rsid w:val="000045C4"/>
    <w:rsid w:val="00004D72"/>
    <w:rsid w:val="00004F99"/>
    <w:rsid w:val="00005187"/>
    <w:rsid w:val="0000716F"/>
    <w:rsid w:val="00007552"/>
    <w:rsid w:val="00010EBF"/>
    <w:rsid w:val="0001208B"/>
    <w:rsid w:val="00013DDA"/>
    <w:rsid w:val="0001413D"/>
    <w:rsid w:val="000144CA"/>
    <w:rsid w:val="0001497A"/>
    <w:rsid w:val="00014CB1"/>
    <w:rsid w:val="00015793"/>
    <w:rsid w:val="00015C02"/>
    <w:rsid w:val="0001699E"/>
    <w:rsid w:val="000205E7"/>
    <w:rsid w:val="00020B2B"/>
    <w:rsid w:val="0002189F"/>
    <w:rsid w:val="00021BFA"/>
    <w:rsid w:val="00021D1E"/>
    <w:rsid w:val="00022813"/>
    <w:rsid w:val="00024149"/>
    <w:rsid w:val="00025664"/>
    <w:rsid w:val="0002649F"/>
    <w:rsid w:val="000265BF"/>
    <w:rsid w:val="00026AE2"/>
    <w:rsid w:val="000276C8"/>
    <w:rsid w:val="00027C39"/>
    <w:rsid w:val="00030102"/>
    <w:rsid w:val="00032357"/>
    <w:rsid w:val="000339D7"/>
    <w:rsid w:val="00034326"/>
    <w:rsid w:val="00034E99"/>
    <w:rsid w:val="0003523B"/>
    <w:rsid w:val="000354C7"/>
    <w:rsid w:val="00035936"/>
    <w:rsid w:val="00035D71"/>
    <w:rsid w:val="000369AD"/>
    <w:rsid w:val="00036EA4"/>
    <w:rsid w:val="00040F5E"/>
    <w:rsid w:val="00040FCF"/>
    <w:rsid w:val="00041112"/>
    <w:rsid w:val="00041452"/>
    <w:rsid w:val="00041956"/>
    <w:rsid w:val="00044405"/>
    <w:rsid w:val="00050827"/>
    <w:rsid w:val="00051A81"/>
    <w:rsid w:val="00052929"/>
    <w:rsid w:val="00053763"/>
    <w:rsid w:val="00053D8F"/>
    <w:rsid w:val="000540CA"/>
    <w:rsid w:val="00054277"/>
    <w:rsid w:val="000544E8"/>
    <w:rsid w:val="0005466D"/>
    <w:rsid w:val="00054B7B"/>
    <w:rsid w:val="00054C6D"/>
    <w:rsid w:val="00055296"/>
    <w:rsid w:val="00055D22"/>
    <w:rsid w:val="00055E58"/>
    <w:rsid w:val="000569D3"/>
    <w:rsid w:val="00056B7C"/>
    <w:rsid w:val="00057D43"/>
    <w:rsid w:val="00060929"/>
    <w:rsid w:val="00060C72"/>
    <w:rsid w:val="000613C9"/>
    <w:rsid w:val="00061E14"/>
    <w:rsid w:val="00062B17"/>
    <w:rsid w:val="000656DF"/>
    <w:rsid w:val="000659C7"/>
    <w:rsid w:val="00065A18"/>
    <w:rsid w:val="00067258"/>
    <w:rsid w:val="00067849"/>
    <w:rsid w:val="00067A3D"/>
    <w:rsid w:val="00071821"/>
    <w:rsid w:val="00073249"/>
    <w:rsid w:val="00074154"/>
    <w:rsid w:val="00075FB9"/>
    <w:rsid w:val="000775D0"/>
    <w:rsid w:val="00077832"/>
    <w:rsid w:val="00077D2A"/>
    <w:rsid w:val="00082831"/>
    <w:rsid w:val="00082833"/>
    <w:rsid w:val="00082938"/>
    <w:rsid w:val="00082B16"/>
    <w:rsid w:val="0008315F"/>
    <w:rsid w:val="0008319C"/>
    <w:rsid w:val="000835AE"/>
    <w:rsid w:val="00084304"/>
    <w:rsid w:val="000847BB"/>
    <w:rsid w:val="00085329"/>
    <w:rsid w:val="00085722"/>
    <w:rsid w:val="00086D86"/>
    <w:rsid w:val="000905C2"/>
    <w:rsid w:val="00091231"/>
    <w:rsid w:val="00091367"/>
    <w:rsid w:val="00091E4A"/>
    <w:rsid w:val="0009266C"/>
    <w:rsid w:val="00092745"/>
    <w:rsid w:val="00092B3B"/>
    <w:rsid w:val="00095734"/>
    <w:rsid w:val="00095F43"/>
    <w:rsid w:val="00097083"/>
    <w:rsid w:val="000A0468"/>
    <w:rsid w:val="000A08B7"/>
    <w:rsid w:val="000A09FF"/>
    <w:rsid w:val="000A20E1"/>
    <w:rsid w:val="000A2643"/>
    <w:rsid w:val="000A33AB"/>
    <w:rsid w:val="000A3A12"/>
    <w:rsid w:val="000A452B"/>
    <w:rsid w:val="000A5D1D"/>
    <w:rsid w:val="000A5ECD"/>
    <w:rsid w:val="000A6256"/>
    <w:rsid w:val="000A647D"/>
    <w:rsid w:val="000B0162"/>
    <w:rsid w:val="000B081A"/>
    <w:rsid w:val="000B0DF1"/>
    <w:rsid w:val="000B1155"/>
    <w:rsid w:val="000B130E"/>
    <w:rsid w:val="000B3676"/>
    <w:rsid w:val="000B3C9D"/>
    <w:rsid w:val="000B5F88"/>
    <w:rsid w:val="000B68D6"/>
    <w:rsid w:val="000B69B3"/>
    <w:rsid w:val="000B71FB"/>
    <w:rsid w:val="000B7A96"/>
    <w:rsid w:val="000C299E"/>
    <w:rsid w:val="000C3204"/>
    <w:rsid w:val="000C35AE"/>
    <w:rsid w:val="000C3A0A"/>
    <w:rsid w:val="000C524A"/>
    <w:rsid w:val="000C58CA"/>
    <w:rsid w:val="000C5C43"/>
    <w:rsid w:val="000C7CF3"/>
    <w:rsid w:val="000D0E0E"/>
    <w:rsid w:val="000D14E5"/>
    <w:rsid w:val="000D34B8"/>
    <w:rsid w:val="000D3A4A"/>
    <w:rsid w:val="000D3A73"/>
    <w:rsid w:val="000D4E22"/>
    <w:rsid w:val="000D504B"/>
    <w:rsid w:val="000D6380"/>
    <w:rsid w:val="000D72B8"/>
    <w:rsid w:val="000D7686"/>
    <w:rsid w:val="000E0949"/>
    <w:rsid w:val="000E09E0"/>
    <w:rsid w:val="000E0BFD"/>
    <w:rsid w:val="000E0C2C"/>
    <w:rsid w:val="000E16BF"/>
    <w:rsid w:val="000E1E20"/>
    <w:rsid w:val="000E2B0F"/>
    <w:rsid w:val="000E3944"/>
    <w:rsid w:val="000E3BBC"/>
    <w:rsid w:val="000E3C7A"/>
    <w:rsid w:val="000E3D8C"/>
    <w:rsid w:val="000E401D"/>
    <w:rsid w:val="000E4070"/>
    <w:rsid w:val="000E5055"/>
    <w:rsid w:val="000E5660"/>
    <w:rsid w:val="000E5AD0"/>
    <w:rsid w:val="000E799E"/>
    <w:rsid w:val="000E7F87"/>
    <w:rsid w:val="000F02DF"/>
    <w:rsid w:val="000F044D"/>
    <w:rsid w:val="000F07CC"/>
    <w:rsid w:val="000F1688"/>
    <w:rsid w:val="000F24BD"/>
    <w:rsid w:val="000F3827"/>
    <w:rsid w:val="000F4557"/>
    <w:rsid w:val="000F456F"/>
    <w:rsid w:val="000F522D"/>
    <w:rsid w:val="000F5448"/>
    <w:rsid w:val="000F60CC"/>
    <w:rsid w:val="000F734F"/>
    <w:rsid w:val="00100129"/>
    <w:rsid w:val="00100355"/>
    <w:rsid w:val="001013DA"/>
    <w:rsid w:val="0010141B"/>
    <w:rsid w:val="00101667"/>
    <w:rsid w:val="00101845"/>
    <w:rsid w:val="00102DE0"/>
    <w:rsid w:val="0010391D"/>
    <w:rsid w:val="00103CA0"/>
    <w:rsid w:val="0010518A"/>
    <w:rsid w:val="00105257"/>
    <w:rsid w:val="0010539B"/>
    <w:rsid w:val="00106CCF"/>
    <w:rsid w:val="0010739D"/>
    <w:rsid w:val="001105A0"/>
    <w:rsid w:val="00111311"/>
    <w:rsid w:val="001115AA"/>
    <w:rsid w:val="00112CFF"/>
    <w:rsid w:val="00113C3C"/>
    <w:rsid w:val="00114E1E"/>
    <w:rsid w:val="00115275"/>
    <w:rsid w:val="00115940"/>
    <w:rsid w:val="00115969"/>
    <w:rsid w:val="00120F52"/>
    <w:rsid w:val="00121A07"/>
    <w:rsid w:val="001223C8"/>
    <w:rsid w:val="00123BDD"/>
    <w:rsid w:val="00124AD7"/>
    <w:rsid w:val="00124B40"/>
    <w:rsid w:val="001259A2"/>
    <w:rsid w:val="00125FE2"/>
    <w:rsid w:val="001272A7"/>
    <w:rsid w:val="00127E75"/>
    <w:rsid w:val="00130E4B"/>
    <w:rsid w:val="00131849"/>
    <w:rsid w:val="00132604"/>
    <w:rsid w:val="00132637"/>
    <w:rsid w:val="00133430"/>
    <w:rsid w:val="00133BF5"/>
    <w:rsid w:val="00133DF0"/>
    <w:rsid w:val="0013404B"/>
    <w:rsid w:val="0013587C"/>
    <w:rsid w:val="00137078"/>
    <w:rsid w:val="001373F6"/>
    <w:rsid w:val="001408AE"/>
    <w:rsid w:val="001428CE"/>
    <w:rsid w:val="00142AC4"/>
    <w:rsid w:val="00142BDA"/>
    <w:rsid w:val="00143376"/>
    <w:rsid w:val="001437DA"/>
    <w:rsid w:val="00144BDB"/>
    <w:rsid w:val="00145614"/>
    <w:rsid w:val="00147498"/>
    <w:rsid w:val="00150BD0"/>
    <w:rsid w:val="001518C1"/>
    <w:rsid w:val="00151BF1"/>
    <w:rsid w:val="00152C44"/>
    <w:rsid w:val="00152E1F"/>
    <w:rsid w:val="00153608"/>
    <w:rsid w:val="0015474E"/>
    <w:rsid w:val="00154B21"/>
    <w:rsid w:val="00155518"/>
    <w:rsid w:val="001619BF"/>
    <w:rsid w:val="001628C9"/>
    <w:rsid w:val="00162C99"/>
    <w:rsid w:val="00163286"/>
    <w:rsid w:val="00165162"/>
    <w:rsid w:val="001656AD"/>
    <w:rsid w:val="00165EE9"/>
    <w:rsid w:val="00166A4E"/>
    <w:rsid w:val="00167206"/>
    <w:rsid w:val="00170BF8"/>
    <w:rsid w:val="001722A2"/>
    <w:rsid w:val="0017268E"/>
    <w:rsid w:val="0017281F"/>
    <w:rsid w:val="00173042"/>
    <w:rsid w:val="001731FB"/>
    <w:rsid w:val="00173AFF"/>
    <w:rsid w:val="00173D2A"/>
    <w:rsid w:val="00174535"/>
    <w:rsid w:val="001752D2"/>
    <w:rsid w:val="00175366"/>
    <w:rsid w:val="00175F43"/>
    <w:rsid w:val="0017728F"/>
    <w:rsid w:val="0017732B"/>
    <w:rsid w:val="001802BA"/>
    <w:rsid w:val="00181159"/>
    <w:rsid w:val="001817A8"/>
    <w:rsid w:val="00181CF8"/>
    <w:rsid w:val="00182146"/>
    <w:rsid w:val="00182310"/>
    <w:rsid w:val="00182D9C"/>
    <w:rsid w:val="00182F5C"/>
    <w:rsid w:val="0018347F"/>
    <w:rsid w:val="00184901"/>
    <w:rsid w:val="00184CC1"/>
    <w:rsid w:val="00184D2E"/>
    <w:rsid w:val="00185234"/>
    <w:rsid w:val="001911EC"/>
    <w:rsid w:val="00191646"/>
    <w:rsid w:val="00192CED"/>
    <w:rsid w:val="00193A98"/>
    <w:rsid w:val="00193CFC"/>
    <w:rsid w:val="001940BE"/>
    <w:rsid w:val="00196CDD"/>
    <w:rsid w:val="00196CE7"/>
    <w:rsid w:val="001A01BF"/>
    <w:rsid w:val="001A0792"/>
    <w:rsid w:val="001A083A"/>
    <w:rsid w:val="001A162A"/>
    <w:rsid w:val="001A1C2A"/>
    <w:rsid w:val="001A1E36"/>
    <w:rsid w:val="001A246E"/>
    <w:rsid w:val="001A328A"/>
    <w:rsid w:val="001A463B"/>
    <w:rsid w:val="001A5D5C"/>
    <w:rsid w:val="001A5EB2"/>
    <w:rsid w:val="001A6EA5"/>
    <w:rsid w:val="001B077B"/>
    <w:rsid w:val="001B0F7E"/>
    <w:rsid w:val="001B11E9"/>
    <w:rsid w:val="001B16C2"/>
    <w:rsid w:val="001B18CD"/>
    <w:rsid w:val="001B1FBE"/>
    <w:rsid w:val="001B342F"/>
    <w:rsid w:val="001B355D"/>
    <w:rsid w:val="001B3BAE"/>
    <w:rsid w:val="001B400E"/>
    <w:rsid w:val="001B614E"/>
    <w:rsid w:val="001B63AA"/>
    <w:rsid w:val="001B663A"/>
    <w:rsid w:val="001C02CD"/>
    <w:rsid w:val="001C0656"/>
    <w:rsid w:val="001C0673"/>
    <w:rsid w:val="001C1A79"/>
    <w:rsid w:val="001C266B"/>
    <w:rsid w:val="001C280A"/>
    <w:rsid w:val="001C2C2A"/>
    <w:rsid w:val="001C315B"/>
    <w:rsid w:val="001C3BEB"/>
    <w:rsid w:val="001C404F"/>
    <w:rsid w:val="001C4475"/>
    <w:rsid w:val="001C5EA7"/>
    <w:rsid w:val="001C5F8C"/>
    <w:rsid w:val="001C6134"/>
    <w:rsid w:val="001C6B7E"/>
    <w:rsid w:val="001C6D07"/>
    <w:rsid w:val="001C7D5A"/>
    <w:rsid w:val="001D10F4"/>
    <w:rsid w:val="001D2303"/>
    <w:rsid w:val="001D2874"/>
    <w:rsid w:val="001D2E21"/>
    <w:rsid w:val="001D33D1"/>
    <w:rsid w:val="001D50DD"/>
    <w:rsid w:val="001D5133"/>
    <w:rsid w:val="001D5495"/>
    <w:rsid w:val="001D5815"/>
    <w:rsid w:val="001D7098"/>
    <w:rsid w:val="001D7C1B"/>
    <w:rsid w:val="001D7C4F"/>
    <w:rsid w:val="001E099F"/>
    <w:rsid w:val="001E1867"/>
    <w:rsid w:val="001E406C"/>
    <w:rsid w:val="001E4EAE"/>
    <w:rsid w:val="001E4F31"/>
    <w:rsid w:val="001E54CB"/>
    <w:rsid w:val="001E56B2"/>
    <w:rsid w:val="001E60D7"/>
    <w:rsid w:val="001E6541"/>
    <w:rsid w:val="001E6A7B"/>
    <w:rsid w:val="001E74E2"/>
    <w:rsid w:val="001E7FA7"/>
    <w:rsid w:val="001F1EBB"/>
    <w:rsid w:val="001F23B1"/>
    <w:rsid w:val="001F2ABF"/>
    <w:rsid w:val="001F2F68"/>
    <w:rsid w:val="001F3F23"/>
    <w:rsid w:val="001F5514"/>
    <w:rsid w:val="001F5F4D"/>
    <w:rsid w:val="00200D0B"/>
    <w:rsid w:val="002024FF"/>
    <w:rsid w:val="00207FAB"/>
    <w:rsid w:val="00210A0E"/>
    <w:rsid w:val="00211751"/>
    <w:rsid w:val="002119BE"/>
    <w:rsid w:val="00211B13"/>
    <w:rsid w:val="00211C2C"/>
    <w:rsid w:val="00211DC4"/>
    <w:rsid w:val="0021266F"/>
    <w:rsid w:val="00213DB9"/>
    <w:rsid w:val="00214B61"/>
    <w:rsid w:val="00214F91"/>
    <w:rsid w:val="00215C3F"/>
    <w:rsid w:val="002163EE"/>
    <w:rsid w:val="002170D0"/>
    <w:rsid w:val="00220325"/>
    <w:rsid w:val="0022058E"/>
    <w:rsid w:val="0022111B"/>
    <w:rsid w:val="00222147"/>
    <w:rsid w:val="002221FF"/>
    <w:rsid w:val="00224011"/>
    <w:rsid w:val="0022466E"/>
    <w:rsid w:val="002248A9"/>
    <w:rsid w:val="0022665F"/>
    <w:rsid w:val="0022749E"/>
    <w:rsid w:val="0023007E"/>
    <w:rsid w:val="00230879"/>
    <w:rsid w:val="00233380"/>
    <w:rsid w:val="00233F96"/>
    <w:rsid w:val="0023462D"/>
    <w:rsid w:val="00235865"/>
    <w:rsid w:val="00235FCF"/>
    <w:rsid w:val="002367A2"/>
    <w:rsid w:val="0023736B"/>
    <w:rsid w:val="00237490"/>
    <w:rsid w:val="002403B3"/>
    <w:rsid w:val="002421D7"/>
    <w:rsid w:val="00243841"/>
    <w:rsid w:val="0024748A"/>
    <w:rsid w:val="002502EB"/>
    <w:rsid w:val="0025065A"/>
    <w:rsid w:val="0025092A"/>
    <w:rsid w:val="00250B3F"/>
    <w:rsid w:val="00250E02"/>
    <w:rsid w:val="00251ED5"/>
    <w:rsid w:val="0025234E"/>
    <w:rsid w:val="002524AB"/>
    <w:rsid w:val="0025263C"/>
    <w:rsid w:val="002551BA"/>
    <w:rsid w:val="00255291"/>
    <w:rsid w:val="00255998"/>
    <w:rsid w:val="00256247"/>
    <w:rsid w:val="0025655A"/>
    <w:rsid w:val="002577DD"/>
    <w:rsid w:val="002605E4"/>
    <w:rsid w:val="00260B4A"/>
    <w:rsid w:val="00262158"/>
    <w:rsid w:val="00262540"/>
    <w:rsid w:val="00262BB3"/>
    <w:rsid w:val="0026389C"/>
    <w:rsid w:val="0026419E"/>
    <w:rsid w:val="002648F4"/>
    <w:rsid w:val="00265568"/>
    <w:rsid w:val="00265F27"/>
    <w:rsid w:val="002679AE"/>
    <w:rsid w:val="00267A16"/>
    <w:rsid w:val="002727CF"/>
    <w:rsid w:val="00274002"/>
    <w:rsid w:val="00274032"/>
    <w:rsid w:val="0027441D"/>
    <w:rsid w:val="00275819"/>
    <w:rsid w:val="002766F5"/>
    <w:rsid w:val="00276ADD"/>
    <w:rsid w:val="00276BD0"/>
    <w:rsid w:val="0027755C"/>
    <w:rsid w:val="002777FF"/>
    <w:rsid w:val="0027797D"/>
    <w:rsid w:val="00280825"/>
    <w:rsid w:val="00281E01"/>
    <w:rsid w:val="002820AC"/>
    <w:rsid w:val="00282229"/>
    <w:rsid w:val="00282F30"/>
    <w:rsid w:val="00283730"/>
    <w:rsid w:val="00283DB9"/>
    <w:rsid w:val="00284428"/>
    <w:rsid w:val="00285327"/>
    <w:rsid w:val="00286AEB"/>
    <w:rsid w:val="00286CDC"/>
    <w:rsid w:val="00286CE9"/>
    <w:rsid w:val="00287395"/>
    <w:rsid w:val="00287758"/>
    <w:rsid w:val="00290D7D"/>
    <w:rsid w:val="002930FF"/>
    <w:rsid w:val="002935DB"/>
    <w:rsid w:val="0029467A"/>
    <w:rsid w:val="002949A9"/>
    <w:rsid w:val="002956B1"/>
    <w:rsid w:val="00295BB3"/>
    <w:rsid w:val="002970BA"/>
    <w:rsid w:val="002978DA"/>
    <w:rsid w:val="002A008C"/>
    <w:rsid w:val="002A1F4B"/>
    <w:rsid w:val="002A1FCA"/>
    <w:rsid w:val="002A33DC"/>
    <w:rsid w:val="002A4828"/>
    <w:rsid w:val="002A4F98"/>
    <w:rsid w:val="002A59A1"/>
    <w:rsid w:val="002A5C20"/>
    <w:rsid w:val="002A6210"/>
    <w:rsid w:val="002A6FE7"/>
    <w:rsid w:val="002A7384"/>
    <w:rsid w:val="002A7535"/>
    <w:rsid w:val="002B041A"/>
    <w:rsid w:val="002B1078"/>
    <w:rsid w:val="002B29C9"/>
    <w:rsid w:val="002B2F4F"/>
    <w:rsid w:val="002B407C"/>
    <w:rsid w:val="002B42CB"/>
    <w:rsid w:val="002B556C"/>
    <w:rsid w:val="002B6E46"/>
    <w:rsid w:val="002C04F7"/>
    <w:rsid w:val="002C115A"/>
    <w:rsid w:val="002C120E"/>
    <w:rsid w:val="002C218A"/>
    <w:rsid w:val="002C2D71"/>
    <w:rsid w:val="002C3A34"/>
    <w:rsid w:val="002C446F"/>
    <w:rsid w:val="002C4496"/>
    <w:rsid w:val="002C6120"/>
    <w:rsid w:val="002C6974"/>
    <w:rsid w:val="002C7021"/>
    <w:rsid w:val="002D021F"/>
    <w:rsid w:val="002D04F8"/>
    <w:rsid w:val="002D0D6F"/>
    <w:rsid w:val="002D16C9"/>
    <w:rsid w:val="002D46DE"/>
    <w:rsid w:val="002D5658"/>
    <w:rsid w:val="002D6240"/>
    <w:rsid w:val="002D653B"/>
    <w:rsid w:val="002D6E1A"/>
    <w:rsid w:val="002D71F2"/>
    <w:rsid w:val="002D7638"/>
    <w:rsid w:val="002D7954"/>
    <w:rsid w:val="002E0675"/>
    <w:rsid w:val="002E1755"/>
    <w:rsid w:val="002E18FF"/>
    <w:rsid w:val="002E3B81"/>
    <w:rsid w:val="002E4088"/>
    <w:rsid w:val="002E510A"/>
    <w:rsid w:val="002E612B"/>
    <w:rsid w:val="002E68FB"/>
    <w:rsid w:val="002E7519"/>
    <w:rsid w:val="002F0C07"/>
    <w:rsid w:val="002F1DCC"/>
    <w:rsid w:val="002F280F"/>
    <w:rsid w:val="002F29A0"/>
    <w:rsid w:val="002F4172"/>
    <w:rsid w:val="002F4B27"/>
    <w:rsid w:val="002F4FF3"/>
    <w:rsid w:val="002F4FFB"/>
    <w:rsid w:val="00300554"/>
    <w:rsid w:val="00300D2C"/>
    <w:rsid w:val="003032E2"/>
    <w:rsid w:val="00303870"/>
    <w:rsid w:val="0030413A"/>
    <w:rsid w:val="003053B2"/>
    <w:rsid w:val="003053F8"/>
    <w:rsid w:val="00305CEB"/>
    <w:rsid w:val="00305EF1"/>
    <w:rsid w:val="003068FE"/>
    <w:rsid w:val="00306DC9"/>
    <w:rsid w:val="00310241"/>
    <w:rsid w:val="003112A8"/>
    <w:rsid w:val="00311A60"/>
    <w:rsid w:val="00313B62"/>
    <w:rsid w:val="00314C8C"/>
    <w:rsid w:val="003154E8"/>
    <w:rsid w:val="00316AC0"/>
    <w:rsid w:val="00317121"/>
    <w:rsid w:val="00317376"/>
    <w:rsid w:val="003177C6"/>
    <w:rsid w:val="00317CFC"/>
    <w:rsid w:val="00321EA8"/>
    <w:rsid w:val="00322641"/>
    <w:rsid w:val="003232A1"/>
    <w:rsid w:val="0032376F"/>
    <w:rsid w:val="003237DF"/>
    <w:rsid w:val="00323F18"/>
    <w:rsid w:val="00325426"/>
    <w:rsid w:val="003255EB"/>
    <w:rsid w:val="00325868"/>
    <w:rsid w:val="0032651E"/>
    <w:rsid w:val="00326EF4"/>
    <w:rsid w:val="00326F91"/>
    <w:rsid w:val="003270DB"/>
    <w:rsid w:val="00330069"/>
    <w:rsid w:val="00330B27"/>
    <w:rsid w:val="00331830"/>
    <w:rsid w:val="00331D95"/>
    <w:rsid w:val="00331F58"/>
    <w:rsid w:val="00332A14"/>
    <w:rsid w:val="00333C3D"/>
    <w:rsid w:val="003348F8"/>
    <w:rsid w:val="00335791"/>
    <w:rsid w:val="003357C4"/>
    <w:rsid w:val="00335C9E"/>
    <w:rsid w:val="00335F77"/>
    <w:rsid w:val="00336298"/>
    <w:rsid w:val="00336DFE"/>
    <w:rsid w:val="0033773B"/>
    <w:rsid w:val="00337B6F"/>
    <w:rsid w:val="0034033B"/>
    <w:rsid w:val="00341CFD"/>
    <w:rsid w:val="003425E1"/>
    <w:rsid w:val="00343144"/>
    <w:rsid w:val="00343D3E"/>
    <w:rsid w:val="00344A27"/>
    <w:rsid w:val="00344E50"/>
    <w:rsid w:val="0034540A"/>
    <w:rsid w:val="003457B9"/>
    <w:rsid w:val="003460D8"/>
    <w:rsid w:val="003462E0"/>
    <w:rsid w:val="00346A04"/>
    <w:rsid w:val="00346D27"/>
    <w:rsid w:val="00347CBD"/>
    <w:rsid w:val="00350683"/>
    <w:rsid w:val="003507E2"/>
    <w:rsid w:val="00350BB8"/>
    <w:rsid w:val="00351FCB"/>
    <w:rsid w:val="003527E8"/>
    <w:rsid w:val="003544FD"/>
    <w:rsid w:val="00354867"/>
    <w:rsid w:val="003571D3"/>
    <w:rsid w:val="003573F4"/>
    <w:rsid w:val="00357530"/>
    <w:rsid w:val="00357F6C"/>
    <w:rsid w:val="003609E1"/>
    <w:rsid w:val="00361D60"/>
    <w:rsid w:val="00361F2B"/>
    <w:rsid w:val="00362BED"/>
    <w:rsid w:val="00363AD0"/>
    <w:rsid w:val="00363CC3"/>
    <w:rsid w:val="00364723"/>
    <w:rsid w:val="0036532D"/>
    <w:rsid w:val="00365ECE"/>
    <w:rsid w:val="003662AB"/>
    <w:rsid w:val="00366996"/>
    <w:rsid w:val="00366E3A"/>
    <w:rsid w:val="00367E37"/>
    <w:rsid w:val="00371170"/>
    <w:rsid w:val="003718F5"/>
    <w:rsid w:val="00371AC3"/>
    <w:rsid w:val="00372941"/>
    <w:rsid w:val="00372C1C"/>
    <w:rsid w:val="003734A8"/>
    <w:rsid w:val="00373A6E"/>
    <w:rsid w:val="00373E93"/>
    <w:rsid w:val="00375175"/>
    <w:rsid w:val="00375BF2"/>
    <w:rsid w:val="003765C5"/>
    <w:rsid w:val="00380A4F"/>
    <w:rsid w:val="003813F1"/>
    <w:rsid w:val="003824D5"/>
    <w:rsid w:val="003836A1"/>
    <w:rsid w:val="00383FD8"/>
    <w:rsid w:val="00384283"/>
    <w:rsid w:val="00385D42"/>
    <w:rsid w:val="00385EC9"/>
    <w:rsid w:val="0038776E"/>
    <w:rsid w:val="00387D06"/>
    <w:rsid w:val="003907F6"/>
    <w:rsid w:val="00390B39"/>
    <w:rsid w:val="00390DCD"/>
    <w:rsid w:val="003912FF"/>
    <w:rsid w:val="003915EC"/>
    <w:rsid w:val="0039184D"/>
    <w:rsid w:val="00391FD3"/>
    <w:rsid w:val="00392A30"/>
    <w:rsid w:val="00392DAF"/>
    <w:rsid w:val="00393A86"/>
    <w:rsid w:val="0039469D"/>
    <w:rsid w:val="003949B2"/>
    <w:rsid w:val="00395095"/>
    <w:rsid w:val="003950BF"/>
    <w:rsid w:val="0039517E"/>
    <w:rsid w:val="00395552"/>
    <w:rsid w:val="003955C4"/>
    <w:rsid w:val="00395F3B"/>
    <w:rsid w:val="00396ADF"/>
    <w:rsid w:val="00397232"/>
    <w:rsid w:val="00397773"/>
    <w:rsid w:val="003A18E6"/>
    <w:rsid w:val="003A1B87"/>
    <w:rsid w:val="003A33CF"/>
    <w:rsid w:val="003A4339"/>
    <w:rsid w:val="003A4653"/>
    <w:rsid w:val="003A479B"/>
    <w:rsid w:val="003A5C04"/>
    <w:rsid w:val="003A6F35"/>
    <w:rsid w:val="003A75A0"/>
    <w:rsid w:val="003A79C4"/>
    <w:rsid w:val="003B183F"/>
    <w:rsid w:val="003B19DC"/>
    <w:rsid w:val="003B1A92"/>
    <w:rsid w:val="003B318E"/>
    <w:rsid w:val="003B33E6"/>
    <w:rsid w:val="003B3715"/>
    <w:rsid w:val="003B4271"/>
    <w:rsid w:val="003B62C5"/>
    <w:rsid w:val="003B67FF"/>
    <w:rsid w:val="003B7D5F"/>
    <w:rsid w:val="003C05A9"/>
    <w:rsid w:val="003C0854"/>
    <w:rsid w:val="003C1F00"/>
    <w:rsid w:val="003C3C2B"/>
    <w:rsid w:val="003C3C3E"/>
    <w:rsid w:val="003C47B1"/>
    <w:rsid w:val="003C49C9"/>
    <w:rsid w:val="003C4EAE"/>
    <w:rsid w:val="003C5164"/>
    <w:rsid w:val="003C6CB4"/>
    <w:rsid w:val="003C706E"/>
    <w:rsid w:val="003C77AD"/>
    <w:rsid w:val="003D0AA8"/>
    <w:rsid w:val="003D1386"/>
    <w:rsid w:val="003D143C"/>
    <w:rsid w:val="003D2F80"/>
    <w:rsid w:val="003D3068"/>
    <w:rsid w:val="003D443D"/>
    <w:rsid w:val="003D49C7"/>
    <w:rsid w:val="003D58B3"/>
    <w:rsid w:val="003D7F91"/>
    <w:rsid w:val="003E0B9E"/>
    <w:rsid w:val="003E1500"/>
    <w:rsid w:val="003E1C3E"/>
    <w:rsid w:val="003E2388"/>
    <w:rsid w:val="003E28B4"/>
    <w:rsid w:val="003E3031"/>
    <w:rsid w:val="003E3F9A"/>
    <w:rsid w:val="003E66A7"/>
    <w:rsid w:val="003F070C"/>
    <w:rsid w:val="003F1543"/>
    <w:rsid w:val="003F19F1"/>
    <w:rsid w:val="003F23F3"/>
    <w:rsid w:val="003F4A12"/>
    <w:rsid w:val="003F536A"/>
    <w:rsid w:val="003F59AD"/>
    <w:rsid w:val="003F67E0"/>
    <w:rsid w:val="00400A89"/>
    <w:rsid w:val="00401E57"/>
    <w:rsid w:val="0040244C"/>
    <w:rsid w:val="004028E4"/>
    <w:rsid w:val="004033BE"/>
    <w:rsid w:val="004036D1"/>
    <w:rsid w:val="00403D6D"/>
    <w:rsid w:val="0040542B"/>
    <w:rsid w:val="00406A7C"/>
    <w:rsid w:val="004073D7"/>
    <w:rsid w:val="0040763B"/>
    <w:rsid w:val="00407F67"/>
    <w:rsid w:val="00410F65"/>
    <w:rsid w:val="004115BB"/>
    <w:rsid w:val="0041162B"/>
    <w:rsid w:val="00411CF9"/>
    <w:rsid w:val="0041379E"/>
    <w:rsid w:val="00414E10"/>
    <w:rsid w:val="004162F8"/>
    <w:rsid w:val="00416C71"/>
    <w:rsid w:val="00417CCF"/>
    <w:rsid w:val="00420CBF"/>
    <w:rsid w:val="00422DC4"/>
    <w:rsid w:val="004230B1"/>
    <w:rsid w:val="0042340F"/>
    <w:rsid w:val="00423537"/>
    <w:rsid w:val="00423A33"/>
    <w:rsid w:val="00424067"/>
    <w:rsid w:val="00424C16"/>
    <w:rsid w:val="00425E2E"/>
    <w:rsid w:val="00426B7F"/>
    <w:rsid w:val="004279AF"/>
    <w:rsid w:val="00431BFA"/>
    <w:rsid w:val="00431CB4"/>
    <w:rsid w:val="004326DE"/>
    <w:rsid w:val="0043273C"/>
    <w:rsid w:val="004327E2"/>
    <w:rsid w:val="00433E70"/>
    <w:rsid w:val="00433F94"/>
    <w:rsid w:val="00434AD5"/>
    <w:rsid w:val="0043607D"/>
    <w:rsid w:val="00436773"/>
    <w:rsid w:val="0043789B"/>
    <w:rsid w:val="004407B8"/>
    <w:rsid w:val="00440E39"/>
    <w:rsid w:val="00443F59"/>
    <w:rsid w:val="0044495D"/>
    <w:rsid w:val="00445679"/>
    <w:rsid w:val="004458F4"/>
    <w:rsid w:val="00447D1F"/>
    <w:rsid w:val="00447E7E"/>
    <w:rsid w:val="0045012D"/>
    <w:rsid w:val="00450E25"/>
    <w:rsid w:val="00451320"/>
    <w:rsid w:val="00451ECB"/>
    <w:rsid w:val="00453406"/>
    <w:rsid w:val="004546FA"/>
    <w:rsid w:val="004549BA"/>
    <w:rsid w:val="0045542D"/>
    <w:rsid w:val="00455CB9"/>
    <w:rsid w:val="00455DA3"/>
    <w:rsid w:val="004573E1"/>
    <w:rsid w:val="00460E58"/>
    <w:rsid w:val="00460F66"/>
    <w:rsid w:val="004612C6"/>
    <w:rsid w:val="0046161F"/>
    <w:rsid w:val="004619DA"/>
    <w:rsid w:val="004620A7"/>
    <w:rsid w:val="00462B45"/>
    <w:rsid w:val="00462C04"/>
    <w:rsid w:val="00463233"/>
    <w:rsid w:val="00463C13"/>
    <w:rsid w:val="00465234"/>
    <w:rsid w:val="0046549B"/>
    <w:rsid w:val="004655A5"/>
    <w:rsid w:val="00466721"/>
    <w:rsid w:val="00467F02"/>
    <w:rsid w:val="00470F4E"/>
    <w:rsid w:val="00471A92"/>
    <w:rsid w:val="00471C6C"/>
    <w:rsid w:val="00474227"/>
    <w:rsid w:val="00476849"/>
    <w:rsid w:val="00477F6D"/>
    <w:rsid w:val="004816FC"/>
    <w:rsid w:val="00482740"/>
    <w:rsid w:val="00482D97"/>
    <w:rsid w:val="00483908"/>
    <w:rsid w:val="00483EE9"/>
    <w:rsid w:val="00483F1A"/>
    <w:rsid w:val="00486AFD"/>
    <w:rsid w:val="004873A8"/>
    <w:rsid w:val="0049022A"/>
    <w:rsid w:val="00490712"/>
    <w:rsid w:val="004934A4"/>
    <w:rsid w:val="00494136"/>
    <w:rsid w:val="0049693D"/>
    <w:rsid w:val="00496A0B"/>
    <w:rsid w:val="0049718D"/>
    <w:rsid w:val="004972D4"/>
    <w:rsid w:val="004A0B6A"/>
    <w:rsid w:val="004A1301"/>
    <w:rsid w:val="004A32F3"/>
    <w:rsid w:val="004A3312"/>
    <w:rsid w:val="004A3C51"/>
    <w:rsid w:val="004A4243"/>
    <w:rsid w:val="004B096F"/>
    <w:rsid w:val="004B11DE"/>
    <w:rsid w:val="004B2ED9"/>
    <w:rsid w:val="004B4D8A"/>
    <w:rsid w:val="004B5B4A"/>
    <w:rsid w:val="004B6D19"/>
    <w:rsid w:val="004B7485"/>
    <w:rsid w:val="004C0336"/>
    <w:rsid w:val="004C050B"/>
    <w:rsid w:val="004C1176"/>
    <w:rsid w:val="004C330D"/>
    <w:rsid w:val="004C3EDB"/>
    <w:rsid w:val="004C3F9A"/>
    <w:rsid w:val="004C5536"/>
    <w:rsid w:val="004C6665"/>
    <w:rsid w:val="004C6C3B"/>
    <w:rsid w:val="004C7476"/>
    <w:rsid w:val="004D0019"/>
    <w:rsid w:val="004D2170"/>
    <w:rsid w:val="004D23EF"/>
    <w:rsid w:val="004D27FD"/>
    <w:rsid w:val="004D2881"/>
    <w:rsid w:val="004D37DE"/>
    <w:rsid w:val="004D3CBF"/>
    <w:rsid w:val="004D5142"/>
    <w:rsid w:val="004D623C"/>
    <w:rsid w:val="004D6892"/>
    <w:rsid w:val="004E044B"/>
    <w:rsid w:val="004E0554"/>
    <w:rsid w:val="004E1927"/>
    <w:rsid w:val="004E2259"/>
    <w:rsid w:val="004E24F2"/>
    <w:rsid w:val="004E2D95"/>
    <w:rsid w:val="004E2E63"/>
    <w:rsid w:val="004E400F"/>
    <w:rsid w:val="004E49A5"/>
    <w:rsid w:val="004E49CC"/>
    <w:rsid w:val="004E6C2C"/>
    <w:rsid w:val="004E76FF"/>
    <w:rsid w:val="004E7C2C"/>
    <w:rsid w:val="004F07BB"/>
    <w:rsid w:val="004F08C4"/>
    <w:rsid w:val="004F0F39"/>
    <w:rsid w:val="004F1B60"/>
    <w:rsid w:val="004F3B67"/>
    <w:rsid w:val="004F4155"/>
    <w:rsid w:val="004F41AC"/>
    <w:rsid w:val="004F4314"/>
    <w:rsid w:val="004F49C8"/>
    <w:rsid w:val="004F5192"/>
    <w:rsid w:val="004F5453"/>
    <w:rsid w:val="004F67C3"/>
    <w:rsid w:val="004F6F7C"/>
    <w:rsid w:val="004F797F"/>
    <w:rsid w:val="0050029B"/>
    <w:rsid w:val="00500A3B"/>
    <w:rsid w:val="00500ED4"/>
    <w:rsid w:val="00501471"/>
    <w:rsid w:val="0050203D"/>
    <w:rsid w:val="005025FD"/>
    <w:rsid w:val="00504051"/>
    <w:rsid w:val="0050412C"/>
    <w:rsid w:val="00504931"/>
    <w:rsid w:val="0050541C"/>
    <w:rsid w:val="00505677"/>
    <w:rsid w:val="00505687"/>
    <w:rsid w:val="00505DD2"/>
    <w:rsid w:val="005062EE"/>
    <w:rsid w:val="005103C4"/>
    <w:rsid w:val="00510839"/>
    <w:rsid w:val="00511AFC"/>
    <w:rsid w:val="005122FE"/>
    <w:rsid w:val="005122FF"/>
    <w:rsid w:val="00513206"/>
    <w:rsid w:val="00513DC3"/>
    <w:rsid w:val="00513DE3"/>
    <w:rsid w:val="00514AF7"/>
    <w:rsid w:val="00515D0E"/>
    <w:rsid w:val="00516171"/>
    <w:rsid w:val="005161EB"/>
    <w:rsid w:val="00516486"/>
    <w:rsid w:val="00517F0C"/>
    <w:rsid w:val="00520253"/>
    <w:rsid w:val="0052392E"/>
    <w:rsid w:val="0052479B"/>
    <w:rsid w:val="005261C5"/>
    <w:rsid w:val="005304C4"/>
    <w:rsid w:val="00532007"/>
    <w:rsid w:val="005322C6"/>
    <w:rsid w:val="00533018"/>
    <w:rsid w:val="00533480"/>
    <w:rsid w:val="00534539"/>
    <w:rsid w:val="00534793"/>
    <w:rsid w:val="00537768"/>
    <w:rsid w:val="0054107C"/>
    <w:rsid w:val="005417D8"/>
    <w:rsid w:val="005417DA"/>
    <w:rsid w:val="005421DD"/>
    <w:rsid w:val="005430D7"/>
    <w:rsid w:val="005432B3"/>
    <w:rsid w:val="005433B7"/>
    <w:rsid w:val="00546D82"/>
    <w:rsid w:val="00550B71"/>
    <w:rsid w:val="00550D3E"/>
    <w:rsid w:val="00550E51"/>
    <w:rsid w:val="00552406"/>
    <w:rsid w:val="0055346B"/>
    <w:rsid w:val="00553A5A"/>
    <w:rsid w:val="00556376"/>
    <w:rsid w:val="00557C33"/>
    <w:rsid w:val="005604A0"/>
    <w:rsid w:val="0056052C"/>
    <w:rsid w:val="00561624"/>
    <w:rsid w:val="0056309E"/>
    <w:rsid w:val="00564849"/>
    <w:rsid w:val="00564D73"/>
    <w:rsid w:val="0056567A"/>
    <w:rsid w:val="00566047"/>
    <w:rsid w:val="00566150"/>
    <w:rsid w:val="005672BF"/>
    <w:rsid w:val="00567B1E"/>
    <w:rsid w:val="00570442"/>
    <w:rsid w:val="005709AB"/>
    <w:rsid w:val="00570DB3"/>
    <w:rsid w:val="00571D15"/>
    <w:rsid w:val="00571EA4"/>
    <w:rsid w:val="005725AF"/>
    <w:rsid w:val="005735C0"/>
    <w:rsid w:val="0057447C"/>
    <w:rsid w:val="005747EC"/>
    <w:rsid w:val="005749F4"/>
    <w:rsid w:val="00575892"/>
    <w:rsid w:val="00575CEC"/>
    <w:rsid w:val="00576EE5"/>
    <w:rsid w:val="00577A90"/>
    <w:rsid w:val="00580A30"/>
    <w:rsid w:val="00581A11"/>
    <w:rsid w:val="00582583"/>
    <w:rsid w:val="005830C6"/>
    <w:rsid w:val="00583654"/>
    <w:rsid w:val="00586A8B"/>
    <w:rsid w:val="00587639"/>
    <w:rsid w:val="00587D84"/>
    <w:rsid w:val="005907E9"/>
    <w:rsid w:val="00590C06"/>
    <w:rsid w:val="0059240A"/>
    <w:rsid w:val="0059256B"/>
    <w:rsid w:val="00592B3B"/>
    <w:rsid w:val="00593A4D"/>
    <w:rsid w:val="00596E6C"/>
    <w:rsid w:val="00596E82"/>
    <w:rsid w:val="00596F7D"/>
    <w:rsid w:val="00597248"/>
    <w:rsid w:val="0059789B"/>
    <w:rsid w:val="00597D69"/>
    <w:rsid w:val="005A3630"/>
    <w:rsid w:val="005A39F3"/>
    <w:rsid w:val="005A3B54"/>
    <w:rsid w:val="005A3C7F"/>
    <w:rsid w:val="005A49EC"/>
    <w:rsid w:val="005A4A5C"/>
    <w:rsid w:val="005A4FA7"/>
    <w:rsid w:val="005A5072"/>
    <w:rsid w:val="005A5084"/>
    <w:rsid w:val="005A61FA"/>
    <w:rsid w:val="005A69C6"/>
    <w:rsid w:val="005B00C9"/>
    <w:rsid w:val="005B07DD"/>
    <w:rsid w:val="005B202D"/>
    <w:rsid w:val="005B39B5"/>
    <w:rsid w:val="005B40DF"/>
    <w:rsid w:val="005B6303"/>
    <w:rsid w:val="005B6CD6"/>
    <w:rsid w:val="005B7062"/>
    <w:rsid w:val="005C04FE"/>
    <w:rsid w:val="005C24D4"/>
    <w:rsid w:val="005C2D58"/>
    <w:rsid w:val="005C2D91"/>
    <w:rsid w:val="005C349F"/>
    <w:rsid w:val="005C4E9D"/>
    <w:rsid w:val="005C57FC"/>
    <w:rsid w:val="005C648F"/>
    <w:rsid w:val="005C7272"/>
    <w:rsid w:val="005C72B8"/>
    <w:rsid w:val="005C7A6C"/>
    <w:rsid w:val="005D03E6"/>
    <w:rsid w:val="005D17AD"/>
    <w:rsid w:val="005D1EC8"/>
    <w:rsid w:val="005D29D0"/>
    <w:rsid w:val="005D5855"/>
    <w:rsid w:val="005D58AB"/>
    <w:rsid w:val="005D61A3"/>
    <w:rsid w:val="005D6370"/>
    <w:rsid w:val="005D734D"/>
    <w:rsid w:val="005D7804"/>
    <w:rsid w:val="005E1723"/>
    <w:rsid w:val="005E198E"/>
    <w:rsid w:val="005E260F"/>
    <w:rsid w:val="005E3188"/>
    <w:rsid w:val="005E37C0"/>
    <w:rsid w:val="005E635F"/>
    <w:rsid w:val="005E6C8E"/>
    <w:rsid w:val="005E7448"/>
    <w:rsid w:val="005F062D"/>
    <w:rsid w:val="005F098C"/>
    <w:rsid w:val="005F11C3"/>
    <w:rsid w:val="005F17C4"/>
    <w:rsid w:val="005F2997"/>
    <w:rsid w:val="005F3E81"/>
    <w:rsid w:val="005F49BA"/>
    <w:rsid w:val="005F4C58"/>
    <w:rsid w:val="005F4DBC"/>
    <w:rsid w:val="005F51D1"/>
    <w:rsid w:val="005F53A4"/>
    <w:rsid w:val="005F5563"/>
    <w:rsid w:val="005F574A"/>
    <w:rsid w:val="005F5C25"/>
    <w:rsid w:val="00600A05"/>
    <w:rsid w:val="00601397"/>
    <w:rsid w:val="006022A6"/>
    <w:rsid w:val="006024BF"/>
    <w:rsid w:val="006043E5"/>
    <w:rsid w:val="00604458"/>
    <w:rsid w:val="0060448F"/>
    <w:rsid w:val="00604715"/>
    <w:rsid w:val="00604A56"/>
    <w:rsid w:val="00604E9D"/>
    <w:rsid w:val="00604FC9"/>
    <w:rsid w:val="0060515A"/>
    <w:rsid w:val="00606283"/>
    <w:rsid w:val="006071C8"/>
    <w:rsid w:val="006074CF"/>
    <w:rsid w:val="006103FA"/>
    <w:rsid w:val="006106E9"/>
    <w:rsid w:val="006109A3"/>
    <w:rsid w:val="00612A55"/>
    <w:rsid w:val="00612B90"/>
    <w:rsid w:val="00612DEA"/>
    <w:rsid w:val="0061343A"/>
    <w:rsid w:val="006146DB"/>
    <w:rsid w:val="006153FD"/>
    <w:rsid w:val="00620D79"/>
    <w:rsid w:val="00622969"/>
    <w:rsid w:val="00622ECB"/>
    <w:rsid w:val="00622F0C"/>
    <w:rsid w:val="00623846"/>
    <w:rsid w:val="006243C0"/>
    <w:rsid w:val="0062465F"/>
    <w:rsid w:val="00624EA7"/>
    <w:rsid w:val="006250A8"/>
    <w:rsid w:val="00625242"/>
    <w:rsid w:val="0062543D"/>
    <w:rsid w:val="00625956"/>
    <w:rsid w:val="00626085"/>
    <w:rsid w:val="00626F0F"/>
    <w:rsid w:val="00627C68"/>
    <w:rsid w:val="0063207E"/>
    <w:rsid w:val="00632B2E"/>
    <w:rsid w:val="00632E74"/>
    <w:rsid w:val="006344C0"/>
    <w:rsid w:val="00634C78"/>
    <w:rsid w:val="00635C16"/>
    <w:rsid w:val="006372C4"/>
    <w:rsid w:val="00637692"/>
    <w:rsid w:val="00637D35"/>
    <w:rsid w:val="00637E01"/>
    <w:rsid w:val="006401E4"/>
    <w:rsid w:val="006403B6"/>
    <w:rsid w:val="00640E28"/>
    <w:rsid w:val="006419B2"/>
    <w:rsid w:val="00642143"/>
    <w:rsid w:val="0064218E"/>
    <w:rsid w:val="00642B5E"/>
    <w:rsid w:val="006442A2"/>
    <w:rsid w:val="00644B54"/>
    <w:rsid w:val="0064569E"/>
    <w:rsid w:val="006470D6"/>
    <w:rsid w:val="006472CF"/>
    <w:rsid w:val="0064760C"/>
    <w:rsid w:val="00647C5F"/>
    <w:rsid w:val="00647C69"/>
    <w:rsid w:val="006505DE"/>
    <w:rsid w:val="006531B6"/>
    <w:rsid w:val="0065332F"/>
    <w:rsid w:val="006551FC"/>
    <w:rsid w:val="00655F78"/>
    <w:rsid w:val="006578F9"/>
    <w:rsid w:val="00657D59"/>
    <w:rsid w:val="006614BE"/>
    <w:rsid w:val="00662413"/>
    <w:rsid w:val="00662844"/>
    <w:rsid w:val="00662D4C"/>
    <w:rsid w:val="00663CCB"/>
    <w:rsid w:val="00664579"/>
    <w:rsid w:val="006653C3"/>
    <w:rsid w:val="00666980"/>
    <w:rsid w:val="006727FF"/>
    <w:rsid w:val="00673071"/>
    <w:rsid w:val="00673AE9"/>
    <w:rsid w:val="00676313"/>
    <w:rsid w:val="00677B4C"/>
    <w:rsid w:val="00681FDD"/>
    <w:rsid w:val="006828F3"/>
    <w:rsid w:val="00683357"/>
    <w:rsid w:val="00683FD9"/>
    <w:rsid w:val="00684726"/>
    <w:rsid w:val="006849E2"/>
    <w:rsid w:val="00686AC6"/>
    <w:rsid w:val="00687AA6"/>
    <w:rsid w:val="00687D2B"/>
    <w:rsid w:val="00687FEA"/>
    <w:rsid w:val="00691C59"/>
    <w:rsid w:val="00692152"/>
    <w:rsid w:val="00692196"/>
    <w:rsid w:val="00692DE9"/>
    <w:rsid w:val="006952E7"/>
    <w:rsid w:val="0069542A"/>
    <w:rsid w:val="006963B8"/>
    <w:rsid w:val="00696E26"/>
    <w:rsid w:val="006970A1"/>
    <w:rsid w:val="00697261"/>
    <w:rsid w:val="006A00AD"/>
    <w:rsid w:val="006A11B6"/>
    <w:rsid w:val="006A18BB"/>
    <w:rsid w:val="006A18D0"/>
    <w:rsid w:val="006A2CED"/>
    <w:rsid w:val="006A319E"/>
    <w:rsid w:val="006A3A05"/>
    <w:rsid w:val="006A3EFD"/>
    <w:rsid w:val="006A426B"/>
    <w:rsid w:val="006A500E"/>
    <w:rsid w:val="006A6904"/>
    <w:rsid w:val="006A6C82"/>
    <w:rsid w:val="006B1FF8"/>
    <w:rsid w:val="006B22FB"/>
    <w:rsid w:val="006B27B4"/>
    <w:rsid w:val="006B292D"/>
    <w:rsid w:val="006B329E"/>
    <w:rsid w:val="006B384B"/>
    <w:rsid w:val="006B3A30"/>
    <w:rsid w:val="006B40A6"/>
    <w:rsid w:val="006B40E9"/>
    <w:rsid w:val="006B413F"/>
    <w:rsid w:val="006B4D15"/>
    <w:rsid w:val="006B5BE4"/>
    <w:rsid w:val="006B647D"/>
    <w:rsid w:val="006B68A9"/>
    <w:rsid w:val="006B75B0"/>
    <w:rsid w:val="006C183D"/>
    <w:rsid w:val="006C2607"/>
    <w:rsid w:val="006C3921"/>
    <w:rsid w:val="006C3F4A"/>
    <w:rsid w:val="006C41F9"/>
    <w:rsid w:val="006C4E38"/>
    <w:rsid w:val="006C4F7D"/>
    <w:rsid w:val="006C5106"/>
    <w:rsid w:val="006C5DD5"/>
    <w:rsid w:val="006C5FB7"/>
    <w:rsid w:val="006C6627"/>
    <w:rsid w:val="006D0619"/>
    <w:rsid w:val="006D19CC"/>
    <w:rsid w:val="006D1C0B"/>
    <w:rsid w:val="006D2B07"/>
    <w:rsid w:val="006D3295"/>
    <w:rsid w:val="006D37E9"/>
    <w:rsid w:val="006D3EE1"/>
    <w:rsid w:val="006D46E7"/>
    <w:rsid w:val="006D46F3"/>
    <w:rsid w:val="006D512D"/>
    <w:rsid w:val="006D5610"/>
    <w:rsid w:val="006D7080"/>
    <w:rsid w:val="006D77EB"/>
    <w:rsid w:val="006D7BE2"/>
    <w:rsid w:val="006E0281"/>
    <w:rsid w:val="006E0944"/>
    <w:rsid w:val="006E13AF"/>
    <w:rsid w:val="006E17C5"/>
    <w:rsid w:val="006E2A9C"/>
    <w:rsid w:val="006E3758"/>
    <w:rsid w:val="006E4A76"/>
    <w:rsid w:val="006E7004"/>
    <w:rsid w:val="006F086C"/>
    <w:rsid w:val="006F0897"/>
    <w:rsid w:val="006F1391"/>
    <w:rsid w:val="006F1576"/>
    <w:rsid w:val="006F15FD"/>
    <w:rsid w:val="006F1D8E"/>
    <w:rsid w:val="006F2EB4"/>
    <w:rsid w:val="006F3F62"/>
    <w:rsid w:val="006F4091"/>
    <w:rsid w:val="006F4720"/>
    <w:rsid w:val="006F49BD"/>
    <w:rsid w:val="006F4ECA"/>
    <w:rsid w:val="006F5D80"/>
    <w:rsid w:val="006F6443"/>
    <w:rsid w:val="006F66E4"/>
    <w:rsid w:val="006F6EC6"/>
    <w:rsid w:val="006F7209"/>
    <w:rsid w:val="007025EA"/>
    <w:rsid w:val="00702E74"/>
    <w:rsid w:val="00702F4E"/>
    <w:rsid w:val="00704070"/>
    <w:rsid w:val="00705C58"/>
    <w:rsid w:val="00705F36"/>
    <w:rsid w:val="00706D60"/>
    <w:rsid w:val="007105CB"/>
    <w:rsid w:val="0071072B"/>
    <w:rsid w:val="007134AB"/>
    <w:rsid w:val="0071370C"/>
    <w:rsid w:val="007145C9"/>
    <w:rsid w:val="00715AB7"/>
    <w:rsid w:val="00717297"/>
    <w:rsid w:val="00717CD8"/>
    <w:rsid w:val="0072060B"/>
    <w:rsid w:val="0072127D"/>
    <w:rsid w:val="00721F52"/>
    <w:rsid w:val="00722B7D"/>
    <w:rsid w:val="00724305"/>
    <w:rsid w:val="00724564"/>
    <w:rsid w:val="00724B9C"/>
    <w:rsid w:val="00725F9A"/>
    <w:rsid w:val="0072625B"/>
    <w:rsid w:val="007266A0"/>
    <w:rsid w:val="0072796C"/>
    <w:rsid w:val="00727F72"/>
    <w:rsid w:val="007301EB"/>
    <w:rsid w:val="007302F2"/>
    <w:rsid w:val="00730BFA"/>
    <w:rsid w:val="00732C83"/>
    <w:rsid w:val="00732F17"/>
    <w:rsid w:val="007344E5"/>
    <w:rsid w:val="0073453A"/>
    <w:rsid w:val="0073491E"/>
    <w:rsid w:val="00735316"/>
    <w:rsid w:val="00735A86"/>
    <w:rsid w:val="00735C0B"/>
    <w:rsid w:val="00736179"/>
    <w:rsid w:val="0073664D"/>
    <w:rsid w:val="00737BB0"/>
    <w:rsid w:val="00737C2D"/>
    <w:rsid w:val="00737D91"/>
    <w:rsid w:val="0074089C"/>
    <w:rsid w:val="007411F2"/>
    <w:rsid w:val="007419E5"/>
    <w:rsid w:val="00741FF2"/>
    <w:rsid w:val="00742A99"/>
    <w:rsid w:val="00743939"/>
    <w:rsid w:val="00743DD6"/>
    <w:rsid w:val="007444DA"/>
    <w:rsid w:val="00744711"/>
    <w:rsid w:val="0074586E"/>
    <w:rsid w:val="00746B6C"/>
    <w:rsid w:val="00746BFD"/>
    <w:rsid w:val="00747831"/>
    <w:rsid w:val="00747AE9"/>
    <w:rsid w:val="007508C4"/>
    <w:rsid w:val="00750AD7"/>
    <w:rsid w:val="007511B5"/>
    <w:rsid w:val="00751A0C"/>
    <w:rsid w:val="00751B6C"/>
    <w:rsid w:val="0075292D"/>
    <w:rsid w:val="00753240"/>
    <w:rsid w:val="00753A66"/>
    <w:rsid w:val="00753BCD"/>
    <w:rsid w:val="00753EB5"/>
    <w:rsid w:val="00754BCA"/>
    <w:rsid w:val="00756FF1"/>
    <w:rsid w:val="007579CD"/>
    <w:rsid w:val="00757B04"/>
    <w:rsid w:val="00760190"/>
    <w:rsid w:val="0076065C"/>
    <w:rsid w:val="00760709"/>
    <w:rsid w:val="007610D0"/>
    <w:rsid w:val="00761880"/>
    <w:rsid w:val="00761D37"/>
    <w:rsid w:val="00762304"/>
    <w:rsid w:val="007626C3"/>
    <w:rsid w:val="00762A0C"/>
    <w:rsid w:val="007638B9"/>
    <w:rsid w:val="00763F53"/>
    <w:rsid w:val="00764681"/>
    <w:rsid w:val="00766549"/>
    <w:rsid w:val="007669CF"/>
    <w:rsid w:val="00766F73"/>
    <w:rsid w:val="00767559"/>
    <w:rsid w:val="00771070"/>
    <w:rsid w:val="00771499"/>
    <w:rsid w:val="007717AE"/>
    <w:rsid w:val="00771F87"/>
    <w:rsid w:val="0077233A"/>
    <w:rsid w:val="00773D50"/>
    <w:rsid w:val="00775954"/>
    <w:rsid w:val="00776303"/>
    <w:rsid w:val="00777922"/>
    <w:rsid w:val="00777E99"/>
    <w:rsid w:val="00780533"/>
    <w:rsid w:val="007811AC"/>
    <w:rsid w:val="007819F2"/>
    <w:rsid w:val="00781F55"/>
    <w:rsid w:val="007825EB"/>
    <w:rsid w:val="0078330E"/>
    <w:rsid w:val="007834D2"/>
    <w:rsid w:val="0078459C"/>
    <w:rsid w:val="00786027"/>
    <w:rsid w:val="00786D3F"/>
    <w:rsid w:val="00786E1C"/>
    <w:rsid w:val="00792AD6"/>
    <w:rsid w:val="00792F17"/>
    <w:rsid w:val="007938D1"/>
    <w:rsid w:val="00793FE8"/>
    <w:rsid w:val="00794E5D"/>
    <w:rsid w:val="00794F86"/>
    <w:rsid w:val="0079564E"/>
    <w:rsid w:val="007962CA"/>
    <w:rsid w:val="00796357"/>
    <w:rsid w:val="00796B0C"/>
    <w:rsid w:val="00797F7B"/>
    <w:rsid w:val="007A1173"/>
    <w:rsid w:val="007A14BE"/>
    <w:rsid w:val="007A20FD"/>
    <w:rsid w:val="007A31D3"/>
    <w:rsid w:val="007A3831"/>
    <w:rsid w:val="007A3AAD"/>
    <w:rsid w:val="007A488A"/>
    <w:rsid w:val="007A4B59"/>
    <w:rsid w:val="007A6268"/>
    <w:rsid w:val="007A6567"/>
    <w:rsid w:val="007A65AC"/>
    <w:rsid w:val="007A65EA"/>
    <w:rsid w:val="007A7210"/>
    <w:rsid w:val="007A7215"/>
    <w:rsid w:val="007A72EF"/>
    <w:rsid w:val="007A7A8A"/>
    <w:rsid w:val="007A7D63"/>
    <w:rsid w:val="007B0B85"/>
    <w:rsid w:val="007B19D9"/>
    <w:rsid w:val="007B220C"/>
    <w:rsid w:val="007B2B3B"/>
    <w:rsid w:val="007B604B"/>
    <w:rsid w:val="007B608B"/>
    <w:rsid w:val="007B7FD4"/>
    <w:rsid w:val="007C1C58"/>
    <w:rsid w:val="007C2C2F"/>
    <w:rsid w:val="007C2CCA"/>
    <w:rsid w:val="007C32EA"/>
    <w:rsid w:val="007C350E"/>
    <w:rsid w:val="007C479B"/>
    <w:rsid w:val="007D0448"/>
    <w:rsid w:val="007D0857"/>
    <w:rsid w:val="007D0F37"/>
    <w:rsid w:val="007D10E2"/>
    <w:rsid w:val="007D1659"/>
    <w:rsid w:val="007D22D7"/>
    <w:rsid w:val="007D4D37"/>
    <w:rsid w:val="007D53D3"/>
    <w:rsid w:val="007D5659"/>
    <w:rsid w:val="007D5999"/>
    <w:rsid w:val="007D718E"/>
    <w:rsid w:val="007E0EBA"/>
    <w:rsid w:val="007E3EF4"/>
    <w:rsid w:val="007E630B"/>
    <w:rsid w:val="007E6784"/>
    <w:rsid w:val="007E695C"/>
    <w:rsid w:val="007E76EA"/>
    <w:rsid w:val="007E7C39"/>
    <w:rsid w:val="007E7EC3"/>
    <w:rsid w:val="007F0E18"/>
    <w:rsid w:val="007F0E6F"/>
    <w:rsid w:val="007F1231"/>
    <w:rsid w:val="007F1A3F"/>
    <w:rsid w:val="007F2B17"/>
    <w:rsid w:val="007F4369"/>
    <w:rsid w:val="007F437F"/>
    <w:rsid w:val="007F47D1"/>
    <w:rsid w:val="007F4A38"/>
    <w:rsid w:val="007F564D"/>
    <w:rsid w:val="007F5691"/>
    <w:rsid w:val="007F7F4B"/>
    <w:rsid w:val="00800446"/>
    <w:rsid w:val="00800957"/>
    <w:rsid w:val="00801E82"/>
    <w:rsid w:val="0080200C"/>
    <w:rsid w:val="00802913"/>
    <w:rsid w:val="00802C9B"/>
    <w:rsid w:val="00804775"/>
    <w:rsid w:val="00804C43"/>
    <w:rsid w:val="0080555D"/>
    <w:rsid w:val="00805BD7"/>
    <w:rsid w:val="008060A7"/>
    <w:rsid w:val="00806732"/>
    <w:rsid w:val="00806863"/>
    <w:rsid w:val="0081256D"/>
    <w:rsid w:val="0081300C"/>
    <w:rsid w:val="00814F1E"/>
    <w:rsid w:val="00815F74"/>
    <w:rsid w:val="0081775F"/>
    <w:rsid w:val="0082041C"/>
    <w:rsid w:val="008206AB"/>
    <w:rsid w:val="00822493"/>
    <w:rsid w:val="008240C8"/>
    <w:rsid w:val="008245B8"/>
    <w:rsid w:val="00825999"/>
    <w:rsid w:val="00825AD8"/>
    <w:rsid w:val="00825C82"/>
    <w:rsid w:val="0082610C"/>
    <w:rsid w:val="00827018"/>
    <w:rsid w:val="0082719A"/>
    <w:rsid w:val="0082776C"/>
    <w:rsid w:val="0083074C"/>
    <w:rsid w:val="0083162D"/>
    <w:rsid w:val="00832549"/>
    <w:rsid w:val="00832DC2"/>
    <w:rsid w:val="008333AB"/>
    <w:rsid w:val="00833570"/>
    <w:rsid w:val="008339E9"/>
    <w:rsid w:val="0083482D"/>
    <w:rsid w:val="00834B35"/>
    <w:rsid w:val="008350B9"/>
    <w:rsid w:val="0083534C"/>
    <w:rsid w:val="00835453"/>
    <w:rsid w:val="00835CC5"/>
    <w:rsid w:val="008363E4"/>
    <w:rsid w:val="00836761"/>
    <w:rsid w:val="00837306"/>
    <w:rsid w:val="008402D0"/>
    <w:rsid w:val="008432A1"/>
    <w:rsid w:val="0084368B"/>
    <w:rsid w:val="00843DAF"/>
    <w:rsid w:val="00845DDE"/>
    <w:rsid w:val="008469DA"/>
    <w:rsid w:val="008473D9"/>
    <w:rsid w:val="00847648"/>
    <w:rsid w:val="00847BD9"/>
    <w:rsid w:val="00850E64"/>
    <w:rsid w:val="0085116C"/>
    <w:rsid w:val="00853557"/>
    <w:rsid w:val="008571B6"/>
    <w:rsid w:val="008573E7"/>
    <w:rsid w:val="00857E96"/>
    <w:rsid w:val="00861445"/>
    <w:rsid w:val="0086156C"/>
    <w:rsid w:val="00861603"/>
    <w:rsid w:val="00861A47"/>
    <w:rsid w:val="00862C1C"/>
    <w:rsid w:val="00863F66"/>
    <w:rsid w:val="0086597A"/>
    <w:rsid w:val="00865FE2"/>
    <w:rsid w:val="00866E47"/>
    <w:rsid w:val="00866E6C"/>
    <w:rsid w:val="00867418"/>
    <w:rsid w:val="0087486B"/>
    <w:rsid w:val="008758CA"/>
    <w:rsid w:val="00876552"/>
    <w:rsid w:val="008766AF"/>
    <w:rsid w:val="008768AE"/>
    <w:rsid w:val="00876D96"/>
    <w:rsid w:val="00876F91"/>
    <w:rsid w:val="00877F21"/>
    <w:rsid w:val="00880F4E"/>
    <w:rsid w:val="008822E5"/>
    <w:rsid w:val="00882582"/>
    <w:rsid w:val="008825FF"/>
    <w:rsid w:val="00882FDA"/>
    <w:rsid w:val="008836AC"/>
    <w:rsid w:val="00883AD7"/>
    <w:rsid w:val="00884ECB"/>
    <w:rsid w:val="00885029"/>
    <w:rsid w:val="008855B0"/>
    <w:rsid w:val="00885CB9"/>
    <w:rsid w:val="008867F7"/>
    <w:rsid w:val="0088747B"/>
    <w:rsid w:val="00890FD8"/>
    <w:rsid w:val="00891925"/>
    <w:rsid w:val="008922F1"/>
    <w:rsid w:val="008943DD"/>
    <w:rsid w:val="0089453A"/>
    <w:rsid w:val="00894BAC"/>
    <w:rsid w:val="008958D1"/>
    <w:rsid w:val="00896B76"/>
    <w:rsid w:val="00897887"/>
    <w:rsid w:val="008A00DE"/>
    <w:rsid w:val="008A03D3"/>
    <w:rsid w:val="008A0CD9"/>
    <w:rsid w:val="008A13F6"/>
    <w:rsid w:val="008A1E3C"/>
    <w:rsid w:val="008A3509"/>
    <w:rsid w:val="008A4776"/>
    <w:rsid w:val="008A494E"/>
    <w:rsid w:val="008A596E"/>
    <w:rsid w:val="008A66E2"/>
    <w:rsid w:val="008A713D"/>
    <w:rsid w:val="008A7E53"/>
    <w:rsid w:val="008B0018"/>
    <w:rsid w:val="008B1707"/>
    <w:rsid w:val="008B2495"/>
    <w:rsid w:val="008B29C5"/>
    <w:rsid w:val="008B2F88"/>
    <w:rsid w:val="008B3936"/>
    <w:rsid w:val="008B3C21"/>
    <w:rsid w:val="008B3D48"/>
    <w:rsid w:val="008B40F1"/>
    <w:rsid w:val="008B4257"/>
    <w:rsid w:val="008B5DD0"/>
    <w:rsid w:val="008B5F78"/>
    <w:rsid w:val="008B7011"/>
    <w:rsid w:val="008B77B3"/>
    <w:rsid w:val="008B7F5F"/>
    <w:rsid w:val="008C034D"/>
    <w:rsid w:val="008C0F67"/>
    <w:rsid w:val="008C1C91"/>
    <w:rsid w:val="008C236A"/>
    <w:rsid w:val="008C361B"/>
    <w:rsid w:val="008C375B"/>
    <w:rsid w:val="008C37EB"/>
    <w:rsid w:val="008C4820"/>
    <w:rsid w:val="008C490F"/>
    <w:rsid w:val="008C4D05"/>
    <w:rsid w:val="008C549A"/>
    <w:rsid w:val="008C566B"/>
    <w:rsid w:val="008C6592"/>
    <w:rsid w:val="008D01DF"/>
    <w:rsid w:val="008D1B8A"/>
    <w:rsid w:val="008D32AC"/>
    <w:rsid w:val="008D441C"/>
    <w:rsid w:val="008D474B"/>
    <w:rsid w:val="008D55CF"/>
    <w:rsid w:val="008D5D8C"/>
    <w:rsid w:val="008D6233"/>
    <w:rsid w:val="008D6554"/>
    <w:rsid w:val="008E05B2"/>
    <w:rsid w:val="008E0797"/>
    <w:rsid w:val="008E177A"/>
    <w:rsid w:val="008E1857"/>
    <w:rsid w:val="008E23A8"/>
    <w:rsid w:val="008E2649"/>
    <w:rsid w:val="008E28C2"/>
    <w:rsid w:val="008E2B8F"/>
    <w:rsid w:val="008E2F3C"/>
    <w:rsid w:val="008E30F9"/>
    <w:rsid w:val="008E471B"/>
    <w:rsid w:val="008E6756"/>
    <w:rsid w:val="008E68D9"/>
    <w:rsid w:val="008F11B2"/>
    <w:rsid w:val="008F14CC"/>
    <w:rsid w:val="008F17D1"/>
    <w:rsid w:val="008F1E4E"/>
    <w:rsid w:val="008F2494"/>
    <w:rsid w:val="008F2EEB"/>
    <w:rsid w:val="008F2F20"/>
    <w:rsid w:val="008F433F"/>
    <w:rsid w:val="008F519B"/>
    <w:rsid w:val="008F55A2"/>
    <w:rsid w:val="008F5ACC"/>
    <w:rsid w:val="008F5D1A"/>
    <w:rsid w:val="008F62F6"/>
    <w:rsid w:val="008F66A3"/>
    <w:rsid w:val="008F696B"/>
    <w:rsid w:val="008F69C2"/>
    <w:rsid w:val="00900191"/>
    <w:rsid w:val="00902612"/>
    <w:rsid w:val="00902999"/>
    <w:rsid w:val="00905EF4"/>
    <w:rsid w:val="009061E0"/>
    <w:rsid w:val="0090687F"/>
    <w:rsid w:val="009107A2"/>
    <w:rsid w:val="00911BB8"/>
    <w:rsid w:val="009126ED"/>
    <w:rsid w:val="00914739"/>
    <w:rsid w:val="009147EC"/>
    <w:rsid w:val="00914D80"/>
    <w:rsid w:val="00914DB1"/>
    <w:rsid w:val="00915054"/>
    <w:rsid w:val="00915542"/>
    <w:rsid w:val="00916B01"/>
    <w:rsid w:val="00917392"/>
    <w:rsid w:val="00921C73"/>
    <w:rsid w:val="00922E9A"/>
    <w:rsid w:val="009234EC"/>
    <w:rsid w:val="00923A55"/>
    <w:rsid w:val="0092423F"/>
    <w:rsid w:val="009242B6"/>
    <w:rsid w:val="00924BDD"/>
    <w:rsid w:val="009260F9"/>
    <w:rsid w:val="00926DAD"/>
    <w:rsid w:val="009278A5"/>
    <w:rsid w:val="009308DB"/>
    <w:rsid w:val="00931306"/>
    <w:rsid w:val="0093130F"/>
    <w:rsid w:val="009313D8"/>
    <w:rsid w:val="0093288D"/>
    <w:rsid w:val="009335BF"/>
    <w:rsid w:val="009336E1"/>
    <w:rsid w:val="00940241"/>
    <w:rsid w:val="00941154"/>
    <w:rsid w:val="00941AD0"/>
    <w:rsid w:val="00941FA3"/>
    <w:rsid w:val="009425B9"/>
    <w:rsid w:val="00945483"/>
    <w:rsid w:val="009458DE"/>
    <w:rsid w:val="00945B55"/>
    <w:rsid w:val="00946E2F"/>
    <w:rsid w:val="009473EF"/>
    <w:rsid w:val="00947DEF"/>
    <w:rsid w:val="00947E50"/>
    <w:rsid w:val="00947F7E"/>
    <w:rsid w:val="0095091A"/>
    <w:rsid w:val="00950A79"/>
    <w:rsid w:val="00950F31"/>
    <w:rsid w:val="00950FE0"/>
    <w:rsid w:val="0095199F"/>
    <w:rsid w:val="0095205B"/>
    <w:rsid w:val="009521A2"/>
    <w:rsid w:val="009521C0"/>
    <w:rsid w:val="00952395"/>
    <w:rsid w:val="009530E8"/>
    <w:rsid w:val="009547A2"/>
    <w:rsid w:val="00954EA8"/>
    <w:rsid w:val="009550FC"/>
    <w:rsid w:val="009557D0"/>
    <w:rsid w:val="00955B60"/>
    <w:rsid w:val="00956FD9"/>
    <w:rsid w:val="00957B8B"/>
    <w:rsid w:val="0096013D"/>
    <w:rsid w:val="009625E6"/>
    <w:rsid w:val="0096285A"/>
    <w:rsid w:val="0096345F"/>
    <w:rsid w:val="009636AB"/>
    <w:rsid w:val="0096484C"/>
    <w:rsid w:val="00965044"/>
    <w:rsid w:val="00966009"/>
    <w:rsid w:val="00966189"/>
    <w:rsid w:val="00967641"/>
    <w:rsid w:val="00967C7F"/>
    <w:rsid w:val="00970303"/>
    <w:rsid w:val="0097081B"/>
    <w:rsid w:val="009715C7"/>
    <w:rsid w:val="00972C27"/>
    <w:rsid w:val="00972CCF"/>
    <w:rsid w:val="009750AC"/>
    <w:rsid w:val="00975322"/>
    <w:rsid w:val="00975334"/>
    <w:rsid w:val="009762D2"/>
    <w:rsid w:val="0097650E"/>
    <w:rsid w:val="009765B8"/>
    <w:rsid w:val="00976683"/>
    <w:rsid w:val="00976802"/>
    <w:rsid w:val="00976F51"/>
    <w:rsid w:val="009774BF"/>
    <w:rsid w:val="009777ED"/>
    <w:rsid w:val="0098025B"/>
    <w:rsid w:val="009808DE"/>
    <w:rsid w:val="009819A4"/>
    <w:rsid w:val="009826E2"/>
    <w:rsid w:val="00982E47"/>
    <w:rsid w:val="00983672"/>
    <w:rsid w:val="00983BEA"/>
    <w:rsid w:val="0098425C"/>
    <w:rsid w:val="009856F2"/>
    <w:rsid w:val="00985970"/>
    <w:rsid w:val="00985C30"/>
    <w:rsid w:val="00986F07"/>
    <w:rsid w:val="009870BF"/>
    <w:rsid w:val="0099083D"/>
    <w:rsid w:val="00990B43"/>
    <w:rsid w:val="00991512"/>
    <w:rsid w:val="00991F3F"/>
    <w:rsid w:val="009928FE"/>
    <w:rsid w:val="00993E7A"/>
    <w:rsid w:val="009941A2"/>
    <w:rsid w:val="00997C4D"/>
    <w:rsid w:val="009A1865"/>
    <w:rsid w:val="009A1E0C"/>
    <w:rsid w:val="009A2228"/>
    <w:rsid w:val="009A2AC2"/>
    <w:rsid w:val="009A44C6"/>
    <w:rsid w:val="009A4514"/>
    <w:rsid w:val="009A52DC"/>
    <w:rsid w:val="009A6E01"/>
    <w:rsid w:val="009A7229"/>
    <w:rsid w:val="009A72C4"/>
    <w:rsid w:val="009B063A"/>
    <w:rsid w:val="009B12B5"/>
    <w:rsid w:val="009B2988"/>
    <w:rsid w:val="009B2E68"/>
    <w:rsid w:val="009B3BA3"/>
    <w:rsid w:val="009B3E57"/>
    <w:rsid w:val="009B41E7"/>
    <w:rsid w:val="009B45B1"/>
    <w:rsid w:val="009B540D"/>
    <w:rsid w:val="009B5839"/>
    <w:rsid w:val="009B5A8D"/>
    <w:rsid w:val="009B71A6"/>
    <w:rsid w:val="009B72FD"/>
    <w:rsid w:val="009B7793"/>
    <w:rsid w:val="009B7908"/>
    <w:rsid w:val="009C0410"/>
    <w:rsid w:val="009C10E1"/>
    <w:rsid w:val="009C2164"/>
    <w:rsid w:val="009C347B"/>
    <w:rsid w:val="009C43AA"/>
    <w:rsid w:val="009C4E2D"/>
    <w:rsid w:val="009C64A8"/>
    <w:rsid w:val="009C6A75"/>
    <w:rsid w:val="009C73A5"/>
    <w:rsid w:val="009C73B5"/>
    <w:rsid w:val="009D0D9E"/>
    <w:rsid w:val="009D0FAF"/>
    <w:rsid w:val="009D17E3"/>
    <w:rsid w:val="009D1A3D"/>
    <w:rsid w:val="009D1E69"/>
    <w:rsid w:val="009D239F"/>
    <w:rsid w:val="009D2785"/>
    <w:rsid w:val="009D3AA9"/>
    <w:rsid w:val="009D5EA0"/>
    <w:rsid w:val="009D6341"/>
    <w:rsid w:val="009D6B98"/>
    <w:rsid w:val="009D71B8"/>
    <w:rsid w:val="009E0FCA"/>
    <w:rsid w:val="009E1AB7"/>
    <w:rsid w:val="009E1B62"/>
    <w:rsid w:val="009E2304"/>
    <w:rsid w:val="009E2E3B"/>
    <w:rsid w:val="009E3167"/>
    <w:rsid w:val="009E3DAF"/>
    <w:rsid w:val="009E4A4A"/>
    <w:rsid w:val="009E4CE6"/>
    <w:rsid w:val="009E5A48"/>
    <w:rsid w:val="009E6B9B"/>
    <w:rsid w:val="009E6EE3"/>
    <w:rsid w:val="009E703D"/>
    <w:rsid w:val="009E7395"/>
    <w:rsid w:val="009E7488"/>
    <w:rsid w:val="009F050C"/>
    <w:rsid w:val="009F3583"/>
    <w:rsid w:val="009F363E"/>
    <w:rsid w:val="009F4163"/>
    <w:rsid w:val="009F41E6"/>
    <w:rsid w:val="009F4989"/>
    <w:rsid w:val="009F4D39"/>
    <w:rsid w:val="009F628B"/>
    <w:rsid w:val="009F7BA7"/>
    <w:rsid w:val="00A0068E"/>
    <w:rsid w:val="00A00EE8"/>
    <w:rsid w:val="00A03C17"/>
    <w:rsid w:val="00A04092"/>
    <w:rsid w:val="00A0436D"/>
    <w:rsid w:val="00A04491"/>
    <w:rsid w:val="00A0481E"/>
    <w:rsid w:val="00A0607C"/>
    <w:rsid w:val="00A0755C"/>
    <w:rsid w:val="00A07C81"/>
    <w:rsid w:val="00A10F43"/>
    <w:rsid w:val="00A12890"/>
    <w:rsid w:val="00A1487D"/>
    <w:rsid w:val="00A14A25"/>
    <w:rsid w:val="00A16D20"/>
    <w:rsid w:val="00A17317"/>
    <w:rsid w:val="00A21390"/>
    <w:rsid w:val="00A214B7"/>
    <w:rsid w:val="00A21E60"/>
    <w:rsid w:val="00A22F18"/>
    <w:rsid w:val="00A2318A"/>
    <w:rsid w:val="00A23C2C"/>
    <w:rsid w:val="00A24272"/>
    <w:rsid w:val="00A256E1"/>
    <w:rsid w:val="00A26E8B"/>
    <w:rsid w:val="00A3025C"/>
    <w:rsid w:val="00A30CD9"/>
    <w:rsid w:val="00A30D98"/>
    <w:rsid w:val="00A31AF7"/>
    <w:rsid w:val="00A31F87"/>
    <w:rsid w:val="00A32C44"/>
    <w:rsid w:val="00A32E88"/>
    <w:rsid w:val="00A33288"/>
    <w:rsid w:val="00A34FBC"/>
    <w:rsid w:val="00A350A2"/>
    <w:rsid w:val="00A356CA"/>
    <w:rsid w:val="00A375BD"/>
    <w:rsid w:val="00A3767F"/>
    <w:rsid w:val="00A402B9"/>
    <w:rsid w:val="00A40B85"/>
    <w:rsid w:val="00A41A5B"/>
    <w:rsid w:val="00A41B5B"/>
    <w:rsid w:val="00A42220"/>
    <w:rsid w:val="00A43CBB"/>
    <w:rsid w:val="00A448D6"/>
    <w:rsid w:val="00A44DDD"/>
    <w:rsid w:val="00A455D7"/>
    <w:rsid w:val="00A4600B"/>
    <w:rsid w:val="00A46423"/>
    <w:rsid w:val="00A474F2"/>
    <w:rsid w:val="00A47917"/>
    <w:rsid w:val="00A47A7F"/>
    <w:rsid w:val="00A5054B"/>
    <w:rsid w:val="00A50B1E"/>
    <w:rsid w:val="00A50D07"/>
    <w:rsid w:val="00A50D6D"/>
    <w:rsid w:val="00A50D9F"/>
    <w:rsid w:val="00A51D08"/>
    <w:rsid w:val="00A52942"/>
    <w:rsid w:val="00A53D72"/>
    <w:rsid w:val="00A542B2"/>
    <w:rsid w:val="00A54520"/>
    <w:rsid w:val="00A547AF"/>
    <w:rsid w:val="00A54C8D"/>
    <w:rsid w:val="00A55C8F"/>
    <w:rsid w:val="00A573EC"/>
    <w:rsid w:val="00A604E4"/>
    <w:rsid w:val="00A60A0C"/>
    <w:rsid w:val="00A613A1"/>
    <w:rsid w:val="00A6174F"/>
    <w:rsid w:val="00A61CFD"/>
    <w:rsid w:val="00A620BC"/>
    <w:rsid w:val="00A63121"/>
    <w:rsid w:val="00A63E25"/>
    <w:rsid w:val="00A640DD"/>
    <w:rsid w:val="00A6515B"/>
    <w:rsid w:val="00A65754"/>
    <w:rsid w:val="00A66043"/>
    <w:rsid w:val="00A66A67"/>
    <w:rsid w:val="00A66A88"/>
    <w:rsid w:val="00A66DA7"/>
    <w:rsid w:val="00A671FE"/>
    <w:rsid w:val="00A7143E"/>
    <w:rsid w:val="00A714C8"/>
    <w:rsid w:val="00A7223C"/>
    <w:rsid w:val="00A72937"/>
    <w:rsid w:val="00A72CA0"/>
    <w:rsid w:val="00A73B30"/>
    <w:rsid w:val="00A742CF"/>
    <w:rsid w:val="00A74595"/>
    <w:rsid w:val="00A75268"/>
    <w:rsid w:val="00A755D2"/>
    <w:rsid w:val="00A75614"/>
    <w:rsid w:val="00A75FFC"/>
    <w:rsid w:val="00A76C64"/>
    <w:rsid w:val="00A77169"/>
    <w:rsid w:val="00A778CE"/>
    <w:rsid w:val="00A83CAC"/>
    <w:rsid w:val="00A84165"/>
    <w:rsid w:val="00A850E3"/>
    <w:rsid w:val="00A85571"/>
    <w:rsid w:val="00A857D3"/>
    <w:rsid w:val="00A85868"/>
    <w:rsid w:val="00A878B7"/>
    <w:rsid w:val="00A90757"/>
    <w:rsid w:val="00A908BB"/>
    <w:rsid w:val="00A90A8C"/>
    <w:rsid w:val="00A91926"/>
    <w:rsid w:val="00A92C80"/>
    <w:rsid w:val="00A93897"/>
    <w:rsid w:val="00A93CCE"/>
    <w:rsid w:val="00A940D6"/>
    <w:rsid w:val="00A959C0"/>
    <w:rsid w:val="00A9790E"/>
    <w:rsid w:val="00AA0161"/>
    <w:rsid w:val="00AA0455"/>
    <w:rsid w:val="00AA05BD"/>
    <w:rsid w:val="00AA0A1D"/>
    <w:rsid w:val="00AA0F3F"/>
    <w:rsid w:val="00AA15B9"/>
    <w:rsid w:val="00AA1DD8"/>
    <w:rsid w:val="00AA20C0"/>
    <w:rsid w:val="00AA237B"/>
    <w:rsid w:val="00AA2BA8"/>
    <w:rsid w:val="00AA30EB"/>
    <w:rsid w:val="00AA353F"/>
    <w:rsid w:val="00AA3DE2"/>
    <w:rsid w:val="00AA443F"/>
    <w:rsid w:val="00AA48BC"/>
    <w:rsid w:val="00AA559F"/>
    <w:rsid w:val="00AA5833"/>
    <w:rsid w:val="00AA61C9"/>
    <w:rsid w:val="00AA74BF"/>
    <w:rsid w:val="00AB1168"/>
    <w:rsid w:val="00AB1BE4"/>
    <w:rsid w:val="00AB1D83"/>
    <w:rsid w:val="00AB24FE"/>
    <w:rsid w:val="00AB2726"/>
    <w:rsid w:val="00AB3363"/>
    <w:rsid w:val="00AB48AE"/>
    <w:rsid w:val="00AB5FEB"/>
    <w:rsid w:val="00AB6053"/>
    <w:rsid w:val="00AB60A9"/>
    <w:rsid w:val="00AB7077"/>
    <w:rsid w:val="00AC0DBF"/>
    <w:rsid w:val="00AC1192"/>
    <w:rsid w:val="00AC1700"/>
    <w:rsid w:val="00AC350D"/>
    <w:rsid w:val="00AC4F6C"/>
    <w:rsid w:val="00AC549F"/>
    <w:rsid w:val="00AC5637"/>
    <w:rsid w:val="00AC5719"/>
    <w:rsid w:val="00AC5742"/>
    <w:rsid w:val="00AC74A2"/>
    <w:rsid w:val="00AC78BF"/>
    <w:rsid w:val="00AC791C"/>
    <w:rsid w:val="00AC7ACA"/>
    <w:rsid w:val="00AC7B66"/>
    <w:rsid w:val="00AD067E"/>
    <w:rsid w:val="00AD07E6"/>
    <w:rsid w:val="00AD1BB7"/>
    <w:rsid w:val="00AD2CD9"/>
    <w:rsid w:val="00AD357E"/>
    <w:rsid w:val="00AD3F19"/>
    <w:rsid w:val="00AD6102"/>
    <w:rsid w:val="00AD7180"/>
    <w:rsid w:val="00AD7817"/>
    <w:rsid w:val="00AD79DD"/>
    <w:rsid w:val="00AE05AF"/>
    <w:rsid w:val="00AE19D6"/>
    <w:rsid w:val="00AE3714"/>
    <w:rsid w:val="00AE37BB"/>
    <w:rsid w:val="00AE3A8B"/>
    <w:rsid w:val="00AE3E62"/>
    <w:rsid w:val="00AE6C7D"/>
    <w:rsid w:val="00AE7259"/>
    <w:rsid w:val="00AE7AC6"/>
    <w:rsid w:val="00AF0D71"/>
    <w:rsid w:val="00AF13A2"/>
    <w:rsid w:val="00AF1699"/>
    <w:rsid w:val="00AF2050"/>
    <w:rsid w:val="00AF211A"/>
    <w:rsid w:val="00AF2598"/>
    <w:rsid w:val="00AF2853"/>
    <w:rsid w:val="00AF2951"/>
    <w:rsid w:val="00AF4371"/>
    <w:rsid w:val="00AF4870"/>
    <w:rsid w:val="00AF4CC6"/>
    <w:rsid w:val="00AF4E8B"/>
    <w:rsid w:val="00AF55AC"/>
    <w:rsid w:val="00AF6EC7"/>
    <w:rsid w:val="00AF7626"/>
    <w:rsid w:val="00B005A7"/>
    <w:rsid w:val="00B00A01"/>
    <w:rsid w:val="00B00A41"/>
    <w:rsid w:val="00B01190"/>
    <w:rsid w:val="00B03D7C"/>
    <w:rsid w:val="00B041B8"/>
    <w:rsid w:val="00B05728"/>
    <w:rsid w:val="00B05EEE"/>
    <w:rsid w:val="00B146C9"/>
    <w:rsid w:val="00B1491F"/>
    <w:rsid w:val="00B16727"/>
    <w:rsid w:val="00B223F8"/>
    <w:rsid w:val="00B228F2"/>
    <w:rsid w:val="00B22FE9"/>
    <w:rsid w:val="00B23CC1"/>
    <w:rsid w:val="00B23FA7"/>
    <w:rsid w:val="00B24D89"/>
    <w:rsid w:val="00B25755"/>
    <w:rsid w:val="00B31868"/>
    <w:rsid w:val="00B31ECB"/>
    <w:rsid w:val="00B322F7"/>
    <w:rsid w:val="00B329A8"/>
    <w:rsid w:val="00B32DB1"/>
    <w:rsid w:val="00B32F9A"/>
    <w:rsid w:val="00B335A3"/>
    <w:rsid w:val="00B34AB5"/>
    <w:rsid w:val="00B36333"/>
    <w:rsid w:val="00B366E6"/>
    <w:rsid w:val="00B3780D"/>
    <w:rsid w:val="00B40B46"/>
    <w:rsid w:val="00B4137E"/>
    <w:rsid w:val="00B41F8E"/>
    <w:rsid w:val="00B42A2A"/>
    <w:rsid w:val="00B43046"/>
    <w:rsid w:val="00B435CC"/>
    <w:rsid w:val="00B441B4"/>
    <w:rsid w:val="00B45DF7"/>
    <w:rsid w:val="00B461B0"/>
    <w:rsid w:val="00B46428"/>
    <w:rsid w:val="00B46824"/>
    <w:rsid w:val="00B47893"/>
    <w:rsid w:val="00B47FC4"/>
    <w:rsid w:val="00B50FAE"/>
    <w:rsid w:val="00B51C18"/>
    <w:rsid w:val="00B527E7"/>
    <w:rsid w:val="00B530F4"/>
    <w:rsid w:val="00B54227"/>
    <w:rsid w:val="00B54B5D"/>
    <w:rsid w:val="00B54C60"/>
    <w:rsid w:val="00B56137"/>
    <w:rsid w:val="00B56A6A"/>
    <w:rsid w:val="00B57BD8"/>
    <w:rsid w:val="00B60BFB"/>
    <w:rsid w:val="00B60DA3"/>
    <w:rsid w:val="00B612AB"/>
    <w:rsid w:val="00B617A2"/>
    <w:rsid w:val="00B62A56"/>
    <w:rsid w:val="00B62A86"/>
    <w:rsid w:val="00B62EBC"/>
    <w:rsid w:val="00B62F72"/>
    <w:rsid w:val="00B6335E"/>
    <w:rsid w:val="00B63621"/>
    <w:rsid w:val="00B645BC"/>
    <w:rsid w:val="00B662C9"/>
    <w:rsid w:val="00B66380"/>
    <w:rsid w:val="00B664BB"/>
    <w:rsid w:val="00B6672A"/>
    <w:rsid w:val="00B7086A"/>
    <w:rsid w:val="00B70B4A"/>
    <w:rsid w:val="00B70BED"/>
    <w:rsid w:val="00B712F8"/>
    <w:rsid w:val="00B715DE"/>
    <w:rsid w:val="00B71748"/>
    <w:rsid w:val="00B717B7"/>
    <w:rsid w:val="00B720DA"/>
    <w:rsid w:val="00B73065"/>
    <w:rsid w:val="00B735B0"/>
    <w:rsid w:val="00B73E75"/>
    <w:rsid w:val="00B73FCD"/>
    <w:rsid w:val="00B7453B"/>
    <w:rsid w:val="00B74CA9"/>
    <w:rsid w:val="00B759AA"/>
    <w:rsid w:val="00B76352"/>
    <w:rsid w:val="00B7738C"/>
    <w:rsid w:val="00B776B7"/>
    <w:rsid w:val="00B77765"/>
    <w:rsid w:val="00B832B1"/>
    <w:rsid w:val="00B83CEF"/>
    <w:rsid w:val="00B846AF"/>
    <w:rsid w:val="00B8638F"/>
    <w:rsid w:val="00B87150"/>
    <w:rsid w:val="00B87734"/>
    <w:rsid w:val="00B87A8D"/>
    <w:rsid w:val="00B87F8B"/>
    <w:rsid w:val="00B90489"/>
    <w:rsid w:val="00B9059F"/>
    <w:rsid w:val="00B9172A"/>
    <w:rsid w:val="00B91782"/>
    <w:rsid w:val="00B91937"/>
    <w:rsid w:val="00B91DF9"/>
    <w:rsid w:val="00B93830"/>
    <w:rsid w:val="00B95A19"/>
    <w:rsid w:val="00B95FAA"/>
    <w:rsid w:val="00B95FE0"/>
    <w:rsid w:val="00B96775"/>
    <w:rsid w:val="00BA0D91"/>
    <w:rsid w:val="00BA13A3"/>
    <w:rsid w:val="00BA1653"/>
    <w:rsid w:val="00BA6914"/>
    <w:rsid w:val="00BA6A6C"/>
    <w:rsid w:val="00BA775F"/>
    <w:rsid w:val="00BB24C7"/>
    <w:rsid w:val="00BB51F1"/>
    <w:rsid w:val="00BB5712"/>
    <w:rsid w:val="00BB64FB"/>
    <w:rsid w:val="00BB7E24"/>
    <w:rsid w:val="00BC0A15"/>
    <w:rsid w:val="00BC0DCC"/>
    <w:rsid w:val="00BC160C"/>
    <w:rsid w:val="00BC1BBF"/>
    <w:rsid w:val="00BC28E5"/>
    <w:rsid w:val="00BC3415"/>
    <w:rsid w:val="00BC3DCB"/>
    <w:rsid w:val="00BC3EF0"/>
    <w:rsid w:val="00BC46FC"/>
    <w:rsid w:val="00BC5456"/>
    <w:rsid w:val="00BC586A"/>
    <w:rsid w:val="00BC5B87"/>
    <w:rsid w:val="00BC640F"/>
    <w:rsid w:val="00BC64D0"/>
    <w:rsid w:val="00BC65EB"/>
    <w:rsid w:val="00BC71D8"/>
    <w:rsid w:val="00BC7413"/>
    <w:rsid w:val="00BC7479"/>
    <w:rsid w:val="00BD0310"/>
    <w:rsid w:val="00BD0A3E"/>
    <w:rsid w:val="00BD2106"/>
    <w:rsid w:val="00BD3DE1"/>
    <w:rsid w:val="00BD477B"/>
    <w:rsid w:val="00BD49CB"/>
    <w:rsid w:val="00BD4FE8"/>
    <w:rsid w:val="00BD6C0B"/>
    <w:rsid w:val="00BD7C87"/>
    <w:rsid w:val="00BE02AF"/>
    <w:rsid w:val="00BE0466"/>
    <w:rsid w:val="00BE04E7"/>
    <w:rsid w:val="00BE0B9A"/>
    <w:rsid w:val="00BE0C61"/>
    <w:rsid w:val="00BE2250"/>
    <w:rsid w:val="00BE2490"/>
    <w:rsid w:val="00BE28AC"/>
    <w:rsid w:val="00BE5242"/>
    <w:rsid w:val="00BE5F1C"/>
    <w:rsid w:val="00BE6A73"/>
    <w:rsid w:val="00BE6F01"/>
    <w:rsid w:val="00BE6F39"/>
    <w:rsid w:val="00BE7A7C"/>
    <w:rsid w:val="00BE7BDB"/>
    <w:rsid w:val="00BF02E2"/>
    <w:rsid w:val="00BF129E"/>
    <w:rsid w:val="00BF244F"/>
    <w:rsid w:val="00BF26AB"/>
    <w:rsid w:val="00BF42F1"/>
    <w:rsid w:val="00BF4B6F"/>
    <w:rsid w:val="00BF5185"/>
    <w:rsid w:val="00BF5729"/>
    <w:rsid w:val="00BF5958"/>
    <w:rsid w:val="00BF5A15"/>
    <w:rsid w:val="00C00FF4"/>
    <w:rsid w:val="00C0191B"/>
    <w:rsid w:val="00C01E82"/>
    <w:rsid w:val="00C02936"/>
    <w:rsid w:val="00C04A9F"/>
    <w:rsid w:val="00C06379"/>
    <w:rsid w:val="00C064C6"/>
    <w:rsid w:val="00C100C9"/>
    <w:rsid w:val="00C11D57"/>
    <w:rsid w:val="00C132D8"/>
    <w:rsid w:val="00C13371"/>
    <w:rsid w:val="00C13590"/>
    <w:rsid w:val="00C14204"/>
    <w:rsid w:val="00C155B5"/>
    <w:rsid w:val="00C16382"/>
    <w:rsid w:val="00C16E5D"/>
    <w:rsid w:val="00C1714F"/>
    <w:rsid w:val="00C1774D"/>
    <w:rsid w:val="00C20017"/>
    <w:rsid w:val="00C215EF"/>
    <w:rsid w:val="00C224B0"/>
    <w:rsid w:val="00C22656"/>
    <w:rsid w:val="00C2340F"/>
    <w:rsid w:val="00C25DFB"/>
    <w:rsid w:val="00C267DF"/>
    <w:rsid w:val="00C269CC"/>
    <w:rsid w:val="00C27DB6"/>
    <w:rsid w:val="00C306AA"/>
    <w:rsid w:val="00C31638"/>
    <w:rsid w:val="00C318F4"/>
    <w:rsid w:val="00C332E0"/>
    <w:rsid w:val="00C34A33"/>
    <w:rsid w:val="00C34CFA"/>
    <w:rsid w:val="00C35AD3"/>
    <w:rsid w:val="00C35D04"/>
    <w:rsid w:val="00C35ED8"/>
    <w:rsid w:val="00C40FD8"/>
    <w:rsid w:val="00C414C6"/>
    <w:rsid w:val="00C44239"/>
    <w:rsid w:val="00C47C4E"/>
    <w:rsid w:val="00C5034E"/>
    <w:rsid w:val="00C51627"/>
    <w:rsid w:val="00C51BC1"/>
    <w:rsid w:val="00C52A25"/>
    <w:rsid w:val="00C52B77"/>
    <w:rsid w:val="00C53AB7"/>
    <w:rsid w:val="00C53F5C"/>
    <w:rsid w:val="00C54C2B"/>
    <w:rsid w:val="00C55244"/>
    <w:rsid w:val="00C55279"/>
    <w:rsid w:val="00C561A8"/>
    <w:rsid w:val="00C562F2"/>
    <w:rsid w:val="00C57636"/>
    <w:rsid w:val="00C57DD0"/>
    <w:rsid w:val="00C6047E"/>
    <w:rsid w:val="00C6070A"/>
    <w:rsid w:val="00C608F1"/>
    <w:rsid w:val="00C616D0"/>
    <w:rsid w:val="00C61B07"/>
    <w:rsid w:val="00C61DF9"/>
    <w:rsid w:val="00C62769"/>
    <w:rsid w:val="00C6278B"/>
    <w:rsid w:val="00C63C79"/>
    <w:rsid w:val="00C659E0"/>
    <w:rsid w:val="00C65AF2"/>
    <w:rsid w:val="00C673A6"/>
    <w:rsid w:val="00C70801"/>
    <w:rsid w:val="00C717F9"/>
    <w:rsid w:val="00C71DE3"/>
    <w:rsid w:val="00C72009"/>
    <w:rsid w:val="00C72A1E"/>
    <w:rsid w:val="00C73BC5"/>
    <w:rsid w:val="00C764EE"/>
    <w:rsid w:val="00C77E44"/>
    <w:rsid w:val="00C817BA"/>
    <w:rsid w:val="00C8221B"/>
    <w:rsid w:val="00C825ED"/>
    <w:rsid w:val="00C82895"/>
    <w:rsid w:val="00C82B26"/>
    <w:rsid w:val="00C82E2F"/>
    <w:rsid w:val="00C82F7D"/>
    <w:rsid w:val="00C844E1"/>
    <w:rsid w:val="00C84AB7"/>
    <w:rsid w:val="00C84C7A"/>
    <w:rsid w:val="00C85879"/>
    <w:rsid w:val="00C9208B"/>
    <w:rsid w:val="00C92A3E"/>
    <w:rsid w:val="00C9557C"/>
    <w:rsid w:val="00C95B9A"/>
    <w:rsid w:val="00C963C8"/>
    <w:rsid w:val="00C96E71"/>
    <w:rsid w:val="00C96E94"/>
    <w:rsid w:val="00C97024"/>
    <w:rsid w:val="00C97110"/>
    <w:rsid w:val="00C97B1B"/>
    <w:rsid w:val="00CA2BF8"/>
    <w:rsid w:val="00CA3039"/>
    <w:rsid w:val="00CA3473"/>
    <w:rsid w:val="00CA43E1"/>
    <w:rsid w:val="00CA6B2E"/>
    <w:rsid w:val="00CB1B76"/>
    <w:rsid w:val="00CB1C19"/>
    <w:rsid w:val="00CB1CB7"/>
    <w:rsid w:val="00CB252F"/>
    <w:rsid w:val="00CB4036"/>
    <w:rsid w:val="00CB5DE2"/>
    <w:rsid w:val="00CB6658"/>
    <w:rsid w:val="00CB66C8"/>
    <w:rsid w:val="00CB6994"/>
    <w:rsid w:val="00CC13BF"/>
    <w:rsid w:val="00CC24C3"/>
    <w:rsid w:val="00CC30D9"/>
    <w:rsid w:val="00CC37DD"/>
    <w:rsid w:val="00CC3C94"/>
    <w:rsid w:val="00CC4EA0"/>
    <w:rsid w:val="00CC5354"/>
    <w:rsid w:val="00CC6272"/>
    <w:rsid w:val="00CC62B5"/>
    <w:rsid w:val="00CC636E"/>
    <w:rsid w:val="00CC708D"/>
    <w:rsid w:val="00CC73FC"/>
    <w:rsid w:val="00CC7AB4"/>
    <w:rsid w:val="00CD01F7"/>
    <w:rsid w:val="00CD0909"/>
    <w:rsid w:val="00CD0BE6"/>
    <w:rsid w:val="00CD1100"/>
    <w:rsid w:val="00CD1CF0"/>
    <w:rsid w:val="00CD3A34"/>
    <w:rsid w:val="00CD3F01"/>
    <w:rsid w:val="00CD434C"/>
    <w:rsid w:val="00CD478B"/>
    <w:rsid w:val="00CD5276"/>
    <w:rsid w:val="00CE1AB5"/>
    <w:rsid w:val="00CE2ECE"/>
    <w:rsid w:val="00CE3123"/>
    <w:rsid w:val="00CE3AF7"/>
    <w:rsid w:val="00CE42C5"/>
    <w:rsid w:val="00CE49B7"/>
    <w:rsid w:val="00CE59C6"/>
    <w:rsid w:val="00CE5B9F"/>
    <w:rsid w:val="00CE6239"/>
    <w:rsid w:val="00CE7AB2"/>
    <w:rsid w:val="00CF019D"/>
    <w:rsid w:val="00CF0751"/>
    <w:rsid w:val="00CF1034"/>
    <w:rsid w:val="00CF23A9"/>
    <w:rsid w:val="00CF2D1F"/>
    <w:rsid w:val="00CF37D8"/>
    <w:rsid w:val="00CF4A50"/>
    <w:rsid w:val="00CF4CC8"/>
    <w:rsid w:val="00CF67EA"/>
    <w:rsid w:val="00CF7829"/>
    <w:rsid w:val="00D00195"/>
    <w:rsid w:val="00D00229"/>
    <w:rsid w:val="00D00E59"/>
    <w:rsid w:val="00D014C2"/>
    <w:rsid w:val="00D01C64"/>
    <w:rsid w:val="00D021D1"/>
    <w:rsid w:val="00D02CB4"/>
    <w:rsid w:val="00D02F19"/>
    <w:rsid w:val="00D038E3"/>
    <w:rsid w:val="00D03FED"/>
    <w:rsid w:val="00D054C0"/>
    <w:rsid w:val="00D07FC6"/>
    <w:rsid w:val="00D10260"/>
    <w:rsid w:val="00D114FD"/>
    <w:rsid w:val="00D116AB"/>
    <w:rsid w:val="00D12F8E"/>
    <w:rsid w:val="00D13029"/>
    <w:rsid w:val="00D140CD"/>
    <w:rsid w:val="00D14EF1"/>
    <w:rsid w:val="00D15D82"/>
    <w:rsid w:val="00D15F19"/>
    <w:rsid w:val="00D15F54"/>
    <w:rsid w:val="00D17785"/>
    <w:rsid w:val="00D177D8"/>
    <w:rsid w:val="00D20147"/>
    <w:rsid w:val="00D21146"/>
    <w:rsid w:val="00D22A48"/>
    <w:rsid w:val="00D24272"/>
    <w:rsid w:val="00D244D8"/>
    <w:rsid w:val="00D26041"/>
    <w:rsid w:val="00D26803"/>
    <w:rsid w:val="00D26830"/>
    <w:rsid w:val="00D2686B"/>
    <w:rsid w:val="00D27302"/>
    <w:rsid w:val="00D274A6"/>
    <w:rsid w:val="00D30F5F"/>
    <w:rsid w:val="00D31C73"/>
    <w:rsid w:val="00D31C8B"/>
    <w:rsid w:val="00D325F4"/>
    <w:rsid w:val="00D34034"/>
    <w:rsid w:val="00D3435B"/>
    <w:rsid w:val="00D359FA"/>
    <w:rsid w:val="00D36FBA"/>
    <w:rsid w:val="00D40094"/>
    <w:rsid w:val="00D4082E"/>
    <w:rsid w:val="00D41458"/>
    <w:rsid w:val="00D41679"/>
    <w:rsid w:val="00D421C3"/>
    <w:rsid w:val="00D42A0E"/>
    <w:rsid w:val="00D42D61"/>
    <w:rsid w:val="00D42DED"/>
    <w:rsid w:val="00D42F27"/>
    <w:rsid w:val="00D435EA"/>
    <w:rsid w:val="00D439CD"/>
    <w:rsid w:val="00D4410C"/>
    <w:rsid w:val="00D44450"/>
    <w:rsid w:val="00D457D3"/>
    <w:rsid w:val="00D46306"/>
    <w:rsid w:val="00D46D56"/>
    <w:rsid w:val="00D472A2"/>
    <w:rsid w:val="00D4785A"/>
    <w:rsid w:val="00D5011A"/>
    <w:rsid w:val="00D5091A"/>
    <w:rsid w:val="00D50B67"/>
    <w:rsid w:val="00D52BE3"/>
    <w:rsid w:val="00D53208"/>
    <w:rsid w:val="00D5450A"/>
    <w:rsid w:val="00D54AD9"/>
    <w:rsid w:val="00D5531D"/>
    <w:rsid w:val="00D61661"/>
    <w:rsid w:val="00D617B8"/>
    <w:rsid w:val="00D6195F"/>
    <w:rsid w:val="00D62358"/>
    <w:rsid w:val="00D625E4"/>
    <w:rsid w:val="00D626D8"/>
    <w:rsid w:val="00D63D0C"/>
    <w:rsid w:val="00D64A28"/>
    <w:rsid w:val="00D650C4"/>
    <w:rsid w:val="00D66BFA"/>
    <w:rsid w:val="00D67158"/>
    <w:rsid w:val="00D67F93"/>
    <w:rsid w:val="00D70B57"/>
    <w:rsid w:val="00D73239"/>
    <w:rsid w:val="00D7354F"/>
    <w:rsid w:val="00D73F8C"/>
    <w:rsid w:val="00D75FC7"/>
    <w:rsid w:val="00D805B7"/>
    <w:rsid w:val="00D80AF0"/>
    <w:rsid w:val="00D811E1"/>
    <w:rsid w:val="00D81CF7"/>
    <w:rsid w:val="00D82AA7"/>
    <w:rsid w:val="00D830CE"/>
    <w:rsid w:val="00D85CDB"/>
    <w:rsid w:val="00D8650A"/>
    <w:rsid w:val="00D87123"/>
    <w:rsid w:val="00D874F7"/>
    <w:rsid w:val="00D875BE"/>
    <w:rsid w:val="00D87D04"/>
    <w:rsid w:val="00D91192"/>
    <w:rsid w:val="00D93B4D"/>
    <w:rsid w:val="00D9450F"/>
    <w:rsid w:val="00D94F51"/>
    <w:rsid w:val="00D94FF3"/>
    <w:rsid w:val="00D955DD"/>
    <w:rsid w:val="00D95BAB"/>
    <w:rsid w:val="00D96399"/>
    <w:rsid w:val="00D96A8A"/>
    <w:rsid w:val="00DA0613"/>
    <w:rsid w:val="00DA0FE4"/>
    <w:rsid w:val="00DA119C"/>
    <w:rsid w:val="00DA16D4"/>
    <w:rsid w:val="00DA1986"/>
    <w:rsid w:val="00DA1CA4"/>
    <w:rsid w:val="00DA3724"/>
    <w:rsid w:val="00DA4798"/>
    <w:rsid w:val="00DA4AF3"/>
    <w:rsid w:val="00DA5CC4"/>
    <w:rsid w:val="00DA65AD"/>
    <w:rsid w:val="00DA693A"/>
    <w:rsid w:val="00DA7E49"/>
    <w:rsid w:val="00DB00CC"/>
    <w:rsid w:val="00DB0591"/>
    <w:rsid w:val="00DB09E5"/>
    <w:rsid w:val="00DB1387"/>
    <w:rsid w:val="00DB1D25"/>
    <w:rsid w:val="00DB2138"/>
    <w:rsid w:val="00DB5538"/>
    <w:rsid w:val="00DB55EC"/>
    <w:rsid w:val="00DB59E4"/>
    <w:rsid w:val="00DB78DB"/>
    <w:rsid w:val="00DB7B21"/>
    <w:rsid w:val="00DB7B80"/>
    <w:rsid w:val="00DC0DA0"/>
    <w:rsid w:val="00DC0DC1"/>
    <w:rsid w:val="00DC0F78"/>
    <w:rsid w:val="00DC2160"/>
    <w:rsid w:val="00DC2470"/>
    <w:rsid w:val="00DC372E"/>
    <w:rsid w:val="00DC5407"/>
    <w:rsid w:val="00DC6C77"/>
    <w:rsid w:val="00DD05E8"/>
    <w:rsid w:val="00DD1119"/>
    <w:rsid w:val="00DD1503"/>
    <w:rsid w:val="00DD3F86"/>
    <w:rsid w:val="00DD4414"/>
    <w:rsid w:val="00DD5031"/>
    <w:rsid w:val="00DD5ED2"/>
    <w:rsid w:val="00DD6455"/>
    <w:rsid w:val="00DD64F1"/>
    <w:rsid w:val="00DD7978"/>
    <w:rsid w:val="00DE0521"/>
    <w:rsid w:val="00DE1834"/>
    <w:rsid w:val="00DE2A76"/>
    <w:rsid w:val="00DE2FDF"/>
    <w:rsid w:val="00DE333B"/>
    <w:rsid w:val="00DE38C6"/>
    <w:rsid w:val="00DE5D3E"/>
    <w:rsid w:val="00DE5E68"/>
    <w:rsid w:val="00DE6B05"/>
    <w:rsid w:val="00DE752E"/>
    <w:rsid w:val="00DE7E6C"/>
    <w:rsid w:val="00DF160B"/>
    <w:rsid w:val="00DF317F"/>
    <w:rsid w:val="00DF41DF"/>
    <w:rsid w:val="00DF5050"/>
    <w:rsid w:val="00DF57A3"/>
    <w:rsid w:val="00DF5CA1"/>
    <w:rsid w:val="00DF7623"/>
    <w:rsid w:val="00DF79CD"/>
    <w:rsid w:val="00E00B38"/>
    <w:rsid w:val="00E00F6D"/>
    <w:rsid w:val="00E02A9B"/>
    <w:rsid w:val="00E02ACD"/>
    <w:rsid w:val="00E03482"/>
    <w:rsid w:val="00E03547"/>
    <w:rsid w:val="00E049DE"/>
    <w:rsid w:val="00E06083"/>
    <w:rsid w:val="00E06585"/>
    <w:rsid w:val="00E07222"/>
    <w:rsid w:val="00E10FD6"/>
    <w:rsid w:val="00E11ECC"/>
    <w:rsid w:val="00E12B1F"/>
    <w:rsid w:val="00E13CC2"/>
    <w:rsid w:val="00E14B1E"/>
    <w:rsid w:val="00E15CBD"/>
    <w:rsid w:val="00E16AD9"/>
    <w:rsid w:val="00E2052B"/>
    <w:rsid w:val="00E20647"/>
    <w:rsid w:val="00E21F93"/>
    <w:rsid w:val="00E22879"/>
    <w:rsid w:val="00E234B5"/>
    <w:rsid w:val="00E23F25"/>
    <w:rsid w:val="00E260A5"/>
    <w:rsid w:val="00E2663C"/>
    <w:rsid w:val="00E2715C"/>
    <w:rsid w:val="00E278E1"/>
    <w:rsid w:val="00E307E9"/>
    <w:rsid w:val="00E308A3"/>
    <w:rsid w:val="00E312BC"/>
    <w:rsid w:val="00E321D2"/>
    <w:rsid w:val="00E326C1"/>
    <w:rsid w:val="00E35142"/>
    <w:rsid w:val="00E35382"/>
    <w:rsid w:val="00E37D55"/>
    <w:rsid w:val="00E40D53"/>
    <w:rsid w:val="00E41C58"/>
    <w:rsid w:val="00E43493"/>
    <w:rsid w:val="00E43D4B"/>
    <w:rsid w:val="00E43EDC"/>
    <w:rsid w:val="00E440FD"/>
    <w:rsid w:val="00E44193"/>
    <w:rsid w:val="00E45019"/>
    <w:rsid w:val="00E45CF0"/>
    <w:rsid w:val="00E46038"/>
    <w:rsid w:val="00E46180"/>
    <w:rsid w:val="00E472CB"/>
    <w:rsid w:val="00E5037D"/>
    <w:rsid w:val="00E5075D"/>
    <w:rsid w:val="00E51441"/>
    <w:rsid w:val="00E525D9"/>
    <w:rsid w:val="00E52677"/>
    <w:rsid w:val="00E52FED"/>
    <w:rsid w:val="00E53378"/>
    <w:rsid w:val="00E53E19"/>
    <w:rsid w:val="00E5405C"/>
    <w:rsid w:val="00E54582"/>
    <w:rsid w:val="00E54583"/>
    <w:rsid w:val="00E54852"/>
    <w:rsid w:val="00E54A7B"/>
    <w:rsid w:val="00E54C3E"/>
    <w:rsid w:val="00E552BF"/>
    <w:rsid w:val="00E557A9"/>
    <w:rsid w:val="00E56AF5"/>
    <w:rsid w:val="00E573A7"/>
    <w:rsid w:val="00E6260C"/>
    <w:rsid w:val="00E62EA3"/>
    <w:rsid w:val="00E63679"/>
    <w:rsid w:val="00E655A0"/>
    <w:rsid w:val="00E65924"/>
    <w:rsid w:val="00E6603B"/>
    <w:rsid w:val="00E669FB"/>
    <w:rsid w:val="00E67284"/>
    <w:rsid w:val="00E67892"/>
    <w:rsid w:val="00E70012"/>
    <w:rsid w:val="00E702C7"/>
    <w:rsid w:val="00E7053F"/>
    <w:rsid w:val="00E71BC8"/>
    <w:rsid w:val="00E7288F"/>
    <w:rsid w:val="00E72F6B"/>
    <w:rsid w:val="00E754FB"/>
    <w:rsid w:val="00E75550"/>
    <w:rsid w:val="00E77884"/>
    <w:rsid w:val="00E77C69"/>
    <w:rsid w:val="00E80705"/>
    <w:rsid w:val="00E80A3E"/>
    <w:rsid w:val="00E810AB"/>
    <w:rsid w:val="00E827EE"/>
    <w:rsid w:val="00E828F2"/>
    <w:rsid w:val="00E82B5C"/>
    <w:rsid w:val="00E83E7F"/>
    <w:rsid w:val="00E85698"/>
    <w:rsid w:val="00E86274"/>
    <w:rsid w:val="00E8643C"/>
    <w:rsid w:val="00E8721B"/>
    <w:rsid w:val="00E879DA"/>
    <w:rsid w:val="00E87CDE"/>
    <w:rsid w:val="00E87D0D"/>
    <w:rsid w:val="00E90AAA"/>
    <w:rsid w:val="00E90D3F"/>
    <w:rsid w:val="00E913F7"/>
    <w:rsid w:val="00E93DA3"/>
    <w:rsid w:val="00E94289"/>
    <w:rsid w:val="00E94C83"/>
    <w:rsid w:val="00E960E1"/>
    <w:rsid w:val="00E9733F"/>
    <w:rsid w:val="00E97555"/>
    <w:rsid w:val="00E9773D"/>
    <w:rsid w:val="00E97C58"/>
    <w:rsid w:val="00EA01AE"/>
    <w:rsid w:val="00EA0AEF"/>
    <w:rsid w:val="00EA0BA2"/>
    <w:rsid w:val="00EA1AF1"/>
    <w:rsid w:val="00EA1AF3"/>
    <w:rsid w:val="00EA1F16"/>
    <w:rsid w:val="00EA3ACA"/>
    <w:rsid w:val="00EA5049"/>
    <w:rsid w:val="00EA592E"/>
    <w:rsid w:val="00EA5DD2"/>
    <w:rsid w:val="00EA66BB"/>
    <w:rsid w:val="00EA67BF"/>
    <w:rsid w:val="00EA7289"/>
    <w:rsid w:val="00EA7992"/>
    <w:rsid w:val="00EB1D9E"/>
    <w:rsid w:val="00EB237A"/>
    <w:rsid w:val="00EB2D4F"/>
    <w:rsid w:val="00EB3186"/>
    <w:rsid w:val="00EB45E8"/>
    <w:rsid w:val="00EB513A"/>
    <w:rsid w:val="00EB5BEE"/>
    <w:rsid w:val="00EB5DD0"/>
    <w:rsid w:val="00EB6FC4"/>
    <w:rsid w:val="00EB735C"/>
    <w:rsid w:val="00EB7872"/>
    <w:rsid w:val="00EC09E9"/>
    <w:rsid w:val="00EC3724"/>
    <w:rsid w:val="00EC7B72"/>
    <w:rsid w:val="00ED0135"/>
    <w:rsid w:val="00ED1987"/>
    <w:rsid w:val="00ED3E0F"/>
    <w:rsid w:val="00ED3EFB"/>
    <w:rsid w:val="00ED4B26"/>
    <w:rsid w:val="00ED5704"/>
    <w:rsid w:val="00ED5E37"/>
    <w:rsid w:val="00ED633E"/>
    <w:rsid w:val="00ED77A0"/>
    <w:rsid w:val="00EE033A"/>
    <w:rsid w:val="00EE04F8"/>
    <w:rsid w:val="00EE0A76"/>
    <w:rsid w:val="00EE0B66"/>
    <w:rsid w:val="00EE1526"/>
    <w:rsid w:val="00EE21B5"/>
    <w:rsid w:val="00EE2C8C"/>
    <w:rsid w:val="00EE3246"/>
    <w:rsid w:val="00EE5912"/>
    <w:rsid w:val="00EE6A1E"/>
    <w:rsid w:val="00EE786B"/>
    <w:rsid w:val="00EF03DA"/>
    <w:rsid w:val="00EF04D4"/>
    <w:rsid w:val="00EF0E65"/>
    <w:rsid w:val="00EF1347"/>
    <w:rsid w:val="00EF1E7A"/>
    <w:rsid w:val="00EF36CB"/>
    <w:rsid w:val="00EF3CEA"/>
    <w:rsid w:val="00EF4070"/>
    <w:rsid w:val="00EF57B1"/>
    <w:rsid w:val="00EF648F"/>
    <w:rsid w:val="00EF75D8"/>
    <w:rsid w:val="00EF75FF"/>
    <w:rsid w:val="00EF7BAD"/>
    <w:rsid w:val="00F00B53"/>
    <w:rsid w:val="00F017BF"/>
    <w:rsid w:val="00F018C9"/>
    <w:rsid w:val="00F01CEE"/>
    <w:rsid w:val="00F01E6D"/>
    <w:rsid w:val="00F0207C"/>
    <w:rsid w:val="00F02417"/>
    <w:rsid w:val="00F02A01"/>
    <w:rsid w:val="00F02DE1"/>
    <w:rsid w:val="00F02FB0"/>
    <w:rsid w:val="00F04207"/>
    <w:rsid w:val="00F04426"/>
    <w:rsid w:val="00F05E6B"/>
    <w:rsid w:val="00F07014"/>
    <w:rsid w:val="00F100FF"/>
    <w:rsid w:val="00F12EDD"/>
    <w:rsid w:val="00F12F7F"/>
    <w:rsid w:val="00F14AB8"/>
    <w:rsid w:val="00F14D1F"/>
    <w:rsid w:val="00F15461"/>
    <w:rsid w:val="00F17032"/>
    <w:rsid w:val="00F20C70"/>
    <w:rsid w:val="00F20CB2"/>
    <w:rsid w:val="00F21F47"/>
    <w:rsid w:val="00F220AD"/>
    <w:rsid w:val="00F23BEB"/>
    <w:rsid w:val="00F23C8C"/>
    <w:rsid w:val="00F256D6"/>
    <w:rsid w:val="00F25FDF"/>
    <w:rsid w:val="00F26818"/>
    <w:rsid w:val="00F273CF"/>
    <w:rsid w:val="00F300A4"/>
    <w:rsid w:val="00F31275"/>
    <w:rsid w:val="00F321FA"/>
    <w:rsid w:val="00F32301"/>
    <w:rsid w:val="00F3240B"/>
    <w:rsid w:val="00F32649"/>
    <w:rsid w:val="00F329F8"/>
    <w:rsid w:val="00F32C43"/>
    <w:rsid w:val="00F32FC1"/>
    <w:rsid w:val="00F33B77"/>
    <w:rsid w:val="00F35CE3"/>
    <w:rsid w:val="00F35F02"/>
    <w:rsid w:val="00F367F4"/>
    <w:rsid w:val="00F37623"/>
    <w:rsid w:val="00F37D52"/>
    <w:rsid w:val="00F40CDE"/>
    <w:rsid w:val="00F41728"/>
    <w:rsid w:val="00F41903"/>
    <w:rsid w:val="00F42B33"/>
    <w:rsid w:val="00F4334F"/>
    <w:rsid w:val="00F433E5"/>
    <w:rsid w:val="00F43599"/>
    <w:rsid w:val="00F4542F"/>
    <w:rsid w:val="00F45ECD"/>
    <w:rsid w:val="00F462E2"/>
    <w:rsid w:val="00F46EBA"/>
    <w:rsid w:val="00F4724C"/>
    <w:rsid w:val="00F47342"/>
    <w:rsid w:val="00F47583"/>
    <w:rsid w:val="00F47E3E"/>
    <w:rsid w:val="00F50E7A"/>
    <w:rsid w:val="00F518A9"/>
    <w:rsid w:val="00F526BA"/>
    <w:rsid w:val="00F537E9"/>
    <w:rsid w:val="00F54CAD"/>
    <w:rsid w:val="00F54D01"/>
    <w:rsid w:val="00F54DD6"/>
    <w:rsid w:val="00F55778"/>
    <w:rsid w:val="00F55928"/>
    <w:rsid w:val="00F56049"/>
    <w:rsid w:val="00F570B6"/>
    <w:rsid w:val="00F578FF"/>
    <w:rsid w:val="00F57BDB"/>
    <w:rsid w:val="00F6058E"/>
    <w:rsid w:val="00F6186D"/>
    <w:rsid w:val="00F61E08"/>
    <w:rsid w:val="00F637E4"/>
    <w:rsid w:val="00F644AB"/>
    <w:rsid w:val="00F64976"/>
    <w:rsid w:val="00F65143"/>
    <w:rsid w:val="00F6648E"/>
    <w:rsid w:val="00F67134"/>
    <w:rsid w:val="00F67400"/>
    <w:rsid w:val="00F718C2"/>
    <w:rsid w:val="00F719EB"/>
    <w:rsid w:val="00F720C9"/>
    <w:rsid w:val="00F72DD7"/>
    <w:rsid w:val="00F73043"/>
    <w:rsid w:val="00F7414E"/>
    <w:rsid w:val="00F74619"/>
    <w:rsid w:val="00F758EC"/>
    <w:rsid w:val="00F76B7D"/>
    <w:rsid w:val="00F7708D"/>
    <w:rsid w:val="00F81337"/>
    <w:rsid w:val="00F82144"/>
    <w:rsid w:val="00F82EE9"/>
    <w:rsid w:val="00F83621"/>
    <w:rsid w:val="00F86692"/>
    <w:rsid w:val="00F868AE"/>
    <w:rsid w:val="00F877DB"/>
    <w:rsid w:val="00F90122"/>
    <w:rsid w:val="00F90174"/>
    <w:rsid w:val="00F904C5"/>
    <w:rsid w:val="00F918E1"/>
    <w:rsid w:val="00F91F77"/>
    <w:rsid w:val="00F9243A"/>
    <w:rsid w:val="00F92BB7"/>
    <w:rsid w:val="00F93F67"/>
    <w:rsid w:val="00F94324"/>
    <w:rsid w:val="00F9548A"/>
    <w:rsid w:val="00F9682C"/>
    <w:rsid w:val="00F96D3D"/>
    <w:rsid w:val="00F97663"/>
    <w:rsid w:val="00FA3027"/>
    <w:rsid w:val="00FA3089"/>
    <w:rsid w:val="00FA36ED"/>
    <w:rsid w:val="00FA38AF"/>
    <w:rsid w:val="00FA48F0"/>
    <w:rsid w:val="00FA624F"/>
    <w:rsid w:val="00FA7A03"/>
    <w:rsid w:val="00FB0315"/>
    <w:rsid w:val="00FB1E89"/>
    <w:rsid w:val="00FB38DD"/>
    <w:rsid w:val="00FB3C25"/>
    <w:rsid w:val="00FB3CC3"/>
    <w:rsid w:val="00FB67B2"/>
    <w:rsid w:val="00FB704E"/>
    <w:rsid w:val="00FB7167"/>
    <w:rsid w:val="00FB78FE"/>
    <w:rsid w:val="00FB7C6A"/>
    <w:rsid w:val="00FC033B"/>
    <w:rsid w:val="00FC0A17"/>
    <w:rsid w:val="00FC123D"/>
    <w:rsid w:val="00FC1696"/>
    <w:rsid w:val="00FC1907"/>
    <w:rsid w:val="00FC193B"/>
    <w:rsid w:val="00FC1CA7"/>
    <w:rsid w:val="00FC2D7C"/>
    <w:rsid w:val="00FC31FB"/>
    <w:rsid w:val="00FC32A3"/>
    <w:rsid w:val="00FC3DF0"/>
    <w:rsid w:val="00FC5A95"/>
    <w:rsid w:val="00FC5FE5"/>
    <w:rsid w:val="00FC6ACC"/>
    <w:rsid w:val="00FC7AA8"/>
    <w:rsid w:val="00FC7FE1"/>
    <w:rsid w:val="00FD16F5"/>
    <w:rsid w:val="00FD4749"/>
    <w:rsid w:val="00FD47AC"/>
    <w:rsid w:val="00FD4AEA"/>
    <w:rsid w:val="00FD65CC"/>
    <w:rsid w:val="00FD6ABE"/>
    <w:rsid w:val="00FD6D32"/>
    <w:rsid w:val="00FE0865"/>
    <w:rsid w:val="00FE12D1"/>
    <w:rsid w:val="00FE1DFA"/>
    <w:rsid w:val="00FE1F00"/>
    <w:rsid w:val="00FE2968"/>
    <w:rsid w:val="00FE3307"/>
    <w:rsid w:val="00FE5799"/>
    <w:rsid w:val="00FE7491"/>
    <w:rsid w:val="00FE7BEF"/>
    <w:rsid w:val="00FE7DA2"/>
    <w:rsid w:val="00FF1B26"/>
    <w:rsid w:val="00FF1C5F"/>
    <w:rsid w:val="00FF290F"/>
    <w:rsid w:val="00FF345B"/>
    <w:rsid w:val="00FF3EB2"/>
    <w:rsid w:val="00FF4881"/>
    <w:rsid w:val="00FF50F8"/>
    <w:rsid w:val="00FF6271"/>
    <w:rsid w:val="00FF691F"/>
    <w:rsid w:val="00FF6D8D"/>
    <w:rsid w:val="01B85206"/>
    <w:rsid w:val="01C67AFC"/>
    <w:rsid w:val="02D72AE7"/>
    <w:rsid w:val="0D154EA9"/>
    <w:rsid w:val="0F3D4558"/>
    <w:rsid w:val="1048257F"/>
    <w:rsid w:val="12632193"/>
    <w:rsid w:val="12943194"/>
    <w:rsid w:val="14EE2530"/>
    <w:rsid w:val="15C77808"/>
    <w:rsid w:val="18B976AF"/>
    <w:rsid w:val="1B0E4867"/>
    <w:rsid w:val="20585AC4"/>
    <w:rsid w:val="20771D42"/>
    <w:rsid w:val="244A4134"/>
    <w:rsid w:val="25C2636D"/>
    <w:rsid w:val="298F6808"/>
    <w:rsid w:val="299F1942"/>
    <w:rsid w:val="2C60716F"/>
    <w:rsid w:val="2E9738F8"/>
    <w:rsid w:val="30C82389"/>
    <w:rsid w:val="30E43C2E"/>
    <w:rsid w:val="31384277"/>
    <w:rsid w:val="31A42E6E"/>
    <w:rsid w:val="32E1010C"/>
    <w:rsid w:val="3627566C"/>
    <w:rsid w:val="363A3D83"/>
    <w:rsid w:val="38566713"/>
    <w:rsid w:val="3E746312"/>
    <w:rsid w:val="3E787E07"/>
    <w:rsid w:val="40D8062A"/>
    <w:rsid w:val="445F00DA"/>
    <w:rsid w:val="44C23DD1"/>
    <w:rsid w:val="476334E8"/>
    <w:rsid w:val="496928E7"/>
    <w:rsid w:val="4C571DF5"/>
    <w:rsid w:val="4D543CF5"/>
    <w:rsid w:val="4EE81F0E"/>
    <w:rsid w:val="503872DC"/>
    <w:rsid w:val="51234D3C"/>
    <w:rsid w:val="51B91986"/>
    <w:rsid w:val="51F16072"/>
    <w:rsid w:val="52293381"/>
    <w:rsid w:val="53FF21D4"/>
    <w:rsid w:val="540E6F13"/>
    <w:rsid w:val="55F01060"/>
    <w:rsid w:val="5959596C"/>
    <w:rsid w:val="5B16589A"/>
    <w:rsid w:val="5C8E5338"/>
    <w:rsid w:val="5E210743"/>
    <w:rsid w:val="5ED7162C"/>
    <w:rsid w:val="5F0C1315"/>
    <w:rsid w:val="60766C8B"/>
    <w:rsid w:val="614C78BF"/>
    <w:rsid w:val="634F77DC"/>
    <w:rsid w:val="66DE2963"/>
    <w:rsid w:val="69030C65"/>
    <w:rsid w:val="693B3E64"/>
    <w:rsid w:val="6A97675A"/>
    <w:rsid w:val="6FAE5C87"/>
    <w:rsid w:val="7240329A"/>
    <w:rsid w:val="761B62AE"/>
    <w:rsid w:val="76850AE5"/>
    <w:rsid w:val="76E44DDA"/>
    <w:rsid w:val="77A1186D"/>
    <w:rsid w:val="78F44AFA"/>
    <w:rsid w:val="7B0E21D6"/>
    <w:rsid w:val="7CFE428A"/>
    <w:rsid w:val="7D234D33"/>
    <w:rsid w:val="7DA41000"/>
    <w:rsid w:val="7FF3295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iPriority="39" w:semiHidden="0" w:name="toc 1"/>
    <w:lsdException w:qFormat="1" w:unhideWhenUsed="0" w:uiPriority="39" w:semiHidden="0" w:name="toc 2"/>
    <w:lsdException w:qFormat="1" w:unhideWhenUsed="0" w:uiPriority="0"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iPriority="0" w:name="macro"/>
    <w:lsdException w:uiPriority="0" w:name="toa heading"/>
    <w:lsdException w:qFormat="1" w:unhideWhenUsed="0" w:uiPriority="0" w:semiHidden="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nhideWhenUsed="0" w:uiPriority="0" w:semiHidden="0" w:name="Date"/>
    <w:lsdException w:qFormat="1" w:unhideWhenUsed="0" w:uiPriority="0" w:semiHidden="0" w:name="Body Text First Indent"/>
    <w:lsdException w:uiPriority="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iPriority="99" w:semiHidden="0" w:name="Document Map"/>
    <w:lsdException w:qFormat="1" w:unhideWhenUsed="0" w:uiPriority="0" w:semiHidden="0" w:name="Plain Text"/>
    <w:lsdException w:uiPriority="0" w:name="E-mail Signature"/>
    <w:lsdException w:qFormat="1" w:unhideWhenUsed="0"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uiPriority="0" w:name="HTML Typewriter"/>
    <w:lsdException w:uiPriority="0" w:name="HTML Variable"/>
    <w:lsdException w:qFormat="1" w:uiPriority="99" w:name="Normal Table"/>
    <w:lsdException w:qFormat="1" w:unhideWhenUsed="0" w:uiPriority="0" w:name="annotation subject"/>
    <w:lsdException w:qFormat="1" w:unhideWhenUsed="0" w:uiPriority="0" w:semiHidden="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47"/>
    <w:qFormat/>
    <w:uiPriority w:val="0"/>
    <w:pPr>
      <w:keepNext/>
      <w:keepLines/>
      <w:spacing w:before="340" w:after="330" w:line="576" w:lineRule="auto"/>
      <w:outlineLvl w:val="0"/>
    </w:pPr>
    <w:rPr>
      <w:b/>
      <w:kern w:val="44"/>
      <w:sz w:val="44"/>
      <w:szCs w:val="20"/>
    </w:rPr>
  </w:style>
  <w:style w:type="paragraph" w:styleId="3">
    <w:name w:val="heading 2"/>
    <w:basedOn w:val="1"/>
    <w:next w:val="4"/>
    <w:link w:val="49"/>
    <w:qFormat/>
    <w:uiPriority w:val="0"/>
    <w:pPr>
      <w:keepNext/>
      <w:keepLines/>
      <w:tabs>
        <w:tab w:val="left" w:pos="360"/>
        <w:tab w:val="left" w:pos="576"/>
      </w:tabs>
      <w:autoSpaceDE w:val="0"/>
      <w:autoSpaceDN w:val="0"/>
      <w:adjustRightInd w:val="0"/>
      <w:spacing w:before="260" w:after="260" w:line="416" w:lineRule="atLeast"/>
      <w:ind w:left="840" w:hanging="420"/>
      <w:jc w:val="left"/>
      <w:outlineLvl w:val="1"/>
    </w:pPr>
    <w:rPr>
      <w:rFonts w:ascii="Arial" w:hAnsi="Arial" w:eastAsia="黑体"/>
      <w:b/>
      <w:kern w:val="0"/>
      <w:sz w:val="32"/>
      <w:szCs w:val="20"/>
    </w:rPr>
  </w:style>
  <w:style w:type="paragraph" w:styleId="5">
    <w:name w:val="heading 3"/>
    <w:basedOn w:val="1"/>
    <w:next w:val="1"/>
    <w:link w:val="50"/>
    <w:qFormat/>
    <w:uiPriority w:val="0"/>
    <w:pPr>
      <w:keepNext/>
      <w:keepLines/>
      <w:tabs>
        <w:tab w:val="left" w:pos="360"/>
        <w:tab w:val="left" w:pos="720"/>
        <w:tab w:val="left" w:pos="851"/>
      </w:tabs>
      <w:adjustRightInd w:val="0"/>
      <w:spacing w:before="120" w:after="120" w:line="480" w:lineRule="exact"/>
      <w:ind w:left="1260" w:hanging="420"/>
      <w:textAlignment w:val="baseline"/>
      <w:outlineLvl w:val="2"/>
    </w:pPr>
    <w:rPr>
      <w:rFonts w:ascii="Calibri" w:hAnsi="Calibri"/>
      <w:spacing w:val="-2"/>
      <w:kern w:val="0"/>
      <w:sz w:val="28"/>
      <w:szCs w:val="20"/>
    </w:rPr>
  </w:style>
  <w:style w:type="paragraph" w:styleId="6">
    <w:name w:val="heading 4"/>
    <w:basedOn w:val="1"/>
    <w:next w:val="4"/>
    <w:link w:val="51"/>
    <w:qFormat/>
    <w:uiPriority w:val="0"/>
    <w:pPr>
      <w:keepNext/>
      <w:keepLines/>
      <w:tabs>
        <w:tab w:val="left" w:pos="864"/>
        <w:tab w:val="left" w:pos="1680"/>
      </w:tabs>
      <w:autoSpaceDE w:val="0"/>
      <w:autoSpaceDN w:val="0"/>
      <w:adjustRightInd w:val="0"/>
      <w:spacing w:before="280" w:after="290" w:line="376" w:lineRule="atLeast"/>
      <w:ind w:left="1680" w:hanging="420"/>
      <w:jc w:val="left"/>
      <w:outlineLvl w:val="3"/>
    </w:pPr>
    <w:rPr>
      <w:rFonts w:ascii="Arial" w:hAnsi="Arial" w:eastAsia="黑体"/>
      <w:b/>
      <w:kern w:val="0"/>
      <w:sz w:val="28"/>
      <w:szCs w:val="20"/>
    </w:rPr>
  </w:style>
  <w:style w:type="paragraph" w:styleId="7">
    <w:name w:val="heading 5"/>
    <w:basedOn w:val="1"/>
    <w:next w:val="4"/>
    <w:qFormat/>
    <w:uiPriority w:val="0"/>
    <w:pPr>
      <w:keepNext/>
      <w:keepLines/>
      <w:tabs>
        <w:tab w:val="left" w:pos="1008"/>
        <w:tab w:val="left" w:pos="2100"/>
      </w:tabs>
      <w:autoSpaceDE w:val="0"/>
      <w:autoSpaceDN w:val="0"/>
      <w:adjustRightInd w:val="0"/>
      <w:spacing w:before="280" w:after="290" w:line="376" w:lineRule="atLeast"/>
      <w:ind w:left="2100" w:hanging="420"/>
      <w:jc w:val="left"/>
      <w:outlineLvl w:val="4"/>
    </w:pPr>
    <w:rPr>
      <w:rFonts w:ascii="宋体"/>
      <w:b/>
      <w:kern w:val="0"/>
      <w:sz w:val="28"/>
      <w:szCs w:val="20"/>
    </w:rPr>
  </w:style>
  <w:style w:type="paragraph" w:styleId="8">
    <w:name w:val="heading 6"/>
    <w:basedOn w:val="1"/>
    <w:next w:val="4"/>
    <w:qFormat/>
    <w:uiPriority w:val="0"/>
    <w:pPr>
      <w:keepNext/>
      <w:keepLines/>
      <w:tabs>
        <w:tab w:val="left" w:pos="1152"/>
        <w:tab w:val="left" w:pos="2520"/>
      </w:tabs>
      <w:autoSpaceDE w:val="0"/>
      <w:autoSpaceDN w:val="0"/>
      <w:adjustRightInd w:val="0"/>
      <w:spacing w:before="240" w:after="64" w:line="320" w:lineRule="atLeast"/>
      <w:ind w:left="2520" w:hanging="420"/>
      <w:jc w:val="left"/>
      <w:outlineLvl w:val="5"/>
    </w:pPr>
    <w:rPr>
      <w:rFonts w:ascii="Arial" w:hAnsi="Arial" w:eastAsia="黑体"/>
      <w:b/>
      <w:kern w:val="0"/>
      <w:sz w:val="24"/>
      <w:szCs w:val="20"/>
    </w:rPr>
  </w:style>
  <w:style w:type="paragraph" w:styleId="9">
    <w:name w:val="heading 7"/>
    <w:basedOn w:val="1"/>
    <w:next w:val="4"/>
    <w:qFormat/>
    <w:uiPriority w:val="0"/>
    <w:pPr>
      <w:keepNext/>
      <w:keepLines/>
      <w:tabs>
        <w:tab w:val="left" w:pos="1296"/>
        <w:tab w:val="left" w:pos="2940"/>
      </w:tabs>
      <w:autoSpaceDE w:val="0"/>
      <w:autoSpaceDN w:val="0"/>
      <w:adjustRightInd w:val="0"/>
      <w:spacing w:before="240" w:after="64" w:line="320" w:lineRule="atLeast"/>
      <w:ind w:left="2940" w:hanging="420"/>
      <w:jc w:val="left"/>
      <w:outlineLvl w:val="6"/>
    </w:pPr>
    <w:rPr>
      <w:rFonts w:ascii="宋体"/>
      <w:b/>
      <w:kern w:val="0"/>
      <w:sz w:val="24"/>
      <w:szCs w:val="20"/>
    </w:rPr>
  </w:style>
  <w:style w:type="paragraph" w:styleId="10">
    <w:name w:val="heading 8"/>
    <w:basedOn w:val="1"/>
    <w:next w:val="4"/>
    <w:qFormat/>
    <w:uiPriority w:val="0"/>
    <w:pPr>
      <w:keepNext/>
      <w:keepLines/>
      <w:tabs>
        <w:tab w:val="left" w:pos="1440"/>
        <w:tab w:val="left" w:pos="3360"/>
      </w:tabs>
      <w:autoSpaceDE w:val="0"/>
      <w:autoSpaceDN w:val="0"/>
      <w:adjustRightInd w:val="0"/>
      <w:spacing w:before="240" w:after="64" w:line="320" w:lineRule="atLeast"/>
      <w:ind w:left="3360" w:hanging="420"/>
      <w:jc w:val="left"/>
      <w:outlineLvl w:val="7"/>
    </w:pPr>
    <w:rPr>
      <w:rFonts w:ascii="Arial" w:hAnsi="Arial" w:eastAsia="黑体"/>
      <w:kern w:val="0"/>
      <w:sz w:val="24"/>
      <w:szCs w:val="20"/>
    </w:rPr>
  </w:style>
  <w:style w:type="paragraph" w:styleId="11">
    <w:name w:val="heading 9"/>
    <w:basedOn w:val="1"/>
    <w:next w:val="4"/>
    <w:qFormat/>
    <w:uiPriority w:val="0"/>
    <w:pPr>
      <w:keepNext/>
      <w:keepLines/>
      <w:tabs>
        <w:tab w:val="left" w:pos="1584"/>
        <w:tab w:val="left" w:pos="3780"/>
      </w:tabs>
      <w:autoSpaceDE w:val="0"/>
      <w:autoSpaceDN w:val="0"/>
      <w:adjustRightInd w:val="0"/>
      <w:spacing w:before="240" w:after="64" w:line="320" w:lineRule="atLeast"/>
      <w:ind w:left="3780" w:hanging="420"/>
      <w:jc w:val="left"/>
      <w:outlineLvl w:val="8"/>
    </w:pPr>
    <w:rPr>
      <w:rFonts w:ascii="Arial" w:hAnsi="Arial" w:eastAsia="黑体"/>
      <w:kern w:val="0"/>
      <w:szCs w:val="20"/>
    </w:rPr>
  </w:style>
  <w:style w:type="character" w:default="1" w:styleId="39">
    <w:name w:val="Default Paragraph Font"/>
    <w:semiHidden/>
    <w:unhideWhenUsed/>
    <w:qFormat/>
    <w:uiPriority w:val="1"/>
  </w:style>
  <w:style w:type="table" w:default="1" w:styleId="36">
    <w:name w:val="Normal Table"/>
    <w:semiHidden/>
    <w:unhideWhenUsed/>
    <w:qFormat/>
    <w:uiPriority w:val="99"/>
    <w:tblPr>
      <w:tblCellMar>
        <w:top w:w="0" w:type="dxa"/>
        <w:left w:w="108" w:type="dxa"/>
        <w:bottom w:w="0" w:type="dxa"/>
        <w:right w:w="108" w:type="dxa"/>
      </w:tblCellMar>
    </w:tblPr>
  </w:style>
  <w:style w:type="paragraph" w:styleId="4">
    <w:name w:val="Normal Indent"/>
    <w:basedOn w:val="1"/>
    <w:link w:val="48"/>
    <w:qFormat/>
    <w:uiPriority w:val="0"/>
    <w:pPr>
      <w:autoSpaceDE w:val="0"/>
      <w:autoSpaceDN w:val="0"/>
      <w:adjustRightInd w:val="0"/>
      <w:spacing w:line="315" w:lineRule="atLeast"/>
      <w:ind w:firstLine="420"/>
      <w:jc w:val="left"/>
    </w:pPr>
    <w:rPr>
      <w:rFonts w:ascii="宋体" w:hAnsi="Calibri"/>
      <w:kern w:val="0"/>
      <w:sz w:val="24"/>
      <w:szCs w:val="20"/>
    </w:rPr>
  </w:style>
  <w:style w:type="paragraph" w:styleId="12">
    <w:name w:val="caption"/>
    <w:basedOn w:val="1"/>
    <w:next w:val="1"/>
    <w:qFormat/>
    <w:uiPriority w:val="0"/>
    <w:pPr>
      <w:spacing w:before="152" w:after="160"/>
    </w:pPr>
    <w:rPr>
      <w:rFonts w:ascii="Arial" w:hAnsi="Arial" w:eastAsia="黑体" w:cs="Arial"/>
      <w:sz w:val="20"/>
      <w:szCs w:val="20"/>
    </w:rPr>
  </w:style>
  <w:style w:type="paragraph" w:styleId="13">
    <w:name w:val="Document Map"/>
    <w:basedOn w:val="1"/>
    <w:link w:val="70"/>
    <w:unhideWhenUsed/>
    <w:qFormat/>
    <w:uiPriority w:val="99"/>
    <w:rPr>
      <w:rFonts w:ascii="宋体"/>
      <w:kern w:val="0"/>
      <w:sz w:val="18"/>
      <w:szCs w:val="18"/>
    </w:rPr>
  </w:style>
  <w:style w:type="paragraph" w:styleId="14">
    <w:name w:val="annotation text"/>
    <w:basedOn w:val="1"/>
    <w:link w:val="95"/>
    <w:qFormat/>
    <w:uiPriority w:val="0"/>
    <w:pPr>
      <w:jc w:val="left"/>
    </w:pPr>
  </w:style>
  <w:style w:type="paragraph" w:styleId="15">
    <w:name w:val="Body Text 3"/>
    <w:basedOn w:val="1"/>
    <w:link w:val="94"/>
    <w:qFormat/>
    <w:uiPriority w:val="0"/>
    <w:rPr>
      <w:rFonts w:ascii="Calibri" w:hAnsi="Calibri"/>
      <w:color w:val="FF0000"/>
      <w:szCs w:val="20"/>
    </w:rPr>
  </w:style>
  <w:style w:type="paragraph" w:styleId="16">
    <w:name w:val="Body Text"/>
    <w:basedOn w:val="1"/>
    <w:link w:val="90"/>
    <w:qFormat/>
    <w:uiPriority w:val="0"/>
    <w:pPr>
      <w:spacing w:after="120"/>
    </w:pPr>
    <w:rPr>
      <w:kern w:val="0"/>
      <w:sz w:val="20"/>
    </w:rPr>
  </w:style>
  <w:style w:type="paragraph" w:styleId="17">
    <w:name w:val="Body Text Indent"/>
    <w:basedOn w:val="1"/>
    <w:link w:val="67"/>
    <w:qFormat/>
    <w:uiPriority w:val="0"/>
    <w:pPr>
      <w:spacing w:line="490" w:lineRule="exact"/>
      <w:ind w:firstLine="480" w:firstLineChars="200"/>
    </w:pPr>
    <w:rPr>
      <w:rFonts w:ascii="宋体" w:hAnsi="宋体"/>
      <w:sz w:val="24"/>
    </w:rPr>
  </w:style>
  <w:style w:type="paragraph" w:styleId="18">
    <w:name w:val="Block Text"/>
    <w:basedOn w:val="1"/>
    <w:qFormat/>
    <w:uiPriority w:val="0"/>
    <w:pPr>
      <w:ind w:left="206" w:leftChars="98" w:right="336" w:rightChars="160" w:firstLine="680" w:firstLineChars="242"/>
      <w:jc w:val="left"/>
    </w:pPr>
    <w:rPr>
      <w:b/>
      <w:bCs/>
      <w:sz w:val="28"/>
    </w:rPr>
  </w:style>
  <w:style w:type="paragraph" w:styleId="19">
    <w:name w:val="toc 3"/>
    <w:basedOn w:val="1"/>
    <w:next w:val="1"/>
    <w:semiHidden/>
    <w:qFormat/>
    <w:uiPriority w:val="0"/>
    <w:pPr>
      <w:spacing w:line="280" w:lineRule="exact"/>
      <w:jc w:val="center"/>
    </w:pPr>
  </w:style>
  <w:style w:type="paragraph" w:styleId="20">
    <w:name w:val="Plain Text"/>
    <w:basedOn w:val="1"/>
    <w:link w:val="53"/>
    <w:qFormat/>
    <w:uiPriority w:val="0"/>
    <w:rPr>
      <w:rFonts w:ascii="宋体" w:hAnsi="Courier New"/>
      <w:kern w:val="0"/>
      <w:sz w:val="20"/>
      <w:szCs w:val="21"/>
    </w:rPr>
  </w:style>
  <w:style w:type="paragraph" w:styleId="21">
    <w:name w:val="Date"/>
    <w:basedOn w:val="1"/>
    <w:next w:val="1"/>
    <w:qFormat/>
    <w:uiPriority w:val="0"/>
    <w:pPr>
      <w:autoSpaceDE w:val="0"/>
      <w:autoSpaceDN w:val="0"/>
      <w:adjustRightInd w:val="0"/>
      <w:spacing w:line="315" w:lineRule="atLeast"/>
    </w:pPr>
    <w:rPr>
      <w:rFonts w:ascii="宋体"/>
      <w:kern w:val="0"/>
      <w:sz w:val="24"/>
      <w:szCs w:val="20"/>
    </w:rPr>
  </w:style>
  <w:style w:type="paragraph" w:styleId="22">
    <w:name w:val="Body Text Indent 2"/>
    <w:basedOn w:val="1"/>
    <w:link w:val="58"/>
    <w:qFormat/>
    <w:uiPriority w:val="0"/>
    <w:pPr>
      <w:spacing w:line="500" w:lineRule="exact"/>
      <w:ind w:right="223" w:rightChars="106" w:firstLine="538" w:firstLineChars="192"/>
    </w:pPr>
    <w:rPr>
      <w:rFonts w:ascii="Calibri" w:hAnsi="Calibri"/>
      <w:sz w:val="28"/>
    </w:rPr>
  </w:style>
  <w:style w:type="paragraph" w:styleId="23">
    <w:name w:val="Balloon Text"/>
    <w:basedOn w:val="1"/>
    <w:link w:val="72"/>
    <w:unhideWhenUsed/>
    <w:qFormat/>
    <w:uiPriority w:val="99"/>
    <w:rPr>
      <w:kern w:val="0"/>
      <w:sz w:val="18"/>
      <w:szCs w:val="18"/>
    </w:rPr>
  </w:style>
  <w:style w:type="paragraph" w:styleId="24">
    <w:name w:val="footer"/>
    <w:basedOn w:val="1"/>
    <w:link w:val="78"/>
    <w:qFormat/>
    <w:uiPriority w:val="99"/>
    <w:pPr>
      <w:tabs>
        <w:tab w:val="center" w:pos="4153"/>
        <w:tab w:val="right" w:pos="8306"/>
      </w:tabs>
      <w:snapToGrid w:val="0"/>
      <w:jc w:val="left"/>
    </w:pPr>
    <w:rPr>
      <w:kern w:val="0"/>
      <w:sz w:val="18"/>
      <w:szCs w:val="18"/>
    </w:rPr>
  </w:style>
  <w:style w:type="paragraph" w:styleId="25">
    <w:name w:val="header"/>
    <w:basedOn w:val="1"/>
    <w:link w:val="93"/>
    <w:qFormat/>
    <w:uiPriority w:val="0"/>
    <w:pPr>
      <w:pBdr>
        <w:bottom w:val="single" w:color="auto" w:sz="6" w:space="1"/>
      </w:pBdr>
      <w:tabs>
        <w:tab w:val="center" w:pos="4153"/>
        <w:tab w:val="right" w:pos="8306"/>
      </w:tabs>
      <w:snapToGrid w:val="0"/>
      <w:jc w:val="center"/>
    </w:pPr>
    <w:rPr>
      <w:kern w:val="0"/>
      <w:sz w:val="18"/>
      <w:szCs w:val="18"/>
    </w:rPr>
  </w:style>
  <w:style w:type="paragraph" w:styleId="26">
    <w:name w:val="toc 1"/>
    <w:basedOn w:val="1"/>
    <w:next w:val="1"/>
    <w:unhideWhenUsed/>
    <w:qFormat/>
    <w:uiPriority w:val="39"/>
    <w:pPr>
      <w:tabs>
        <w:tab w:val="right" w:leader="dot" w:pos="8296"/>
      </w:tabs>
      <w:spacing w:line="500" w:lineRule="exact"/>
    </w:pPr>
    <w:rPr>
      <w:rFonts w:ascii="宋体" w:hAnsi="宋体"/>
      <w:b/>
      <w:sz w:val="30"/>
      <w:szCs w:val="30"/>
    </w:rPr>
  </w:style>
  <w:style w:type="paragraph" w:styleId="27">
    <w:name w:val="List"/>
    <w:basedOn w:val="1"/>
    <w:qFormat/>
    <w:uiPriority w:val="0"/>
    <w:pPr>
      <w:ind w:left="200" w:hanging="200" w:hangingChars="200"/>
    </w:pPr>
  </w:style>
  <w:style w:type="paragraph" w:styleId="28">
    <w:name w:val="Body Text Indent 3"/>
    <w:basedOn w:val="1"/>
    <w:link w:val="59"/>
    <w:qFormat/>
    <w:uiPriority w:val="0"/>
    <w:pPr>
      <w:widowControl/>
      <w:autoSpaceDE w:val="0"/>
      <w:autoSpaceDN w:val="0"/>
      <w:spacing w:line="500" w:lineRule="exact"/>
      <w:ind w:firstLine="600"/>
      <w:textAlignment w:val="bottom"/>
    </w:pPr>
    <w:rPr>
      <w:rFonts w:ascii="Calibri" w:hAnsi="Calibri"/>
      <w:color w:val="FF00FF"/>
      <w:sz w:val="28"/>
      <w:szCs w:val="20"/>
    </w:rPr>
  </w:style>
  <w:style w:type="paragraph" w:styleId="29">
    <w:name w:val="toc 2"/>
    <w:basedOn w:val="1"/>
    <w:next w:val="1"/>
    <w:qFormat/>
    <w:uiPriority w:val="39"/>
    <w:pPr>
      <w:ind w:left="420" w:leftChars="200"/>
    </w:pPr>
  </w:style>
  <w:style w:type="paragraph" w:styleId="30">
    <w:name w:val="Body Text 2"/>
    <w:basedOn w:val="1"/>
    <w:link w:val="79"/>
    <w:qFormat/>
    <w:uiPriority w:val="0"/>
    <w:pPr>
      <w:tabs>
        <w:tab w:val="left" w:pos="6480"/>
      </w:tabs>
      <w:spacing w:line="500" w:lineRule="exact"/>
      <w:ind w:right="223" w:rightChars="106"/>
    </w:pPr>
    <w:rPr>
      <w:rFonts w:ascii="Calibri" w:hAnsi="Calibri" w:eastAsia="黑体"/>
      <w:sz w:val="28"/>
    </w:rPr>
  </w:style>
  <w:style w:type="paragraph" w:styleId="31">
    <w:name w:val="HTML Preformatted"/>
    <w:basedOn w:val="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32">
    <w:name w:val="Normal (Web)"/>
    <w:basedOn w:val="1"/>
    <w:qFormat/>
    <w:uiPriority w:val="99"/>
    <w:pPr>
      <w:widowControl/>
      <w:spacing w:before="100" w:beforeAutospacing="1" w:after="100" w:afterAutospacing="1"/>
      <w:jc w:val="left"/>
    </w:pPr>
    <w:rPr>
      <w:rFonts w:ascii="宋体" w:hAnsi="宋体"/>
      <w:kern w:val="0"/>
      <w:sz w:val="24"/>
    </w:rPr>
  </w:style>
  <w:style w:type="paragraph" w:styleId="33">
    <w:name w:val="Title"/>
    <w:basedOn w:val="1"/>
    <w:next w:val="1"/>
    <w:link w:val="91"/>
    <w:qFormat/>
    <w:uiPriority w:val="0"/>
    <w:pPr>
      <w:spacing w:before="240" w:after="60"/>
      <w:jc w:val="center"/>
      <w:outlineLvl w:val="0"/>
    </w:pPr>
    <w:rPr>
      <w:rFonts w:ascii="Cambria" w:hAnsi="Cambria"/>
      <w:b/>
      <w:kern w:val="0"/>
      <w:sz w:val="32"/>
      <w:szCs w:val="20"/>
    </w:rPr>
  </w:style>
  <w:style w:type="paragraph" w:styleId="34">
    <w:name w:val="annotation subject"/>
    <w:basedOn w:val="14"/>
    <w:next w:val="14"/>
    <w:semiHidden/>
    <w:qFormat/>
    <w:uiPriority w:val="0"/>
    <w:rPr>
      <w:b/>
      <w:bCs/>
    </w:rPr>
  </w:style>
  <w:style w:type="paragraph" w:styleId="35">
    <w:name w:val="Body Text First Indent"/>
    <w:basedOn w:val="1"/>
    <w:qFormat/>
    <w:uiPriority w:val="0"/>
    <w:pPr>
      <w:ind w:firstLine="420" w:firstLineChars="100"/>
    </w:pPr>
  </w:style>
  <w:style w:type="table" w:styleId="37">
    <w:name w:val="Table Grid"/>
    <w:basedOn w:val="36"/>
    <w:qFormat/>
    <w:uiPriority w:val="0"/>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8">
    <w:name w:val="Table Simple 1"/>
    <w:basedOn w:val="36"/>
    <w:qFormat/>
    <w:uiPriority w:val="0"/>
    <w:pPr>
      <w:widowControl w:val="0"/>
      <w:jc w:val="both"/>
    </w:pPr>
    <w:rPr>
      <w:rFonts w:ascii="Times New Roman" w:hAnsi="Times New Roman"/>
    </w:r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top w:val="nil"/>
          <w:left w:val="single" w:color="008000" w:sz="6" w:space="0"/>
          <w:bottom w:val="nil"/>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character" w:styleId="40">
    <w:name w:val="Strong"/>
    <w:qFormat/>
    <w:uiPriority w:val="0"/>
    <w:rPr>
      <w:b/>
      <w:bCs/>
    </w:rPr>
  </w:style>
  <w:style w:type="character" w:styleId="41">
    <w:name w:val="page number"/>
    <w:basedOn w:val="39"/>
    <w:qFormat/>
    <w:uiPriority w:val="0"/>
  </w:style>
  <w:style w:type="character" w:styleId="42">
    <w:name w:val="FollowedHyperlink"/>
    <w:qFormat/>
    <w:uiPriority w:val="0"/>
    <w:rPr>
      <w:color w:val="800080"/>
      <w:u w:val="single"/>
    </w:rPr>
  </w:style>
  <w:style w:type="character" w:styleId="43">
    <w:name w:val="Emphasis"/>
    <w:qFormat/>
    <w:uiPriority w:val="0"/>
    <w:rPr>
      <w:color w:val="CC0033"/>
    </w:rPr>
  </w:style>
  <w:style w:type="character" w:styleId="44">
    <w:name w:val="Hyperlink"/>
    <w:unhideWhenUsed/>
    <w:qFormat/>
    <w:uiPriority w:val="99"/>
    <w:rPr>
      <w:color w:val="0000FF"/>
      <w:u w:val="single"/>
    </w:rPr>
  </w:style>
  <w:style w:type="character" w:styleId="45">
    <w:name w:val="annotation reference"/>
    <w:semiHidden/>
    <w:qFormat/>
    <w:uiPriority w:val="0"/>
    <w:rPr>
      <w:sz w:val="21"/>
      <w:szCs w:val="21"/>
    </w:rPr>
  </w:style>
  <w:style w:type="paragraph" w:customStyle="1" w:styleId="46">
    <w:name w:val="报告书正文"/>
    <w:basedOn w:val="1"/>
    <w:link w:val="230"/>
    <w:qFormat/>
    <w:uiPriority w:val="0"/>
    <w:pPr>
      <w:adjustRightInd w:val="0"/>
      <w:snapToGrid w:val="0"/>
      <w:spacing w:line="360" w:lineRule="auto"/>
      <w:ind w:firstLine="425"/>
      <w:textAlignment w:val="baseline"/>
    </w:pPr>
    <w:rPr>
      <w:rFonts w:ascii="Arial" w:hAnsi="Arial"/>
      <w:kern w:val="0"/>
      <w:sz w:val="24"/>
      <w:szCs w:val="20"/>
    </w:rPr>
  </w:style>
  <w:style w:type="character" w:customStyle="1" w:styleId="47">
    <w:name w:val="标题 1 Char"/>
    <w:link w:val="2"/>
    <w:qFormat/>
    <w:uiPriority w:val="0"/>
    <w:rPr>
      <w:rFonts w:ascii="Times New Roman" w:hAnsi="Times New Roman" w:eastAsia="宋体" w:cs="Times New Roman"/>
      <w:b/>
      <w:kern w:val="44"/>
      <w:sz w:val="44"/>
      <w:szCs w:val="20"/>
    </w:rPr>
  </w:style>
  <w:style w:type="character" w:customStyle="1" w:styleId="48">
    <w:name w:val="正文缩进 Char"/>
    <w:link w:val="4"/>
    <w:qFormat/>
    <w:uiPriority w:val="0"/>
    <w:rPr>
      <w:rFonts w:ascii="宋体" w:eastAsia="宋体"/>
      <w:sz w:val="24"/>
      <w:lang w:val="en-US" w:eastAsia="zh-CN" w:bidi="ar-SA"/>
    </w:rPr>
  </w:style>
  <w:style w:type="character" w:customStyle="1" w:styleId="49">
    <w:name w:val="标题 2 Char"/>
    <w:link w:val="3"/>
    <w:qFormat/>
    <w:uiPriority w:val="0"/>
    <w:rPr>
      <w:rFonts w:ascii="Arial" w:hAnsi="Arial" w:eastAsia="黑体"/>
      <w:b/>
      <w:sz w:val="32"/>
    </w:rPr>
  </w:style>
  <w:style w:type="character" w:customStyle="1" w:styleId="50">
    <w:name w:val="标题 3 Char"/>
    <w:link w:val="5"/>
    <w:qFormat/>
    <w:uiPriority w:val="0"/>
    <w:rPr>
      <w:spacing w:val="-2"/>
      <w:sz w:val="28"/>
    </w:rPr>
  </w:style>
  <w:style w:type="character" w:customStyle="1" w:styleId="51">
    <w:name w:val="标题 4 Char"/>
    <w:link w:val="6"/>
    <w:qFormat/>
    <w:uiPriority w:val="0"/>
    <w:rPr>
      <w:rFonts w:ascii="Arial" w:hAnsi="Arial" w:eastAsia="黑体"/>
      <w:b/>
      <w:sz w:val="28"/>
    </w:rPr>
  </w:style>
  <w:style w:type="character" w:customStyle="1" w:styleId="52">
    <w:name w:val="Mystyle 3 Char"/>
    <w:basedOn w:val="39"/>
    <w:qFormat/>
    <w:uiPriority w:val="0"/>
  </w:style>
  <w:style w:type="character" w:customStyle="1" w:styleId="53">
    <w:name w:val="纯文本 Char1"/>
    <w:link w:val="20"/>
    <w:qFormat/>
    <w:uiPriority w:val="0"/>
    <w:rPr>
      <w:rFonts w:ascii="宋体" w:hAnsi="Courier New" w:eastAsia="宋体" w:cs="Courier New"/>
      <w:szCs w:val="21"/>
    </w:rPr>
  </w:style>
  <w:style w:type="character" w:customStyle="1" w:styleId="54">
    <w:name w:val="报告正文 Char Char"/>
    <w:link w:val="55"/>
    <w:qFormat/>
    <w:uiPriority w:val="0"/>
    <w:rPr>
      <w:rFonts w:eastAsia="宋体"/>
      <w:snapToGrid w:val="0"/>
      <w:kern w:val="24"/>
      <w:sz w:val="24"/>
      <w:szCs w:val="21"/>
      <w:lang w:val="en-US" w:eastAsia="zh-CN" w:bidi="ar-SA"/>
    </w:rPr>
  </w:style>
  <w:style w:type="paragraph" w:customStyle="1" w:styleId="55">
    <w:name w:val="报告正文"/>
    <w:basedOn w:val="1"/>
    <w:link w:val="54"/>
    <w:qFormat/>
    <w:uiPriority w:val="0"/>
    <w:pPr>
      <w:adjustRightInd w:val="0"/>
      <w:spacing w:beforeLines="25" w:line="360" w:lineRule="auto"/>
      <w:ind w:firstLine="482"/>
      <w:textAlignment w:val="baseline"/>
    </w:pPr>
    <w:rPr>
      <w:rFonts w:ascii="Calibri" w:hAnsi="Calibri"/>
      <w:snapToGrid w:val="0"/>
      <w:kern w:val="24"/>
      <w:sz w:val="24"/>
      <w:szCs w:val="21"/>
    </w:rPr>
  </w:style>
  <w:style w:type="character" w:customStyle="1" w:styleId="56">
    <w:name w:val="样式 宋体 四号"/>
    <w:qFormat/>
    <w:uiPriority w:val="0"/>
    <w:rPr>
      <w:rFonts w:ascii="Times New Roman" w:hAnsi="Times New Roman" w:eastAsia="宋体"/>
      <w:sz w:val="28"/>
      <w:szCs w:val="28"/>
    </w:rPr>
  </w:style>
  <w:style w:type="character" w:customStyle="1" w:styleId="57">
    <w:name w:val="apple-converted-space"/>
    <w:basedOn w:val="39"/>
    <w:qFormat/>
    <w:uiPriority w:val="0"/>
  </w:style>
  <w:style w:type="character" w:customStyle="1" w:styleId="58">
    <w:name w:val="正文文本缩进 2 Char"/>
    <w:link w:val="22"/>
    <w:qFormat/>
    <w:uiPriority w:val="0"/>
    <w:rPr>
      <w:rFonts w:eastAsia="宋体"/>
      <w:kern w:val="2"/>
      <w:sz w:val="28"/>
      <w:szCs w:val="24"/>
      <w:lang w:val="en-US" w:eastAsia="zh-CN" w:bidi="ar-SA"/>
    </w:rPr>
  </w:style>
  <w:style w:type="character" w:customStyle="1" w:styleId="59">
    <w:name w:val="正文文本缩进 3 Char"/>
    <w:link w:val="28"/>
    <w:qFormat/>
    <w:uiPriority w:val="0"/>
    <w:rPr>
      <w:rFonts w:eastAsia="宋体"/>
      <w:color w:val="FF00FF"/>
      <w:kern w:val="2"/>
      <w:sz w:val="28"/>
      <w:lang w:val="en-US" w:eastAsia="zh-CN" w:bidi="ar-SA"/>
    </w:rPr>
  </w:style>
  <w:style w:type="character" w:customStyle="1" w:styleId="60">
    <w:name w:val="三级标题 Char"/>
    <w:link w:val="61"/>
    <w:qFormat/>
    <w:uiPriority w:val="0"/>
    <w:rPr>
      <w:rFonts w:eastAsia="宋体"/>
      <w:b/>
      <w:bCs/>
      <w:kern w:val="2"/>
      <w:sz w:val="24"/>
      <w:szCs w:val="24"/>
      <w:lang w:val="en-US" w:eastAsia="zh-CN" w:bidi="ar-SA"/>
    </w:rPr>
  </w:style>
  <w:style w:type="paragraph" w:customStyle="1" w:styleId="61">
    <w:name w:val="三级标题"/>
    <w:basedOn w:val="1"/>
    <w:link w:val="60"/>
    <w:qFormat/>
    <w:uiPriority w:val="0"/>
    <w:pPr>
      <w:spacing w:before="300" w:line="460" w:lineRule="exact"/>
      <w:outlineLvl w:val="2"/>
    </w:pPr>
    <w:rPr>
      <w:rFonts w:ascii="Calibri" w:hAnsi="Calibri"/>
      <w:b/>
      <w:bCs/>
      <w:sz w:val="24"/>
    </w:rPr>
  </w:style>
  <w:style w:type="character" w:customStyle="1" w:styleId="62">
    <w:name w:val="表格标题 Char"/>
    <w:qFormat/>
    <w:uiPriority w:val="0"/>
    <w:rPr>
      <w:rFonts w:eastAsia="宋体"/>
      <w:kern w:val="2"/>
      <w:sz w:val="24"/>
      <w:szCs w:val="24"/>
      <w:lang w:val="en-US" w:eastAsia="zh-CN" w:bidi="ar-SA"/>
    </w:rPr>
  </w:style>
  <w:style w:type="character" w:customStyle="1" w:styleId="63">
    <w:name w:val="样式 正文001 + Times New Roman Char"/>
    <w:link w:val="64"/>
    <w:qFormat/>
    <w:uiPriority w:val="0"/>
    <w:rPr>
      <w:rFonts w:eastAsia="宋体"/>
      <w:kern w:val="2"/>
      <w:sz w:val="24"/>
      <w:lang w:val="en-US" w:eastAsia="zh-CN" w:bidi="ar-SA"/>
    </w:rPr>
  </w:style>
  <w:style w:type="paragraph" w:customStyle="1" w:styleId="64">
    <w:name w:val="样式 正文001 + Times New Roman"/>
    <w:basedOn w:val="65"/>
    <w:link w:val="63"/>
    <w:qFormat/>
    <w:uiPriority w:val="0"/>
    <w:pPr>
      <w:spacing w:before="60" w:line="460" w:lineRule="exact"/>
      <w:ind w:firstLine="482" w:firstLineChars="0"/>
    </w:pPr>
  </w:style>
  <w:style w:type="paragraph" w:customStyle="1" w:styleId="65">
    <w:name w:val="正文001"/>
    <w:basedOn w:val="1"/>
    <w:link w:val="66"/>
    <w:qFormat/>
    <w:uiPriority w:val="0"/>
    <w:pPr>
      <w:spacing w:line="500" w:lineRule="atLeast"/>
      <w:ind w:firstLine="200" w:firstLineChars="200"/>
    </w:pPr>
    <w:rPr>
      <w:rFonts w:ascii="Calibri" w:hAnsi="Calibri"/>
      <w:sz w:val="24"/>
      <w:szCs w:val="20"/>
    </w:rPr>
  </w:style>
  <w:style w:type="character" w:customStyle="1" w:styleId="66">
    <w:name w:val="正文001 Char"/>
    <w:link w:val="65"/>
    <w:qFormat/>
    <w:uiPriority w:val="0"/>
    <w:rPr>
      <w:rFonts w:eastAsia="宋体"/>
      <w:kern w:val="2"/>
      <w:sz w:val="24"/>
      <w:lang w:val="en-US" w:eastAsia="zh-CN" w:bidi="ar-SA"/>
    </w:rPr>
  </w:style>
  <w:style w:type="character" w:customStyle="1" w:styleId="67">
    <w:name w:val="正文文本缩进 Char"/>
    <w:link w:val="17"/>
    <w:qFormat/>
    <w:uiPriority w:val="0"/>
    <w:rPr>
      <w:rFonts w:ascii="宋体" w:hAnsi="宋体" w:eastAsia="宋体"/>
      <w:kern w:val="2"/>
      <w:sz w:val="24"/>
      <w:szCs w:val="24"/>
      <w:lang w:val="en-US" w:eastAsia="zh-CN" w:bidi="ar-SA"/>
    </w:rPr>
  </w:style>
  <w:style w:type="character" w:customStyle="1" w:styleId="68">
    <w:name w:val="表格 Char Char"/>
    <w:link w:val="69"/>
    <w:qFormat/>
    <w:uiPriority w:val="0"/>
    <w:rPr>
      <w:rFonts w:eastAsia="宋体"/>
      <w:kern w:val="2"/>
      <w:sz w:val="21"/>
      <w:szCs w:val="24"/>
      <w:lang w:val="en-US" w:eastAsia="zh-CN" w:bidi="ar-SA"/>
    </w:rPr>
  </w:style>
  <w:style w:type="paragraph" w:customStyle="1" w:styleId="69">
    <w:name w:val="表格"/>
    <w:basedOn w:val="1"/>
    <w:link w:val="68"/>
    <w:qFormat/>
    <w:uiPriority w:val="0"/>
    <w:pPr>
      <w:spacing w:line="320" w:lineRule="exact"/>
      <w:jc w:val="center"/>
    </w:pPr>
    <w:rPr>
      <w:rFonts w:ascii="Calibri" w:hAnsi="Calibri"/>
    </w:rPr>
  </w:style>
  <w:style w:type="character" w:customStyle="1" w:styleId="70">
    <w:name w:val="文档结构图 Char"/>
    <w:link w:val="13"/>
    <w:semiHidden/>
    <w:qFormat/>
    <w:uiPriority w:val="99"/>
    <w:rPr>
      <w:rFonts w:ascii="宋体" w:hAnsi="Times New Roman" w:eastAsia="宋体" w:cs="Times New Roman"/>
      <w:sz w:val="18"/>
      <w:szCs w:val="18"/>
    </w:rPr>
  </w:style>
  <w:style w:type="character" w:customStyle="1" w:styleId="71">
    <w:name w:val="Char Char5"/>
    <w:qFormat/>
    <w:uiPriority w:val="0"/>
    <w:rPr>
      <w:rFonts w:eastAsia="宋体"/>
      <w:kern w:val="2"/>
      <w:sz w:val="21"/>
      <w:lang w:val="en-US" w:eastAsia="zh-CN" w:bidi="ar-SA"/>
    </w:rPr>
  </w:style>
  <w:style w:type="character" w:customStyle="1" w:styleId="72">
    <w:name w:val="批注框文本 Char"/>
    <w:link w:val="23"/>
    <w:semiHidden/>
    <w:qFormat/>
    <w:uiPriority w:val="99"/>
    <w:rPr>
      <w:rFonts w:ascii="Times New Roman" w:hAnsi="Times New Roman" w:eastAsia="宋体" w:cs="Times New Roman"/>
      <w:sz w:val="18"/>
      <w:szCs w:val="18"/>
    </w:rPr>
  </w:style>
  <w:style w:type="character" w:customStyle="1" w:styleId="73">
    <w:name w:val="Char Char8"/>
    <w:qFormat/>
    <w:uiPriority w:val="0"/>
    <w:rPr>
      <w:rFonts w:eastAsia="宋体"/>
      <w:kern w:val="2"/>
      <w:sz w:val="18"/>
      <w:szCs w:val="18"/>
      <w:lang w:val="en-US" w:eastAsia="zh-CN" w:bidi="ar-SA"/>
    </w:rPr>
  </w:style>
  <w:style w:type="character" w:customStyle="1" w:styleId="74">
    <w:name w:val="WW-纯文本 Char"/>
    <w:link w:val="75"/>
    <w:qFormat/>
    <w:uiPriority w:val="0"/>
    <w:rPr>
      <w:rFonts w:ascii="宋体" w:hAnsi="宋体" w:eastAsia="楷体_GB2312" w:cs="Courier New"/>
      <w:sz w:val="21"/>
      <w:szCs w:val="21"/>
      <w:lang w:val="en-US" w:bidi="ar-SA"/>
    </w:rPr>
  </w:style>
  <w:style w:type="paragraph" w:customStyle="1" w:styleId="75">
    <w:name w:val="WW-纯文本"/>
    <w:basedOn w:val="1"/>
    <w:link w:val="74"/>
    <w:qFormat/>
    <w:uiPriority w:val="0"/>
    <w:pPr>
      <w:suppressAutoHyphens/>
      <w:spacing w:line="312" w:lineRule="atLeast"/>
      <w:textAlignment w:val="baseline"/>
    </w:pPr>
    <w:rPr>
      <w:rFonts w:ascii="宋体" w:hAnsi="宋体" w:eastAsia="楷体_GB2312" w:cs="Courier New"/>
      <w:kern w:val="0"/>
      <w:szCs w:val="21"/>
    </w:rPr>
  </w:style>
  <w:style w:type="character" w:customStyle="1" w:styleId="76">
    <w:name w:val="表格正文 Char"/>
    <w:link w:val="77"/>
    <w:qFormat/>
    <w:uiPriority w:val="0"/>
    <w:rPr>
      <w:rFonts w:eastAsia="宋体"/>
      <w:kern w:val="2"/>
      <w:sz w:val="21"/>
      <w:szCs w:val="24"/>
      <w:lang w:val="en-US" w:eastAsia="zh-CN" w:bidi="ar-SA"/>
    </w:rPr>
  </w:style>
  <w:style w:type="paragraph" w:customStyle="1" w:styleId="77">
    <w:name w:val="表格正文"/>
    <w:basedOn w:val="1"/>
    <w:link w:val="76"/>
    <w:qFormat/>
    <w:uiPriority w:val="0"/>
    <w:pPr>
      <w:spacing w:line="360" w:lineRule="exact"/>
      <w:jc w:val="center"/>
    </w:pPr>
    <w:rPr>
      <w:rFonts w:ascii="Calibri" w:hAnsi="Calibri"/>
    </w:rPr>
  </w:style>
  <w:style w:type="character" w:customStyle="1" w:styleId="78">
    <w:name w:val="页脚 Char"/>
    <w:link w:val="24"/>
    <w:qFormat/>
    <w:uiPriority w:val="99"/>
    <w:rPr>
      <w:rFonts w:ascii="Times New Roman" w:hAnsi="Times New Roman" w:eastAsia="宋体" w:cs="Times New Roman"/>
      <w:sz w:val="18"/>
      <w:szCs w:val="18"/>
    </w:rPr>
  </w:style>
  <w:style w:type="character" w:customStyle="1" w:styleId="79">
    <w:name w:val="正文文本 2 Char"/>
    <w:link w:val="30"/>
    <w:qFormat/>
    <w:uiPriority w:val="0"/>
    <w:rPr>
      <w:rFonts w:eastAsia="黑体"/>
      <w:kern w:val="2"/>
      <w:sz w:val="28"/>
      <w:szCs w:val="24"/>
      <w:lang w:val="en-US" w:eastAsia="zh-CN" w:bidi="ar-SA"/>
    </w:rPr>
  </w:style>
  <w:style w:type="character" w:customStyle="1" w:styleId="80">
    <w:name w:val="纯文本 Char"/>
    <w:qFormat/>
    <w:uiPriority w:val="0"/>
    <w:rPr>
      <w:rFonts w:ascii="宋体" w:hAnsi="Courier New" w:eastAsia="宋体" w:cs="Courier New"/>
      <w:szCs w:val="21"/>
    </w:rPr>
  </w:style>
  <w:style w:type="character" w:customStyle="1" w:styleId="81">
    <w:name w:val="apple-style-span"/>
    <w:basedOn w:val="39"/>
    <w:qFormat/>
    <w:uiPriority w:val="0"/>
  </w:style>
  <w:style w:type="character" w:customStyle="1" w:styleId="82">
    <w:name w:val="zwb-正文 Char"/>
    <w:link w:val="83"/>
    <w:qFormat/>
    <w:uiPriority w:val="0"/>
    <w:rPr>
      <w:rFonts w:eastAsia="宋体"/>
      <w:kern w:val="2"/>
      <w:sz w:val="24"/>
      <w:szCs w:val="24"/>
      <w:lang w:val="en-US" w:eastAsia="zh-CN" w:bidi="ar-SA"/>
    </w:rPr>
  </w:style>
  <w:style w:type="paragraph" w:customStyle="1" w:styleId="83">
    <w:name w:val="zwb-正文"/>
    <w:basedOn w:val="1"/>
    <w:link w:val="82"/>
    <w:qFormat/>
    <w:uiPriority w:val="0"/>
    <w:pPr>
      <w:spacing w:line="360" w:lineRule="auto"/>
      <w:ind w:firstLine="480" w:firstLineChars="200"/>
    </w:pPr>
    <w:rPr>
      <w:rFonts w:ascii="Calibri" w:hAnsi="Calibri"/>
      <w:sz w:val="24"/>
    </w:rPr>
  </w:style>
  <w:style w:type="character" w:customStyle="1" w:styleId="84">
    <w:name w:val="普通文字 Char Char1"/>
    <w:qFormat/>
    <w:uiPriority w:val="0"/>
    <w:rPr>
      <w:rFonts w:ascii="宋体" w:eastAsia="宋体"/>
      <w:kern w:val="2"/>
      <w:sz w:val="21"/>
      <w:lang w:val="en-US" w:eastAsia="zh-CN" w:bidi="ar-SA"/>
    </w:rPr>
  </w:style>
  <w:style w:type="character" w:customStyle="1" w:styleId="85">
    <w:name w:val="Normal Char"/>
    <w:link w:val="86"/>
    <w:qFormat/>
    <w:uiPriority w:val="0"/>
    <w:rPr>
      <w:rFonts w:ascii="宋体"/>
      <w:sz w:val="24"/>
      <w:lang w:val="en-US" w:eastAsia="zh-CN" w:bidi="ar-SA"/>
    </w:rPr>
  </w:style>
  <w:style w:type="paragraph" w:customStyle="1" w:styleId="86">
    <w:name w:val="正文1"/>
    <w:link w:val="85"/>
    <w:qFormat/>
    <w:uiPriority w:val="0"/>
    <w:pPr>
      <w:widowControl w:val="0"/>
      <w:adjustRightInd w:val="0"/>
      <w:spacing w:line="315" w:lineRule="atLeast"/>
      <w:textAlignment w:val="baseline"/>
    </w:pPr>
    <w:rPr>
      <w:rFonts w:ascii="宋体" w:hAnsi="Calibri" w:eastAsia="宋体" w:cs="Times New Roman"/>
      <w:sz w:val="24"/>
      <w:lang w:val="en-US" w:eastAsia="zh-CN" w:bidi="ar-SA"/>
    </w:rPr>
  </w:style>
  <w:style w:type="character" w:customStyle="1" w:styleId="87">
    <w:name w:val="正文01 Char1"/>
    <w:link w:val="88"/>
    <w:qFormat/>
    <w:uiPriority w:val="0"/>
    <w:rPr>
      <w:rFonts w:eastAsia="宋体"/>
      <w:kern w:val="2"/>
      <w:sz w:val="24"/>
      <w:lang w:val="en-US" w:eastAsia="zh-CN" w:bidi="ar-SA"/>
    </w:rPr>
  </w:style>
  <w:style w:type="paragraph" w:customStyle="1" w:styleId="88">
    <w:name w:val="正文01"/>
    <w:basedOn w:val="1"/>
    <w:link w:val="87"/>
    <w:qFormat/>
    <w:uiPriority w:val="0"/>
    <w:pPr>
      <w:spacing w:before="60" w:line="460" w:lineRule="exact"/>
      <w:ind w:firstLine="200" w:firstLineChars="200"/>
    </w:pPr>
    <w:rPr>
      <w:rFonts w:ascii="Calibri" w:hAnsi="Calibri"/>
      <w:sz w:val="24"/>
      <w:szCs w:val="20"/>
    </w:rPr>
  </w:style>
  <w:style w:type="character" w:customStyle="1" w:styleId="89">
    <w:name w:val="页眉 Char"/>
    <w:qFormat/>
    <w:uiPriority w:val="99"/>
    <w:rPr>
      <w:rFonts w:ascii="Times New Roman" w:hAnsi="Times New Roman" w:eastAsia="宋体" w:cs="Times New Roman"/>
      <w:sz w:val="18"/>
      <w:szCs w:val="18"/>
    </w:rPr>
  </w:style>
  <w:style w:type="character" w:customStyle="1" w:styleId="90">
    <w:name w:val="正文文本 Char"/>
    <w:link w:val="16"/>
    <w:qFormat/>
    <w:uiPriority w:val="0"/>
    <w:rPr>
      <w:rFonts w:ascii="Times New Roman" w:hAnsi="Times New Roman" w:eastAsia="宋体" w:cs="Times New Roman"/>
      <w:szCs w:val="24"/>
    </w:rPr>
  </w:style>
  <w:style w:type="character" w:customStyle="1" w:styleId="91">
    <w:name w:val="标题 Char"/>
    <w:link w:val="33"/>
    <w:qFormat/>
    <w:uiPriority w:val="0"/>
    <w:rPr>
      <w:rFonts w:ascii="Cambria" w:hAnsi="Cambria" w:eastAsia="宋体" w:cs="Times New Roman"/>
      <w:b/>
      <w:sz w:val="32"/>
      <w:szCs w:val="20"/>
    </w:rPr>
  </w:style>
  <w:style w:type="character" w:customStyle="1" w:styleId="92">
    <w:name w:val="content"/>
    <w:basedOn w:val="39"/>
    <w:qFormat/>
    <w:uiPriority w:val="0"/>
  </w:style>
  <w:style w:type="character" w:customStyle="1" w:styleId="93">
    <w:name w:val="页眉 Char1"/>
    <w:link w:val="25"/>
    <w:qFormat/>
    <w:uiPriority w:val="0"/>
    <w:rPr>
      <w:rFonts w:ascii="Times New Roman" w:hAnsi="Times New Roman" w:eastAsia="宋体" w:cs="Times New Roman"/>
      <w:sz w:val="18"/>
      <w:szCs w:val="18"/>
    </w:rPr>
  </w:style>
  <w:style w:type="character" w:customStyle="1" w:styleId="94">
    <w:name w:val="正文文本 3 Char"/>
    <w:link w:val="15"/>
    <w:qFormat/>
    <w:uiPriority w:val="0"/>
    <w:rPr>
      <w:rFonts w:eastAsia="宋体"/>
      <w:color w:val="FF0000"/>
      <w:kern w:val="2"/>
      <w:sz w:val="21"/>
      <w:lang w:val="en-US" w:eastAsia="zh-CN" w:bidi="ar-SA"/>
    </w:rPr>
  </w:style>
  <w:style w:type="character" w:customStyle="1" w:styleId="95">
    <w:name w:val="批注文字 Char"/>
    <w:link w:val="14"/>
    <w:qFormat/>
    <w:uiPriority w:val="0"/>
    <w:rPr>
      <w:rFonts w:ascii="Times New Roman" w:hAnsi="Times New Roman"/>
      <w:kern w:val="2"/>
      <w:sz w:val="21"/>
      <w:szCs w:val="24"/>
    </w:rPr>
  </w:style>
  <w:style w:type="paragraph" w:customStyle="1" w:styleId="96">
    <w:name w:val="简单回函地址"/>
    <w:basedOn w:val="1"/>
    <w:qFormat/>
    <w:uiPriority w:val="0"/>
    <w:rPr>
      <w:szCs w:val="20"/>
    </w:rPr>
  </w:style>
  <w:style w:type="paragraph" w:customStyle="1" w:styleId="97">
    <w:name w:val="页眉3"/>
    <w:basedOn w:val="86"/>
    <w:qFormat/>
    <w:uiPriority w:val="0"/>
    <w:pPr>
      <w:pBdr>
        <w:bottom w:val="single" w:color="auto" w:sz="6" w:space="1"/>
      </w:pBdr>
      <w:tabs>
        <w:tab w:val="center" w:pos="4153"/>
        <w:tab w:val="right" w:pos="8306"/>
      </w:tabs>
      <w:spacing w:line="240" w:lineRule="atLeast"/>
      <w:jc w:val="center"/>
    </w:pPr>
    <w:rPr>
      <w:sz w:val="18"/>
    </w:rPr>
  </w:style>
  <w:style w:type="paragraph" w:customStyle="1" w:styleId="98">
    <w:name w:val="Char"/>
    <w:basedOn w:val="1"/>
    <w:qFormat/>
    <w:uiPriority w:val="0"/>
    <w:pPr>
      <w:widowControl/>
      <w:spacing w:after="160" w:line="240" w:lineRule="exact"/>
      <w:jc w:val="left"/>
    </w:pPr>
    <w:rPr>
      <w:rFonts w:ascii="Arial" w:hAnsi="Arial" w:eastAsia="Times New Roman" w:cs="Verdana"/>
      <w:b/>
      <w:kern w:val="0"/>
      <w:sz w:val="24"/>
      <w:lang w:eastAsia="en-US"/>
    </w:rPr>
  </w:style>
  <w:style w:type="paragraph" w:customStyle="1" w:styleId="99">
    <w:name w:val="xl23"/>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Arial Unicode MS" w:hAnsi="Arial Unicode MS" w:eastAsia="Arial Unicode MS"/>
      <w:kern w:val="0"/>
      <w:sz w:val="24"/>
      <w:szCs w:val="20"/>
    </w:rPr>
  </w:style>
  <w:style w:type="paragraph" w:customStyle="1" w:styleId="100">
    <w:name w:val="Char1 Char Char Char Char Char"/>
    <w:basedOn w:val="1"/>
    <w:qFormat/>
    <w:uiPriority w:val="0"/>
    <w:pPr>
      <w:spacing w:line="360" w:lineRule="auto"/>
      <w:ind w:firstLine="200" w:firstLineChars="200"/>
    </w:pPr>
    <w:rPr>
      <w:rFonts w:ascii="Tahoma" w:hAnsi="Tahoma"/>
      <w:sz w:val="24"/>
      <w:szCs w:val="20"/>
    </w:rPr>
  </w:style>
  <w:style w:type="paragraph" w:customStyle="1" w:styleId="101">
    <w:name w:val="样式 标题 3 + (中文) 仿宋_GB2312 四号 段前: 0 磅 段后: 0 磅 行距: 固定值 25 磅"/>
    <w:basedOn w:val="5"/>
    <w:qFormat/>
    <w:uiPriority w:val="0"/>
    <w:pPr>
      <w:tabs>
        <w:tab w:val="left" w:pos="1260"/>
        <w:tab w:val="clear" w:pos="720"/>
        <w:tab w:val="clear" w:pos="851"/>
      </w:tabs>
      <w:adjustRightInd/>
      <w:snapToGrid w:val="0"/>
      <w:spacing w:beforeLines="50" w:afterLines="50" w:line="500" w:lineRule="exact"/>
      <w:ind w:left="0" w:firstLine="0"/>
      <w:textAlignment w:val="auto"/>
    </w:pPr>
    <w:rPr>
      <w:rFonts w:eastAsia="仿宋_GB2312" w:cs="宋体"/>
      <w:b/>
      <w:bCs/>
      <w:spacing w:val="0"/>
      <w:kern w:val="2"/>
    </w:rPr>
  </w:style>
  <w:style w:type="paragraph" w:customStyle="1" w:styleId="102">
    <w:name w:val="表格02"/>
    <w:basedOn w:val="1"/>
    <w:qFormat/>
    <w:uiPriority w:val="0"/>
    <w:pPr>
      <w:spacing w:line="360" w:lineRule="exact"/>
      <w:jc w:val="center"/>
    </w:pPr>
    <w:rPr>
      <w:snapToGrid w:val="0"/>
      <w:kern w:val="0"/>
      <w:sz w:val="24"/>
      <w:szCs w:val="20"/>
    </w:rPr>
  </w:style>
  <w:style w:type="paragraph" w:customStyle="1" w:styleId="103">
    <w:name w:val="（）"/>
    <w:basedOn w:val="1"/>
    <w:qFormat/>
    <w:uiPriority w:val="0"/>
    <w:pPr>
      <w:ind w:firstLine="600" w:firstLineChars="200"/>
    </w:pPr>
    <w:rPr>
      <w:sz w:val="30"/>
      <w:szCs w:val="20"/>
    </w:rPr>
  </w:style>
  <w:style w:type="paragraph" w:customStyle="1" w:styleId="104">
    <w:name w:val="默认段落字体 Para Char"/>
    <w:basedOn w:val="1"/>
    <w:qFormat/>
    <w:uiPriority w:val="0"/>
    <w:pPr>
      <w:spacing w:line="360" w:lineRule="auto"/>
      <w:ind w:firstLine="200" w:firstLineChars="200"/>
    </w:pPr>
    <w:rPr>
      <w:rFonts w:ascii="宋体" w:hAnsi="宋体" w:cs="宋体"/>
      <w:sz w:val="24"/>
    </w:rPr>
  </w:style>
  <w:style w:type="paragraph" w:customStyle="1" w:styleId="105">
    <w:name w:val="Char Char Char Char Char Char Char Char Char Char1 Char Char Char Char Char Char Char Char Char Char1"/>
    <w:basedOn w:val="1"/>
    <w:qFormat/>
    <w:uiPriority w:val="0"/>
  </w:style>
  <w:style w:type="paragraph" w:customStyle="1" w:styleId="106">
    <w:name w:val="Char Char Char Char1"/>
    <w:basedOn w:val="1"/>
    <w:qFormat/>
    <w:uiPriority w:val="0"/>
    <w:pPr>
      <w:tabs>
        <w:tab w:val="left" w:pos="1080"/>
      </w:tabs>
      <w:jc w:val="left"/>
    </w:pPr>
    <w:rPr>
      <w:szCs w:val="21"/>
    </w:rPr>
  </w:style>
  <w:style w:type="paragraph" w:customStyle="1" w:styleId="107">
    <w:name w:val="Char Char Char Char Char Char1 Char Char Char Char1"/>
    <w:basedOn w:val="1"/>
    <w:qFormat/>
    <w:uiPriority w:val="0"/>
    <w:rPr>
      <w:sz w:val="24"/>
    </w:rPr>
  </w:style>
  <w:style w:type="paragraph" w:customStyle="1" w:styleId="108">
    <w:name w:val="表文"/>
    <w:basedOn w:val="1"/>
    <w:link w:val="109"/>
    <w:qFormat/>
    <w:uiPriority w:val="0"/>
    <w:pPr>
      <w:tabs>
        <w:tab w:val="left" w:pos="6480"/>
      </w:tabs>
      <w:spacing w:line="360" w:lineRule="exact"/>
    </w:pPr>
    <w:rPr>
      <w:rFonts w:ascii="宋体" w:hAnsi="宋体"/>
      <w:sz w:val="24"/>
    </w:rPr>
  </w:style>
  <w:style w:type="character" w:customStyle="1" w:styleId="109">
    <w:name w:val="表文 Char"/>
    <w:link w:val="108"/>
    <w:qFormat/>
    <w:uiPriority w:val="0"/>
    <w:rPr>
      <w:rFonts w:ascii="宋体" w:hAnsi="宋体"/>
      <w:kern w:val="2"/>
      <w:sz w:val="24"/>
      <w:szCs w:val="24"/>
    </w:rPr>
  </w:style>
  <w:style w:type="paragraph" w:customStyle="1" w:styleId="110">
    <w:name w:val="Char Char Char Char Char Char1 Char Char Char Char"/>
    <w:basedOn w:val="1"/>
    <w:qFormat/>
    <w:uiPriority w:val="0"/>
    <w:rPr>
      <w:sz w:val="24"/>
    </w:rPr>
  </w:style>
  <w:style w:type="paragraph" w:customStyle="1" w:styleId="111">
    <w:name w:val="xl29"/>
    <w:basedOn w:val="1"/>
    <w:qFormat/>
    <w:uiPriority w:val="0"/>
    <w:pPr>
      <w:widowControl/>
      <w:spacing w:before="100" w:after="100"/>
      <w:jc w:val="center"/>
    </w:pPr>
    <w:rPr>
      <w:kern w:val="0"/>
      <w:sz w:val="24"/>
      <w:szCs w:val="20"/>
    </w:rPr>
  </w:style>
  <w:style w:type="paragraph" w:customStyle="1" w:styleId="112">
    <w:name w:val="font0"/>
    <w:basedOn w:val="1"/>
    <w:qFormat/>
    <w:uiPriority w:val="0"/>
    <w:pPr>
      <w:widowControl/>
      <w:spacing w:before="100" w:beforeAutospacing="1" w:after="100" w:afterAutospacing="1"/>
      <w:jc w:val="left"/>
    </w:pPr>
    <w:rPr>
      <w:rFonts w:hint="eastAsia" w:ascii="宋体" w:hAnsi="宋体"/>
      <w:kern w:val="0"/>
      <w:sz w:val="24"/>
      <w:szCs w:val="20"/>
    </w:rPr>
  </w:style>
  <w:style w:type="paragraph" w:customStyle="1" w:styleId="113">
    <w:name w:val="正文缩进1"/>
    <w:basedOn w:val="86"/>
    <w:qFormat/>
    <w:uiPriority w:val="0"/>
    <w:pPr>
      <w:ind w:firstLine="420"/>
    </w:pPr>
    <w:rPr>
      <w:sz w:val="21"/>
    </w:rPr>
  </w:style>
  <w:style w:type="paragraph" w:customStyle="1" w:styleId="114">
    <w:name w:val="Char Char Char Char Char Char Char"/>
    <w:basedOn w:val="1"/>
    <w:qFormat/>
    <w:uiPriority w:val="0"/>
    <w:pPr>
      <w:widowControl/>
      <w:spacing w:after="160" w:line="240" w:lineRule="exact"/>
      <w:jc w:val="left"/>
    </w:pPr>
    <w:rPr>
      <w:rFonts w:ascii="Verdana" w:hAnsi="Verdana"/>
      <w:kern w:val="0"/>
      <w:sz w:val="20"/>
      <w:szCs w:val="20"/>
      <w:lang w:eastAsia="en-US"/>
    </w:rPr>
  </w:style>
  <w:style w:type="paragraph" w:customStyle="1" w:styleId="115">
    <w:name w:val="xl27"/>
    <w:basedOn w:val="1"/>
    <w:qFormat/>
    <w:uiPriority w:val="0"/>
    <w:pPr>
      <w:widowControl/>
      <w:pBdr>
        <w:top w:val="double" w:color="auto" w:sz="6" w:space="0"/>
        <w:left w:val="single" w:color="auto" w:sz="4" w:space="0"/>
        <w:bottom w:val="single" w:color="auto" w:sz="4" w:space="0"/>
        <w:right w:val="single" w:color="auto" w:sz="4" w:space="0"/>
      </w:pBdr>
      <w:spacing w:before="100" w:beforeAutospacing="1" w:after="100" w:afterAutospacing="1"/>
    </w:pPr>
    <w:rPr>
      <w:rFonts w:ascii="Arial Unicode MS" w:hAnsi="Arial Unicode MS" w:eastAsia="Arial Unicode MS"/>
      <w:kern w:val="0"/>
      <w:sz w:val="24"/>
      <w:szCs w:val="20"/>
    </w:rPr>
  </w:style>
  <w:style w:type="paragraph" w:customStyle="1" w:styleId="116">
    <w:name w:val="表中文字"/>
    <w:basedOn w:val="1"/>
    <w:qFormat/>
    <w:uiPriority w:val="0"/>
    <w:pPr>
      <w:snapToGrid w:val="0"/>
      <w:spacing w:line="300" w:lineRule="exact"/>
      <w:jc w:val="center"/>
    </w:pPr>
    <w:rPr>
      <w:sz w:val="18"/>
      <w:szCs w:val="18"/>
    </w:rPr>
  </w:style>
  <w:style w:type="paragraph" w:customStyle="1" w:styleId="117">
    <w:name w:val="批注框文本 Char Char"/>
    <w:basedOn w:val="1"/>
    <w:qFormat/>
    <w:uiPriority w:val="0"/>
    <w:rPr>
      <w:sz w:val="18"/>
      <w:szCs w:val="20"/>
    </w:rPr>
  </w:style>
  <w:style w:type="paragraph" w:customStyle="1" w:styleId="118">
    <w:name w:val="标题5"/>
    <w:basedOn w:val="1"/>
    <w:qFormat/>
    <w:uiPriority w:val="0"/>
    <w:rPr>
      <w:sz w:val="28"/>
      <w:szCs w:val="20"/>
    </w:rPr>
  </w:style>
  <w:style w:type="paragraph" w:customStyle="1" w:styleId="119">
    <w:name w:val="Default"/>
    <w:next w:val="1"/>
    <w:qFormat/>
    <w:uiPriority w:val="99"/>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120">
    <w:name w:val="标准"/>
    <w:basedOn w:val="1"/>
    <w:qFormat/>
    <w:uiPriority w:val="0"/>
    <w:pPr>
      <w:adjustRightInd w:val="0"/>
      <w:spacing w:line="480" w:lineRule="exact"/>
      <w:textAlignment w:val="baseline"/>
    </w:pPr>
    <w:rPr>
      <w:kern w:val="0"/>
      <w:sz w:val="28"/>
      <w:szCs w:val="20"/>
    </w:rPr>
  </w:style>
  <w:style w:type="paragraph" w:customStyle="1" w:styleId="121">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pPr>
    <w:rPr>
      <w:rFonts w:ascii="Arial Unicode MS" w:hAnsi="Arial Unicode MS" w:eastAsia="Arial Unicode MS"/>
      <w:kern w:val="0"/>
      <w:sz w:val="18"/>
      <w:szCs w:val="20"/>
    </w:rPr>
  </w:style>
  <w:style w:type="paragraph" w:customStyle="1" w:styleId="122">
    <w:name w:val="仿宋体"/>
    <w:basedOn w:val="1"/>
    <w:qFormat/>
    <w:uiPriority w:val="0"/>
    <w:pPr>
      <w:widowControl/>
      <w:spacing w:line="844" w:lineRule="atLeast"/>
      <w:ind w:firstLine="419"/>
      <w:textAlignment w:val="baseline"/>
    </w:pPr>
    <w:rPr>
      <w:rFonts w:eastAsia="仿宋_GB2312"/>
      <w:color w:val="000000"/>
      <w:kern w:val="0"/>
      <w:sz w:val="31"/>
      <w:szCs w:val="20"/>
      <w:u w:color="000000"/>
    </w:rPr>
  </w:style>
  <w:style w:type="paragraph" w:customStyle="1" w:styleId="123">
    <w:name w:val="段"/>
    <w:qFormat/>
    <w:uiPriority w:val="0"/>
    <w:pPr>
      <w:tabs>
        <w:tab w:val="left" w:pos="0"/>
      </w:tabs>
      <w:autoSpaceDE w:val="0"/>
      <w:autoSpaceDN w:val="0"/>
      <w:adjustRightInd w:val="0"/>
      <w:snapToGrid w:val="0"/>
      <w:spacing w:line="360" w:lineRule="auto"/>
      <w:ind w:right="-124" w:rightChars="-59"/>
      <w:jc w:val="center"/>
    </w:pPr>
    <w:rPr>
      <w:rFonts w:ascii="Times New Roman" w:hAnsi="Times New Roman" w:eastAsia="宋体" w:cs="Times New Roman"/>
      <w:b/>
      <w:color w:val="000000"/>
      <w:kern w:val="2"/>
      <w:sz w:val="24"/>
      <w:szCs w:val="24"/>
      <w:lang w:val="en-US" w:eastAsia="zh-CN" w:bidi="ar-SA"/>
    </w:rPr>
  </w:style>
  <w:style w:type="paragraph" w:customStyle="1" w:styleId="124">
    <w:name w:val="xl28"/>
    <w:basedOn w:val="1"/>
    <w:qFormat/>
    <w:uiPriority w:val="0"/>
    <w:pPr>
      <w:widowControl/>
      <w:pBdr>
        <w:top w:val="double" w:color="auto" w:sz="6" w:space="0"/>
        <w:left w:val="single" w:color="auto" w:sz="4" w:space="0"/>
        <w:bottom w:val="single" w:color="auto" w:sz="4" w:space="0"/>
        <w:right w:val="single" w:color="auto" w:sz="4" w:space="0"/>
      </w:pBdr>
      <w:spacing w:before="100" w:beforeAutospacing="1" w:after="100" w:afterAutospacing="1"/>
      <w:jc w:val="center"/>
    </w:pPr>
    <w:rPr>
      <w:rFonts w:ascii="Arial Unicode MS" w:hAnsi="Arial Unicode MS" w:eastAsia="Arial Unicode MS"/>
      <w:kern w:val="0"/>
      <w:sz w:val="24"/>
      <w:szCs w:val="20"/>
    </w:rPr>
  </w:style>
  <w:style w:type="paragraph" w:customStyle="1" w:styleId="125">
    <w:name w:val="正文文本缩进1"/>
    <w:basedOn w:val="1"/>
    <w:qFormat/>
    <w:uiPriority w:val="0"/>
    <w:pPr>
      <w:spacing w:line="490" w:lineRule="exact"/>
      <w:ind w:firstLine="480" w:firstLineChars="200"/>
    </w:pPr>
    <w:rPr>
      <w:rFonts w:ascii="宋体" w:hAnsi="宋体"/>
      <w:sz w:val="24"/>
    </w:rPr>
  </w:style>
  <w:style w:type="paragraph" w:customStyle="1" w:styleId="126">
    <w:name w:val="正文1 Char Char Char"/>
    <w:basedOn w:val="1"/>
    <w:qFormat/>
    <w:uiPriority w:val="0"/>
    <w:pPr>
      <w:adjustRightInd w:val="0"/>
      <w:snapToGrid w:val="0"/>
    </w:pPr>
    <w:rPr>
      <w:sz w:val="24"/>
      <w:szCs w:val="20"/>
    </w:rPr>
  </w:style>
  <w:style w:type="paragraph" w:customStyle="1" w:styleId="127">
    <w:name w:val="xl25"/>
    <w:basedOn w:val="1"/>
    <w:qFormat/>
    <w:uiPriority w:val="0"/>
    <w:pPr>
      <w:widowControl/>
      <w:pBdr>
        <w:left w:val="single" w:color="auto" w:sz="4" w:space="0"/>
        <w:bottom w:val="single" w:color="auto" w:sz="4" w:space="0"/>
        <w:right w:val="single" w:color="auto" w:sz="4" w:space="0"/>
      </w:pBdr>
      <w:spacing w:before="100" w:beforeAutospacing="1" w:after="100" w:afterAutospacing="1"/>
    </w:pPr>
    <w:rPr>
      <w:rFonts w:ascii="Arial Unicode MS" w:hAnsi="Arial Unicode MS" w:eastAsia="Arial Unicode MS"/>
      <w:kern w:val="0"/>
      <w:sz w:val="24"/>
      <w:szCs w:val="20"/>
    </w:rPr>
  </w:style>
  <w:style w:type="paragraph" w:customStyle="1" w:styleId="128">
    <w:name w:val="表格样式"/>
    <w:basedOn w:val="1"/>
    <w:qFormat/>
    <w:uiPriority w:val="0"/>
    <w:pPr>
      <w:widowControl/>
      <w:spacing w:line="360" w:lineRule="exact"/>
      <w:jc w:val="left"/>
    </w:pPr>
    <w:rPr>
      <w:rFonts w:ascii="宋体" w:hAnsi="宋体"/>
      <w:kern w:val="0"/>
      <w:szCs w:val="21"/>
    </w:rPr>
  </w:style>
  <w:style w:type="paragraph" w:customStyle="1" w:styleId="129">
    <w:name w:val="Char Char Char Char Char Char Char Char Char Char1 Char Char Char Char Char Char Char Char Char Char Char Char Char Char Char Char Char Char Char Char Char Char Char Char Char"/>
    <w:basedOn w:val="1"/>
    <w:qFormat/>
    <w:uiPriority w:val="0"/>
  </w:style>
  <w:style w:type="paragraph" w:customStyle="1" w:styleId="130">
    <w:name w:val="样式9表格"/>
    <w:next w:val="1"/>
    <w:qFormat/>
    <w:uiPriority w:val="0"/>
    <w:pPr>
      <w:spacing w:before="120" w:line="300" w:lineRule="auto"/>
      <w:jc w:val="center"/>
    </w:pPr>
    <w:rPr>
      <w:rFonts w:ascii="Times New Roman" w:hAnsi="Times New Roman" w:eastAsia="宋体" w:cs="Times New Roman"/>
      <w:sz w:val="21"/>
      <w:lang w:val="en-US" w:eastAsia="zh-CN" w:bidi="ar-SA"/>
    </w:rPr>
  </w:style>
  <w:style w:type="paragraph" w:customStyle="1" w:styleId="131">
    <w:name w:val="Char Char1 Char"/>
    <w:basedOn w:val="1"/>
    <w:next w:val="1"/>
    <w:qFormat/>
    <w:uiPriority w:val="0"/>
    <w:pPr>
      <w:spacing w:line="360" w:lineRule="auto"/>
      <w:ind w:firstLine="200" w:firstLineChars="200"/>
    </w:pPr>
    <w:rPr>
      <w:rFonts w:ascii="宋体" w:hAnsi="宋体" w:cs="宋体"/>
      <w:sz w:val="24"/>
    </w:rPr>
  </w:style>
  <w:style w:type="paragraph" w:customStyle="1" w:styleId="132">
    <w:name w:val="表"/>
    <w:basedOn w:val="1"/>
    <w:qFormat/>
    <w:uiPriority w:val="0"/>
    <w:pPr>
      <w:snapToGrid w:val="0"/>
      <w:jc w:val="center"/>
    </w:pPr>
    <w:rPr>
      <w:spacing w:val="2"/>
      <w:szCs w:val="20"/>
    </w:rPr>
  </w:style>
  <w:style w:type="paragraph" w:customStyle="1" w:styleId="133">
    <w:name w:val="页脚1"/>
    <w:basedOn w:val="86"/>
    <w:qFormat/>
    <w:uiPriority w:val="0"/>
    <w:pPr>
      <w:tabs>
        <w:tab w:val="center" w:pos="4153"/>
        <w:tab w:val="right" w:pos="8306"/>
      </w:tabs>
      <w:spacing w:line="240" w:lineRule="atLeast"/>
    </w:pPr>
    <w:rPr>
      <w:sz w:val="18"/>
    </w:rPr>
  </w:style>
  <w:style w:type="paragraph" w:customStyle="1" w:styleId="134">
    <w:name w:val="正文2"/>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135">
    <w:name w:val="xl38"/>
    <w:basedOn w:val="1"/>
    <w:qFormat/>
    <w:uiPriority w:val="0"/>
    <w:pPr>
      <w:widowControl/>
      <w:pBdr>
        <w:bottom w:val="single" w:color="000000" w:sz="4" w:space="0"/>
        <w:right w:val="single" w:color="auto" w:sz="4" w:space="0"/>
      </w:pBdr>
      <w:spacing w:before="100" w:beforeAutospacing="1" w:after="100" w:afterAutospacing="1"/>
      <w:jc w:val="center"/>
    </w:pPr>
    <w:rPr>
      <w:rFonts w:ascii="宋体" w:hAnsi="宋体"/>
      <w:kern w:val="0"/>
      <w:szCs w:val="21"/>
    </w:rPr>
  </w:style>
  <w:style w:type="paragraph" w:customStyle="1" w:styleId="136">
    <w:name w:val="Char Char Char Char Char"/>
    <w:basedOn w:val="1"/>
    <w:qFormat/>
    <w:uiPriority w:val="0"/>
  </w:style>
  <w:style w:type="paragraph" w:customStyle="1" w:styleId="137">
    <w:name w:val="列出段落1"/>
    <w:basedOn w:val="1"/>
    <w:qFormat/>
    <w:uiPriority w:val="0"/>
    <w:pPr>
      <w:ind w:firstLine="420" w:firstLineChars="200"/>
    </w:pPr>
  </w:style>
  <w:style w:type="paragraph" w:customStyle="1" w:styleId="138">
    <w:name w:val="正文文本缩进2"/>
    <w:basedOn w:val="1"/>
    <w:qFormat/>
    <w:uiPriority w:val="0"/>
    <w:pPr>
      <w:spacing w:line="490" w:lineRule="exact"/>
      <w:ind w:firstLine="480" w:firstLineChars="200"/>
    </w:pPr>
    <w:rPr>
      <w:rFonts w:ascii="宋体" w:hAnsi="宋体"/>
      <w:sz w:val="24"/>
    </w:rPr>
  </w:style>
  <w:style w:type="paragraph" w:customStyle="1" w:styleId="139">
    <w:name w:val="Body Text 21"/>
    <w:basedOn w:val="1"/>
    <w:qFormat/>
    <w:uiPriority w:val="0"/>
    <w:pPr>
      <w:autoSpaceDE w:val="0"/>
      <w:autoSpaceDN w:val="0"/>
      <w:adjustRightInd w:val="0"/>
      <w:spacing w:line="500" w:lineRule="atLeast"/>
      <w:ind w:firstLine="480"/>
      <w:textAlignment w:val="bottom"/>
    </w:pPr>
    <w:rPr>
      <w:sz w:val="28"/>
      <w:szCs w:val="20"/>
    </w:rPr>
  </w:style>
  <w:style w:type="paragraph" w:customStyle="1" w:styleId="140">
    <w:name w:val="内容"/>
    <w:basedOn w:val="1"/>
    <w:link w:val="141"/>
    <w:qFormat/>
    <w:uiPriority w:val="0"/>
    <w:pPr>
      <w:spacing w:beforeLines="50" w:afterLines="50"/>
      <w:ind w:firstLine="200" w:firstLineChars="200"/>
    </w:pPr>
    <w:rPr>
      <w:rFonts w:ascii="Calibri" w:hAnsi="Calibri"/>
      <w:color w:val="000000"/>
      <w:sz w:val="24"/>
      <w:szCs w:val="20"/>
    </w:rPr>
  </w:style>
  <w:style w:type="character" w:customStyle="1" w:styleId="141">
    <w:name w:val="内容 Char"/>
    <w:link w:val="140"/>
    <w:qFormat/>
    <w:locked/>
    <w:uiPriority w:val="0"/>
    <w:rPr>
      <w:rFonts w:eastAsia="宋体"/>
      <w:color w:val="000000"/>
      <w:kern w:val="2"/>
      <w:sz w:val="24"/>
      <w:lang w:val="en-US" w:eastAsia="zh-CN" w:bidi="ar-SA"/>
    </w:rPr>
  </w:style>
  <w:style w:type="paragraph" w:customStyle="1" w:styleId="142">
    <w:name w:val="样式 纯文本 + Arial 小四 黑色 首行缩进:  0.85 厘米 行距: 固定值 22 磅"/>
    <w:basedOn w:val="20"/>
    <w:qFormat/>
    <w:uiPriority w:val="0"/>
    <w:pPr>
      <w:adjustRightInd w:val="0"/>
      <w:snapToGrid w:val="0"/>
      <w:spacing w:line="440" w:lineRule="exact"/>
      <w:ind w:firstLine="482"/>
    </w:pPr>
    <w:rPr>
      <w:rFonts w:ascii="Arial" w:hAnsi="Arial"/>
      <w:color w:val="000000"/>
      <w:kern w:val="2"/>
      <w:sz w:val="24"/>
      <w:szCs w:val="20"/>
    </w:rPr>
  </w:style>
  <w:style w:type="paragraph" w:customStyle="1" w:styleId="143">
    <w:name w:val="样式1"/>
    <w:basedOn w:val="1"/>
    <w:qFormat/>
    <w:uiPriority w:val="0"/>
    <w:pPr>
      <w:spacing w:line="500" w:lineRule="exact"/>
    </w:pPr>
    <w:rPr>
      <w:rFonts w:ascii="宋体" w:hAnsi="宋体"/>
      <w:bCs/>
      <w:iCs/>
      <w:sz w:val="32"/>
      <w:szCs w:val="18"/>
    </w:rPr>
  </w:style>
  <w:style w:type="paragraph" w:customStyle="1" w:styleId="144">
    <w:name w:val="标题 11"/>
    <w:basedOn w:val="86"/>
    <w:next w:val="86"/>
    <w:qFormat/>
    <w:uiPriority w:val="0"/>
    <w:pPr>
      <w:spacing w:before="360" w:after="360"/>
    </w:pPr>
    <w:rPr>
      <w:b/>
      <w:sz w:val="60"/>
    </w:rPr>
  </w:style>
  <w:style w:type="paragraph" w:customStyle="1" w:styleId="145">
    <w:name w:val="正文文本 21"/>
    <w:basedOn w:val="1"/>
    <w:qFormat/>
    <w:uiPriority w:val="0"/>
    <w:pPr>
      <w:autoSpaceDE w:val="0"/>
      <w:autoSpaceDN w:val="0"/>
      <w:adjustRightInd w:val="0"/>
      <w:spacing w:line="360" w:lineRule="auto"/>
      <w:ind w:firstLine="480"/>
      <w:jc w:val="left"/>
      <w:textAlignment w:val="bottom"/>
    </w:pPr>
    <w:rPr>
      <w:kern w:val="0"/>
      <w:sz w:val="24"/>
      <w:szCs w:val="20"/>
    </w:rPr>
  </w:style>
  <w:style w:type="paragraph" w:customStyle="1" w:styleId="146">
    <w:name w:val="表格样式1"/>
    <w:basedOn w:val="1"/>
    <w:qFormat/>
    <w:uiPriority w:val="0"/>
    <w:pPr>
      <w:adjustRightInd w:val="0"/>
      <w:spacing w:line="20" w:lineRule="atLeast"/>
      <w:ind w:firstLine="200" w:firstLineChars="200"/>
      <w:jc w:val="center"/>
      <w:textAlignment w:val="baseline"/>
    </w:pPr>
    <w:rPr>
      <w:rFonts w:ascii="宋体" w:eastAsia="仿宋_GB2312"/>
      <w:kern w:val="0"/>
      <w:sz w:val="24"/>
      <w:szCs w:val="20"/>
    </w:rPr>
  </w:style>
  <w:style w:type="paragraph" w:customStyle="1" w:styleId="147">
    <w:name w:val="Char Char Char Char Char Char Char Char Char Char1 Char Char Char Char Char Char Char Char Char Char Char Char Char"/>
    <w:basedOn w:val="1"/>
    <w:qFormat/>
    <w:uiPriority w:val="0"/>
  </w:style>
  <w:style w:type="paragraph" w:customStyle="1" w:styleId="148">
    <w:name w:val="Char Char Char Char Char Char Char Char1 Char Char Char Char Char Char Char"/>
    <w:basedOn w:val="1"/>
    <w:qFormat/>
    <w:uiPriority w:val="0"/>
    <w:pPr>
      <w:widowControl/>
      <w:snapToGrid w:val="0"/>
      <w:spacing w:line="360" w:lineRule="auto"/>
      <w:ind w:firstLine="200" w:firstLineChars="200"/>
      <w:jc w:val="left"/>
    </w:pPr>
    <w:rPr>
      <w:rFonts w:eastAsia="仿宋_GB2312"/>
      <w:kern w:val="0"/>
      <w:sz w:val="24"/>
    </w:rPr>
  </w:style>
  <w:style w:type="paragraph" w:customStyle="1" w:styleId="149">
    <w:name w:val="表头"/>
    <w:basedOn w:val="27"/>
    <w:link w:val="150"/>
    <w:qFormat/>
    <w:uiPriority w:val="0"/>
    <w:pPr>
      <w:widowControl/>
      <w:overflowPunct w:val="0"/>
      <w:autoSpaceDE w:val="0"/>
      <w:autoSpaceDN w:val="0"/>
      <w:adjustRightInd w:val="0"/>
      <w:spacing w:line="360" w:lineRule="auto"/>
      <w:ind w:left="0" w:firstLine="0" w:firstLineChars="0"/>
      <w:jc w:val="center"/>
      <w:textAlignment w:val="baseline"/>
    </w:pPr>
    <w:rPr>
      <w:rFonts w:ascii="宋体" w:hAnsi="宋体"/>
      <w:b/>
      <w:kern w:val="10"/>
    </w:rPr>
  </w:style>
  <w:style w:type="character" w:customStyle="1" w:styleId="150">
    <w:name w:val="表头 Char"/>
    <w:link w:val="149"/>
    <w:qFormat/>
    <w:uiPriority w:val="0"/>
    <w:rPr>
      <w:rFonts w:ascii="宋体" w:hAnsi="宋体"/>
      <w:b/>
      <w:kern w:val="10"/>
      <w:sz w:val="21"/>
      <w:szCs w:val="24"/>
    </w:rPr>
  </w:style>
  <w:style w:type="paragraph" w:customStyle="1" w:styleId="151">
    <w:name w:val="xl31"/>
    <w:basedOn w:val="1"/>
    <w:qFormat/>
    <w:uiPriority w:val="0"/>
    <w:pPr>
      <w:widowControl/>
      <w:spacing w:before="100" w:beforeAutospacing="1" w:after="100" w:afterAutospacing="1"/>
      <w:jc w:val="center"/>
    </w:pPr>
    <w:rPr>
      <w:kern w:val="0"/>
      <w:sz w:val="24"/>
    </w:rPr>
  </w:style>
  <w:style w:type="paragraph" w:customStyle="1" w:styleId="152">
    <w:name w:val="文本"/>
    <w:basedOn w:val="1"/>
    <w:next w:val="16"/>
    <w:qFormat/>
    <w:uiPriority w:val="0"/>
    <w:rPr>
      <w:sz w:val="28"/>
    </w:rPr>
  </w:style>
  <w:style w:type="paragraph" w:customStyle="1" w:styleId="153">
    <w:name w:val="Char Char Char Char Char Char Char Char"/>
    <w:basedOn w:val="1"/>
    <w:qFormat/>
    <w:uiPriority w:val="0"/>
  </w:style>
  <w:style w:type="paragraph" w:customStyle="1" w:styleId="154">
    <w:name w:val="tit4"/>
    <w:basedOn w:val="1"/>
    <w:qFormat/>
    <w:uiPriority w:val="0"/>
    <w:pPr>
      <w:widowControl/>
      <w:spacing w:before="100" w:beforeAutospacing="1" w:after="100" w:afterAutospacing="1"/>
      <w:jc w:val="left"/>
    </w:pPr>
    <w:rPr>
      <w:rFonts w:ascii="宋体" w:hAnsi="宋体" w:cs="宋体"/>
      <w:color w:val="C70100"/>
      <w:kern w:val="0"/>
      <w:sz w:val="20"/>
      <w:szCs w:val="20"/>
    </w:rPr>
  </w:style>
  <w:style w:type="paragraph" w:customStyle="1" w:styleId="155">
    <w:name w:val="正文+首行缩进"/>
    <w:basedOn w:val="1"/>
    <w:qFormat/>
    <w:uiPriority w:val="0"/>
    <w:pPr>
      <w:snapToGrid w:val="0"/>
      <w:spacing w:line="360" w:lineRule="auto"/>
      <w:ind w:firstLine="480" w:firstLineChars="200"/>
      <w:jc w:val="left"/>
    </w:pPr>
    <w:rPr>
      <w:rFonts w:cs="宋体"/>
      <w:sz w:val="24"/>
      <w:szCs w:val="20"/>
    </w:rPr>
  </w:style>
  <w:style w:type="paragraph" w:customStyle="1" w:styleId="156">
    <w:name w:val="正文文字"/>
    <w:qFormat/>
    <w:uiPriority w:val="0"/>
    <w:pPr>
      <w:spacing w:before="119" w:line="351" w:lineRule="atLeast"/>
      <w:ind w:firstLine="419"/>
      <w:jc w:val="both"/>
      <w:textAlignment w:val="baseline"/>
    </w:pPr>
    <w:rPr>
      <w:rFonts w:ascii="Times New Roman" w:hAnsi="Times New Roman" w:eastAsia="宋体" w:cs="Times New Roman"/>
      <w:color w:val="000000"/>
      <w:sz w:val="21"/>
      <w:u w:color="000000"/>
      <w:lang w:val="en-US" w:eastAsia="zh-CN" w:bidi="ar-SA"/>
    </w:rPr>
  </w:style>
  <w:style w:type="paragraph" w:customStyle="1" w:styleId="157">
    <w:name w:val="Char Char Char Char Char Char Char Char Char Char Char"/>
    <w:basedOn w:val="1"/>
    <w:qFormat/>
    <w:uiPriority w:val="0"/>
  </w:style>
  <w:style w:type="paragraph" w:customStyle="1" w:styleId="158">
    <w:name w:val="样式 行距: 多倍行距 1.25 字行"/>
    <w:basedOn w:val="1"/>
    <w:qFormat/>
    <w:uiPriority w:val="0"/>
    <w:pPr>
      <w:spacing w:line="300" w:lineRule="auto"/>
      <w:ind w:firstLine="480" w:firstLineChars="200"/>
    </w:pPr>
    <w:rPr>
      <w:sz w:val="24"/>
      <w:szCs w:val="20"/>
    </w:rPr>
  </w:style>
  <w:style w:type="paragraph" w:customStyle="1" w:styleId="159">
    <w:name w:val="Char Char Char Char"/>
    <w:basedOn w:val="1"/>
    <w:qFormat/>
    <w:uiPriority w:val="0"/>
  </w:style>
  <w:style w:type="paragraph" w:customStyle="1" w:styleId="160">
    <w:name w:val="纯文本2"/>
    <w:basedOn w:val="1"/>
    <w:qFormat/>
    <w:uiPriority w:val="0"/>
    <w:pPr>
      <w:adjustRightInd w:val="0"/>
      <w:textAlignment w:val="baseline"/>
    </w:pPr>
    <w:rPr>
      <w:rFonts w:ascii="宋体" w:hAnsi="Courier New"/>
      <w:szCs w:val="20"/>
    </w:rPr>
  </w:style>
  <w:style w:type="paragraph" w:customStyle="1" w:styleId="161">
    <w:name w:val="CONT-0"/>
    <w:basedOn w:val="1"/>
    <w:qFormat/>
    <w:uiPriority w:val="0"/>
    <w:pPr>
      <w:adjustRightInd w:val="0"/>
      <w:spacing w:line="480" w:lineRule="atLeast"/>
      <w:ind w:firstLine="567"/>
      <w:textAlignment w:val="baseline"/>
    </w:pPr>
    <w:rPr>
      <w:rFonts w:eastAsia="DFKai-SB"/>
      <w:kern w:val="0"/>
      <w:sz w:val="28"/>
      <w:szCs w:val="20"/>
      <w:lang w:eastAsia="zh-TW"/>
    </w:rPr>
  </w:style>
  <w:style w:type="paragraph" w:customStyle="1" w:styleId="162">
    <w:name w:val="表内字"/>
    <w:qFormat/>
    <w:uiPriority w:val="0"/>
    <w:pPr>
      <w:spacing w:line="312" w:lineRule="auto"/>
      <w:jc w:val="center"/>
    </w:pPr>
    <w:rPr>
      <w:rFonts w:ascii="Times New Roman" w:hAnsi="Times New Roman" w:eastAsia="宋体" w:cs="Times New Roman"/>
      <w:color w:val="000000"/>
      <w:sz w:val="21"/>
      <w:lang w:val="en-US" w:eastAsia="zh-CN" w:bidi="ar-SA"/>
    </w:rPr>
  </w:style>
  <w:style w:type="paragraph" w:customStyle="1" w:styleId="163">
    <w:name w:val="Char1"/>
    <w:basedOn w:val="1"/>
    <w:qFormat/>
    <w:uiPriority w:val="0"/>
  </w:style>
  <w:style w:type="paragraph" w:customStyle="1" w:styleId="164">
    <w:name w:val="Char Char Char Char Char Char Char Char Char Char1 Char Char Char Char Char Char Char Char Char Char"/>
    <w:basedOn w:val="1"/>
    <w:qFormat/>
    <w:uiPriority w:val="0"/>
  </w:style>
  <w:style w:type="paragraph" w:customStyle="1" w:styleId="165">
    <w:name w:val="font5"/>
    <w:basedOn w:val="1"/>
    <w:qFormat/>
    <w:uiPriority w:val="0"/>
    <w:pPr>
      <w:widowControl/>
      <w:spacing w:before="100" w:beforeAutospacing="1" w:after="100" w:afterAutospacing="1"/>
      <w:jc w:val="left"/>
    </w:pPr>
    <w:rPr>
      <w:rFonts w:hint="eastAsia" w:ascii="宋体" w:hAnsi="宋体"/>
      <w:kern w:val="0"/>
      <w:sz w:val="18"/>
      <w:szCs w:val="20"/>
    </w:rPr>
  </w:style>
  <w:style w:type="paragraph" w:customStyle="1" w:styleId="166">
    <w:name w:val="xl26"/>
    <w:basedOn w:val="1"/>
    <w:qFormat/>
    <w:uiPriority w:val="0"/>
    <w:pPr>
      <w:widowControl/>
      <w:pBdr>
        <w:bottom w:val="single" w:color="auto" w:sz="4" w:space="0"/>
        <w:right w:val="single" w:color="auto" w:sz="4" w:space="0"/>
      </w:pBdr>
      <w:spacing w:before="100" w:beforeAutospacing="1" w:after="100" w:afterAutospacing="1"/>
      <w:jc w:val="center"/>
      <w:textAlignment w:val="top"/>
    </w:pPr>
    <w:rPr>
      <w:kern w:val="0"/>
      <w:szCs w:val="20"/>
    </w:rPr>
  </w:style>
  <w:style w:type="paragraph" w:customStyle="1" w:styleId="167">
    <w:name w:val="样式 标题 3 + Arial"/>
    <w:basedOn w:val="1"/>
    <w:qFormat/>
    <w:uiPriority w:val="0"/>
    <w:rPr>
      <w:szCs w:val="20"/>
    </w:rPr>
  </w:style>
  <w:style w:type="paragraph" w:customStyle="1" w:styleId="168">
    <w:name w:val="font8"/>
    <w:basedOn w:val="1"/>
    <w:qFormat/>
    <w:uiPriority w:val="0"/>
    <w:pPr>
      <w:widowControl/>
      <w:spacing w:before="100" w:beforeAutospacing="1" w:after="100" w:afterAutospacing="1"/>
      <w:jc w:val="left"/>
    </w:pPr>
    <w:rPr>
      <w:color w:val="000000"/>
      <w:kern w:val="0"/>
      <w:sz w:val="22"/>
      <w:szCs w:val="22"/>
    </w:rPr>
  </w:style>
  <w:style w:type="paragraph" w:customStyle="1" w:styleId="169">
    <w:name w:val="表格文字2"/>
    <w:basedOn w:val="1"/>
    <w:qFormat/>
    <w:uiPriority w:val="0"/>
    <w:pPr>
      <w:adjustRightInd w:val="0"/>
      <w:snapToGrid w:val="0"/>
      <w:jc w:val="center"/>
      <w:textAlignment w:val="baseline"/>
    </w:pPr>
    <w:rPr>
      <w:rFonts w:ascii="Arial" w:hAnsi="Arial"/>
      <w:sz w:val="24"/>
    </w:rPr>
  </w:style>
  <w:style w:type="paragraph" w:customStyle="1" w:styleId="170">
    <w:name w:val="Char1 Char Char Char Char Char1"/>
    <w:basedOn w:val="1"/>
    <w:qFormat/>
    <w:uiPriority w:val="0"/>
    <w:pPr>
      <w:spacing w:line="360" w:lineRule="auto"/>
      <w:ind w:firstLine="200" w:firstLineChars="200"/>
    </w:pPr>
    <w:rPr>
      <w:rFonts w:ascii="Tahoma" w:hAnsi="Tahoma"/>
      <w:sz w:val="24"/>
      <w:szCs w:val="20"/>
    </w:rPr>
  </w:style>
  <w:style w:type="paragraph" w:customStyle="1" w:styleId="171">
    <w:name w:val="日期1"/>
    <w:basedOn w:val="1"/>
    <w:next w:val="1"/>
    <w:qFormat/>
    <w:uiPriority w:val="0"/>
    <w:pPr>
      <w:autoSpaceDE w:val="0"/>
      <w:autoSpaceDN w:val="0"/>
      <w:adjustRightInd w:val="0"/>
      <w:textAlignment w:val="baseline"/>
    </w:pPr>
    <w:rPr>
      <w:spacing w:val="5"/>
      <w:kern w:val="0"/>
      <w:sz w:val="24"/>
      <w:szCs w:val="20"/>
    </w:rPr>
  </w:style>
  <w:style w:type="paragraph" w:customStyle="1" w:styleId="172">
    <w:name w:val="xl24"/>
    <w:basedOn w:val="1"/>
    <w:qFormat/>
    <w:uiPriority w:val="0"/>
    <w:pPr>
      <w:widowControl/>
      <w:pBdr>
        <w:right w:val="single" w:color="auto" w:sz="4" w:space="0"/>
      </w:pBdr>
      <w:spacing w:before="100" w:beforeAutospacing="1" w:after="100" w:afterAutospacing="1"/>
      <w:jc w:val="center"/>
      <w:textAlignment w:val="center"/>
    </w:pPr>
    <w:rPr>
      <w:rFonts w:ascii="Arial Unicode MS" w:hAnsi="Arial Unicode MS" w:eastAsia="Arial Unicode MS"/>
      <w:kern w:val="0"/>
      <w:sz w:val="24"/>
      <w:szCs w:val="20"/>
    </w:rPr>
  </w:style>
  <w:style w:type="paragraph" w:customStyle="1" w:styleId="173">
    <w:name w:val="Char Char Char Char Char Char Char Char Char Char1 Char Char Char Char Char Char Char Char Char Char Char Char Char Char Char Char Char Char Char Char Char Char Char Char Char1"/>
    <w:basedOn w:val="1"/>
    <w:qFormat/>
    <w:uiPriority w:val="0"/>
  </w:style>
  <w:style w:type="paragraph" w:customStyle="1" w:styleId="174">
    <w:name w:val="首行缩进"/>
    <w:basedOn w:val="1"/>
    <w:qFormat/>
    <w:uiPriority w:val="0"/>
    <w:pPr>
      <w:spacing w:line="480" w:lineRule="exact"/>
      <w:jc w:val="center"/>
    </w:pPr>
    <w:rPr>
      <w:spacing w:val="20"/>
      <w:szCs w:val="20"/>
    </w:rPr>
  </w:style>
  <w:style w:type="paragraph" w:customStyle="1" w:styleId="175">
    <w:name w:val="table1"/>
    <w:basedOn w:val="1"/>
    <w:qFormat/>
    <w:uiPriority w:val="0"/>
    <w:pPr>
      <w:adjustRightInd w:val="0"/>
      <w:spacing w:line="240" w:lineRule="atLeast"/>
      <w:jc w:val="center"/>
      <w:textAlignment w:val="baseline"/>
    </w:pPr>
    <w:rPr>
      <w:rFonts w:eastAsia="黑体"/>
      <w:kern w:val="0"/>
      <w:sz w:val="24"/>
    </w:rPr>
  </w:style>
  <w:style w:type="paragraph" w:customStyle="1" w:styleId="176">
    <w:name w:val="样式3"/>
    <w:basedOn w:val="1"/>
    <w:qFormat/>
    <w:uiPriority w:val="0"/>
    <w:pPr>
      <w:spacing w:line="288" w:lineRule="auto"/>
      <w:jc w:val="center"/>
    </w:pPr>
    <w:rPr>
      <w:rFonts w:ascii="宋体" w:hAnsi="宋体"/>
      <w:bCs/>
      <w:sz w:val="24"/>
    </w:rPr>
  </w:style>
  <w:style w:type="paragraph" w:customStyle="1" w:styleId="177">
    <w:name w:val="Char4"/>
    <w:basedOn w:val="1"/>
    <w:qFormat/>
    <w:uiPriority w:val="0"/>
    <w:pPr>
      <w:spacing w:line="360" w:lineRule="auto"/>
      <w:ind w:firstLine="200" w:firstLineChars="200"/>
    </w:pPr>
    <w:rPr>
      <w:rFonts w:ascii="宋体" w:hAnsi="宋体" w:cs="宋体"/>
      <w:sz w:val="24"/>
    </w:rPr>
  </w:style>
  <w:style w:type="paragraph" w:customStyle="1" w:styleId="178">
    <w:name w:val="Char Char Char Char Char Char Char Char Char Char Char Char"/>
    <w:basedOn w:val="1"/>
    <w:qFormat/>
    <w:uiPriority w:val="0"/>
    <w:pPr>
      <w:tabs>
        <w:tab w:val="left" w:pos="1723"/>
      </w:tabs>
      <w:ind w:left="1723" w:hanging="1080"/>
    </w:pPr>
    <w:rPr>
      <w:rFonts w:eastAsia="仿宋_GB2312"/>
      <w:sz w:val="24"/>
      <w:szCs w:val="32"/>
    </w:rPr>
  </w:style>
  <w:style w:type="paragraph" w:customStyle="1" w:styleId="179">
    <w:name w:val="Char Char Char Char Char Char Char Char Char Char"/>
    <w:basedOn w:val="1"/>
    <w:qFormat/>
    <w:uiPriority w:val="0"/>
    <w:pPr>
      <w:spacing w:line="400" w:lineRule="exact"/>
    </w:pPr>
    <w:rPr>
      <w:rFonts w:ascii="Tahoma" w:hAnsi="Tahoma"/>
      <w:sz w:val="24"/>
      <w:szCs w:val="20"/>
    </w:rPr>
  </w:style>
  <w:style w:type="paragraph" w:customStyle="1" w:styleId="180">
    <w:name w:val="正文11"/>
    <w:qFormat/>
    <w:uiPriority w:val="0"/>
    <w:pPr>
      <w:widowControl w:val="0"/>
      <w:tabs>
        <w:tab w:val="left" w:pos="567"/>
      </w:tabs>
      <w:adjustRightInd w:val="0"/>
      <w:spacing w:line="360" w:lineRule="atLeast"/>
      <w:ind w:left="567" w:hanging="567"/>
      <w:textAlignment w:val="baseline"/>
    </w:pPr>
    <w:rPr>
      <w:rFonts w:ascii="宋体" w:hAnsi="Times New Roman" w:eastAsia="宋体" w:cs="Times New Roman"/>
      <w:sz w:val="24"/>
      <w:lang w:val="en-US" w:eastAsia="zh-CN" w:bidi="ar-SA"/>
    </w:rPr>
  </w:style>
  <w:style w:type="paragraph" w:customStyle="1" w:styleId="181">
    <w:name w:val="바탕글"/>
    <w:qFormat/>
    <w:uiPriority w:val="0"/>
    <w:pPr>
      <w:widowControl w:val="0"/>
      <w:autoSpaceDE w:val="0"/>
      <w:autoSpaceDN w:val="0"/>
      <w:adjustRightInd w:val="0"/>
      <w:spacing w:line="299" w:lineRule="atLeast"/>
      <w:jc w:val="both"/>
    </w:pPr>
    <w:rPr>
      <w:rFonts w:ascii="BatangChe" w:hAnsi="Times New Roman" w:eastAsia="BatangChe" w:cs="Times New Roman"/>
      <w:color w:val="000000"/>
      <w:lang w:val="en-US" w:eastAsia="ko-KR" w:bidi="ar-SA"/>
    </w:rPr>
  </w:style>
  <w:style w:type="paragraph" w:customStyle="1" w:styleId="182">
    <w:name w:val="样式2"/>
    <w:basedOn w:val="1"/>
    <w:qFormat/>
    <w:uiPriority w:val="0"/>
    <w:pPr>
      <w:adjustRightInd w:val="0"/>
      <w:spacing w:line="410" w:lineRule="atLeast"/>
      <w:textAlignment w:val="baseline"/>
    </w:pPr>
    <w:rPr>
      <w:kern w:val="0"/>
      <w:sz w:val="24"/>
      <w:szCs w:val="20"/>
    </w:rPr>
  </w:style>
  <w:style w:type="paragraph" w:customStyle="1" w:styleId="183">
    <w:name w:val="样式 样式 正文缩进 + 首行缩进:  2 字符 + 首行缩进:  2 字符"/>
    <w:basedOn w:val="1"/>
    <w:qFormat/>
    <w:uiPriority w:val="0"/>
    <w:pPr>
      <w:widowControl/>
      <w:tabs>
        <w:tab w:val="left" w:pos="480"/>
      </w:tabs>
      <w:autoSpaceDE w:val="0"/>
      <w:autoSpaceDN w:val="0"/>
      <w:adjustRightInd w:val="0"/>
      <w:spacing w:line="360" w:lineRule="auto"/>
      <w:ind w:firstLine="480"/>
      <w:textAlignment w:val="bottom"/>
    </w:pPr>
    <w:rPr>
      <w:rFonts w:cs="宋体"/>
      <w:kern w:val="0"/>
      <w:sz w:val="26"/>
      <w:szCs w:val="20"/>
    </w:rPr>
  </w:style>
  <w:style w:type="paragraph" w:customStyle="1" w:styleId="184">
    <w:name w:val="样式5"/>
    <w:basedOn w:val="1"/>
    <w:qFormat/>
    <w:uiPriority w:val="0"/>
    <w:pPr>
      <w:tabs>
        <w:tab w:val="left" w:pos="2580"/>
      </w:tabs>
      <w:ind w:left="2580" w:hanging="420"/>
    </w:pPr>
    <w:rPr>
      <w:szCs w:val="21"/>
    </w:rPr>
  </w:style>
  <w:style w:type="paragraph" w:customStyle="1" w:styleId="185">
    <w:name w:val="段落 Char"/>
    <w:basedOn w:val="1"/>
    <w:qFormat/>
    <w:uiPriority w:val="0"/>
    <w:pPr>
      <w:spacing w:line="360" w:lineRule="auto"/>
      <w:ind w:firstLine="200" w:firstLineChars="200"/>
    </w:pPr>
    <w:rPr>
      <w:sz w:val="28"/>
      <w:szCs w:val="28"/>
    </w:rPr>
  </w:style>
  <w:style w:type="paragraph" w:customStyle="1" w:styleId="186">
    <w:name w:val="注释"/>
    <w:basedOn w:val="1"/>
    <w:qFormat/>
    <w:uiPriority w:val="0"/>
    <w:pPr>
      <w:spacing w:line="360" w:lineRule="exact"/>
    </w:pPr>
  </w:style>
  <w:style w:type="paragraph" w:customStyle="1" w:styleId="187">
    <w:name w:val="表题"/>
    <w:basedOn w:val="1"/>
    <w:qFormat/>
    <w:uiPriority w:val="0"/>
    <w:pPr>
      <w:autoSpaceDE w:val="0"/>
      <w:autoSpaceDN w:val="0"/>
      <w:adjustRightInd w:val="0"/>
      <w:spacing w:line="480" w:lineRule="atLeast"/>
      <w:jc w:val="center"/>
      <w:textAlignment w:val="baseline"/>
    </w:pPr>
    <w:rPr>
      <w:rFonts w:ascii="黑体" w:eastAsia="黑体"/>
      <w:kern w:val="16"/>
      <w:szCs w:val="20"/>
    </w:rPr>
  </w:style>
  <w:style w:type="paragraph" w:customStyle="1" w:styleId="188">
    <w:name w:val="Char Char1 Char Char Char Char Char Char Char Char Char Char Char Char Char Char Char Char Char Char"/>
    <w:basedOn w:val="1"/>
    <w:qFormat/>
    <w:uiPriority w:val="0"/>
    <w:pPr>
      <w:spacing w:line="360" w:lineRule="auto"/>
      <w:ind w:firstLine="200" w:firstLineChars="200"/>
    </w:pPr>
    <w:rPr>
      <w:rFonts w:ascii="宋体" w:hAnsi="宋体" w:cs="宋体"/>
      <w:sz w:val="24"/>
    </w:rPr>
  </w:style>
  <w:style w:type="paragraph" w:customStyle="1" w:styleId="189">
    <w:name w:val="默认段落字体 Para Char Char Char Char"/>
    <w:basedOn w:val="1"/>
    <w:qFormat/>
    <w:uiPriority w:val="0"/>
  </w:style>
  <w:style w:type="paragraph" w:customStyle="1" w:styleId="190">
    <w:name w:val="小四表文左齐"/>
    <w:basedOn w:val="1"/>
    <w:qFormat/>
    <w:uiPriority w:val="0"/>
    <w:pPr>
      <w:spacing w:line="360" w:lineRule="auto"/>
      <w:ind w:firstLine="504" w:firstLineChars="180"/>
    </w:pPr>
    <w:rPr>
      <w:rFonts w:ascii="宋体" w:hAnsi="宋体"/>
      <w:bCs/>
      <w:kern w:val="0"/>
      <w:sz w:val="28"/>
      <w:szCs w:val="28"/>
    </w:rPr>
  </w:style>
  <w:style w:type="paragraph" w:customStyle="1" w:styleId="191">
    <w:name w:val="Char Char Char Char Char Char Char1"/>
    <w:basedOn w:val="1"/>
    <w:qFormat/>
    <w:uiPriority w:val="0"/>
  </w:style>
  <w:style w:type="paragraph" w:customStyle="1" w:styleId="192">
    <w:name w:val="CM16"/>
    <w:basedOn w:val="1"/>
    <w:next w:val="1"/>
    <w:qFormat/>
    <w:uiPriority w:val="0"/>
    <w:pPr>
      <w:autoSpaceDE w:val="0"/>
      <w:autoSpaceDN w:val="0"/>
      <w:adjustRightInd w:val="0"/>
      <w:spacing w:line="500" w:lineRule="atLeast"/>
      <w:jc w:val="left"/>
    </w:pPr>
    <w:rPr>
      <w:rFonts w:ascii="宋体"/>
      <w:kern w:val="0"/>
      <w:sz w:val="24"/>
    </w:rPr>
  </w:style>
  <w:style w:type="paragraph" w:customStyle="1" w:styleId="193">
    <w:name w:val="Char1 Char Char Char"/>
    <w:basedOn w:val="1"/>
    <w:qFormat/>
    <w:uiPriority w:val="0"/>
  </w:style>
  <w:style w:type="paragraph" w:customStyle="1" w:styleId="194">
    <w:name w:val="xl35"/>
    <w:basedOn w:val="1"/>
    <w:qFormat/>
    <w:uiPriority w:val="0"/>
    <w:pPr>
      <w:widowControl/>
      <w:spacing w:before="100" w:beforeAutospacing="1" w:after="100" w:afterAutospacing="1"/>
      <w:jc w:val="center"/>
      <w:textAlignment w:val="center"/>
    </w:pPr>
    <w:rPr>
      <w:rFonts w:ascii="Arial Unicode MS" w:hAnsi="Arial Unicode MS" w:eastAsia="Arial Unicode MS" w:cs="Arial Unicode MS"/>
      <w:kern w:val="0"/>
      <w:sz w:val="24"/>
    </w:rPr>
  </w:style>
  <w:style w:type="paragraph" w:customStyle="1" w:styleId="195">
    <w:name w:val="样式 表头 + 段前: 0.5 行 段后: 0.5 行"/>
    <w:basedOn w:val="1"/>
    <w:qFormat/>
    <w:uiPriority w:val="0"/>
    <w:pPr>
      <w:autoSpaceDE w:val="0"/>
      <w:autoSpaceDN w:val="0"/>
      <w:adjustRightInd w:val="0"/>
      <w:spacing w:before="100" w:beforeAutospacing="1" w:after="100" w:afterAutospacing="1" w:line="480" w:lineRule="exact"/>
      <w:jc w:val="center"/>
    </w:pPr>
    <w:rPr>
      <w:b/>
      <w:bCs/>
      <w:sz w:val="24"/>
      <w:szCs w:val="20"/>
      <w:lang w:val="zh-CN"/>
    </w:rPr>
  </w:style>
  <w:style w:type="paragraph" w:customStyle="1" w:styleId="196">
    <w:name w:val="CM38"/>
    <w:basedOn w:val="119"/>
    <w:next w:val="119"/>
    <w:qFormat/>
    <w:uiPriority w:val="0"/>
    <w:pPr>
      <w:spacing w:after="110"/>
    </w:pPr>
    <w:rPr>
      <w:rFonts w:ascii="黑体" w:eastAsia="黑体" w:cs="Times New Roman"/>
      <w:color w:val="auto"/>
    </w:rPr>
  </w:style>
  <w:style w:type="paragraph" w:customStyle="1" w:styleId="197">
    <w:name w:val="样式7"/>
    <w:basedOn w:val="61"/>
    <w:qFormat/>
    <w:uiPriority w:val="0"/>
    <w:pPr>
      <w:spacing w:before="260" w:line="440" w:lineRule="exact"/>
    </w:pPr>
  </w:style>
  <w:style w:type="paragraph" w:customStyle="1" w:styleId="198">
    <w:name w:val="样式"/>
    <w:basedOn w:val="1"/>
    <w:next w:val="28"/>
    <w:qFormat/>
    <w:uiPriority w:val="0"/>
    <w:pPr>
      <w:tabs>
        <w:tab w:val="left" w:pos="6720"/>
      </w:tabs>
      <w:spacing w:line="360" w:lineRule="auto"/>
      <w:ind w:firstLine="480" w:firstLineChars="200"/>
    </w:pPr>
    <w:rPr>
      <w:rFonts w:ascii="楷体_GB2312" w:eastAsia="楷体_GB2312"/>
      <w:sz w:val="24"/>
    </w:rPr>
  </w:style>
  <w:style w:type="paragraph" w:customStyle="1" w:styleId="199">
    <w:name w:val="p0"/>
    <w:basedOn w:val="1"/>
    <w:qFormat/>
    <w:uiPriority w:val="0"/>
    <w:pPr>
      <w:widowControl/>
    </w:pPr>
    <w:rPr>
      <w:kern w:val="0"/>
      <w:szCs w:val="21"/>
    </w:rPr>
  </w:style>
  <w:style w:type="table" w:customStyle="1" w:styleId="200">
    <w:name w:val="网格型c1"/>
    <w:basedOn w:val="36"/>
    <w:qFormat/>
    <w:uiPriority w:val="0"/>
    <w:pPr>
      <w:widowControl w:val="0"/>
      <w:spacing w:before="120" w:line="312" w:lineRule="auto"/>
      <w:jc w:val="both"/>
    </w:pPr>
    <w:rPr>
      <w:rFonts w:ascii="Times New Roman" w:hAnsi="Times New Roma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201">
    <w:name w:val="正文00 Char"/>
    <w:link w:val="202"/>
    <w:qFormat/>
    <w:uiPriority w:val="0"/>
    <w:rPr>
      <w:rFonts w:eastAsia="华文中宋"/>
      <w:kern w:val="2"/>
      <w:sz w:val="28"/>
      <w:szCs w:val="28"/>
    </w:rPr>
  </w:style>
  <w:style w:type="paragraph" w:customStyle="1" w:styleId="202">
    <w:name w:val="正文00"/>
    <w:basedOn w:val="1"/>
    <w:link w:val="201"/>
    <w:qFormat/>
    <w:uiPriority w:val="0"/>
    <w:pPr>
      <w:spacing w:line="440" w:lineRule="exact"/>
      <w:ind w:firstLine="560" w:firstLineChars="200"/>
    </w:pPr>
    <w:rPr>
      <w:rFonts w:ascii="Calibri" w:hAnsi="Calibri" w:eastAsia="华文中宋"/>
      <w:sz w:val="28"/>
      <w:szCs w:val="28"/>
    </w:rPr>
  </w:style>
  <w:style w:type="paragraph" w:customStyle="1" w:styleId="203">
    <w:name w:val="附图附件"/>
    <w:basedOn w:val="1"/>
    <w:qFormat/>
    <w:uiPriority w:val="0"/>
    <w:pPr>
      <w:jc w:val="center"/>
      <w:outlineLvl w:val="0"/>
    </w:pPr>
    <w:rPr>
      <w:rFonts w:eastAsia="华文中宋"/>
      <w:b/>
      <w:sz w:val="24"/>
    </w:rPr>
  </w:style>
  <w:style w:type="paragraph" w:styleId="204">
    <w:name w:val="List Paragraph"/>
    <w:basedOn w:val="1"/>
    <w:qFormat/>
    <w:uiPriority w:val="99"/>
    <w:pPr>
      <w:ind w:firstLine="420" w:firstLineChars="200"/>
    </w:pPr>
  </w:style>
  <w:style w:type="paragraph" w:customStyle="1" w:styleId="205">
    <w:name w:val="表内容"/>
    <w:basedOn w:val="1"/>
    <w:next w:val="1"/>
    <w:qFormat/>
    <w:uiPriority w:val="0"/>
    <w:pPr>
      <w:spacing w:line="320" w:lineRule="exact"/>
      <w:jc w:val="center"/>
    </w:pPr>
    <w:rPr>
      <w:szCs w:val="20"/>
    </w:rPr>
  </w:style>
  <w:style w:type="paragraph" w:customStyle="1" w:styleId="206">
    <w:name w:val="char"/>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207">
    <w:name w:val="表格段落1"/>
    <w:basedOn w:val="1"/>
    <w:qFormat/>
    <w:uiPriority w:val="0"/>
    <w:pPr>
      <w:adjustRightInd w:val="0"/>
      <w:spacing w:line="320" w:lineRule="exact"/>
      <w:jc w:val="center"/>
    </w:pPr>
    <w:rPr>
      <w:color w:val="000000"/>
      <w:kern w:val="0"/>
      <w:szCs w:val="21"/>
    </w:rPr>
  </w:style>
  <w:style w:type="paragraph" w:customStyle="1" w:styleId="208">
    <w:name w:val="正文3"/>
    <w:qFormat/>
    <w:uiPriority w:val="0"/>
    <w:pPr>
      <w:widowControl w:val="0"/>
      <w:adjustRightInd w:val="0"/>
      <w:spacing w:line="315" w:lineRule="atLeast"/>
      <w:textAlignment w:val="baseline"/>
    </w:pPr>
    <w:rPr>
      <w:rFonts w:ascii="宋体" w:hAnsi="Times New Roman" w:eastAsia="宋体" w:cs="Times New Roman"/>
      <w:sz w:val="24"/>
      <w:lang w:val="en-US" w:eastAsia="zh-CN" w:bidi="ar-SA"/>
    </w:rPr>
  </w:style>
  <w:style w:type="paragraph" w:customStyle="1" w:styleId="209">
    <w:name w:val="Table Paragraph"/>
    <w:basedOn w:val="1"/>
    <w:qFormat/>
    <w:uiPriority w:val="1"/>
    <w:pPr>
      <w:jc w:val="left"/>
    </w:pPr>
    <w:rPr>
      <w:rFonts w:ascii="Calibri" w:hAnsi="Calibri"/>
      <w:kern w:val="0"/>
      <w:sz w:val="22"/>
      <w:szCs w:val="22"/>
      <w:lang w:eastAsia="en-US"/>
    </w:rPr>
  </w:style>
  <w:style w:type="table" w:customStyle="1" w:styleId="210">
    <w:name w:val="Table Normal"/>
    <w:semiHidden/>
    <w:unhideWhenUsed/>
    <w:qFormat/>
    <w:uiPriority w:val="2"/>
    <w:pPr>
      <w:widowControl w:val="0"/>
    </w:pPr>
    <w:rPr>
      <w:sz w:val="22"/>
      <w:szCs w:val="22"/>
      <w:lang w:eastAsia="en-US"/>
    </w:rPr>
    <w:tblPr>
      <w:tblCellMar>
        <w:top w:w="0" w:type="dxa"/>
        <w:left w:w="0" w:type="dxa"/>
        <w:bottom w:w="0" w:type="dxa"/>
        <w:right w:w="0" w:type="dxa"/>
      </w:tblCellMar>
    </w:tblPr>
  </w:style>
  <w:style w:type="paragraph" w:customStyle="1" w:styleId="211">
    <w:name w:val="_Style 3"/>
    <w:basedOn w:val="1"/>
    <w:qFormat/>
    <w:uiPriority w:val="34"/>
    <w:pPr>
      <w:ind w:firstLine="420" w:firstLineChars="200"/>
    </w:pPr>
    <w:rPr>
      <w:sz w:val="28"/>
      <w:szCs w:val="22"/>
    </w:rPr>
  </w:style>
  <w:style w:type="paragraph" w:customStyle="1" w:styleId="212">
    <w:name w:val="正文样式1"/>
    <w:basedOn w:val="1"/>
    <w:qFormat/>
    <w:uiPriority w:val="0"/>
    <w:pPr>
      <w:adjustRightInd w:val="0"/>
      <w:spacing w:line="288" w:lineRule="auto"/>
      <w:ind w:firstLine="360" w:firstLineChars="150"/>
      <w:textAlignment w:val="baseline"/>
    </w:pPr>
    <w:rPr>
      <w:kern w:val="0"/>
      <w:sz w:val="24"/>
      <w:szCs w:val="20"/>
    </w:rPr>
  </w:style>
  <w:style w:type="paragraph" w:customStyle="1" w:styleId="213">
    <w:name w:val="单元格"/>
    <w:basedOn w:val="1"/>
    <w:qFormat/>
    <w:uiPriority w:val="0"/>
    <w:pPr>
      <w:jc w:val="center"/>
    </w:pPr>
    <w:rPr>
      <w:rFonts w:ascii="楷体_GB2312" w:eastAsia="楷体_GB2312"/>
      <w:szCs w:val="20"/>
    </w:rPr>
  </w:style>
  <w:style w:type="paragraph" w:customStyle="1" w:styleId="214">
    <w:name w:val="段落1"/>
    <w:basedOn w:val="1"/>
    <w:qFormat/>
    <w:uiPriority w:val="0"/>
    <w:pPr>
      <w:spacing w:before="120" w:after="120" w:line="440" w:lineRule="exact"/>
      <w:ind w:firstLine="200" w:firstLineChars="200"/>
    </w:pPr>
    <w:rPr>
      <w:spacing w:val="6"/>
      <w:sz w:val="24"/>
      <w:szCs w:val="20"/>
    </w:rPr>
  </w:style>
  <w:style w:type="paragraph" w:customStyle="1" w:styleId="215">
    <w:name w:val="内容列表"/>
    <w:basedOn w:val="1"/>
    <w:qFormat/>
    <w:uiPriority w:val="0"/>
    <w:pPr>
      <w:spacing w:line="480" w:lineRule="exact"/>
      <w:ind w:firstLine="560" w:firstLineChars="200"/>
    </w:pPr>
    <w:rPr>
      <w:rFonts w:ascii="仿宋_GB2312" w:eastAsia="仿宋_GB2312"/>
      <w:bCs/>
      <w:sz w:val="28"/>
      <w:szCs w:val="28"/>
    </w:rPr>
  </w:style>
  <w:style w:type="paragraph" w:customStyle="1" w:styleId="216">
    <w:name w:val="报告表正文"/>
    <w:basedOn w:val="1"/>
    <w:qFormat/>
    <w:uiPriority w:val="0"/>
    <w:pPr>
      <w:adjustRightInd w:val="0"/>
      <w:spacing w:line="312" w:lineRule="auto"/>
      <w:ind w:left="113" w:right="113" w:firstLine="482"/>
      <w:jc w:val="left"/>
    </w:pPr>
    <w:rPr>
      <w:kern w:val="0"/>
      <w:sz w:val="24"/>
      <w:szCs w:val="20"/>
    </w:rPr>
  </w:style>
  <w:style w:type="character" w:customStyle="1" w:styleId="217">
    <w:name w:val="表中字 Char"/>
    <w:basedOn w:val="39"/>
    <w:link w:val="218"/>
    <w:qFormat/>
    <w:locked/>
    <w:uiPriority w:val="0"/>
    <w:rPr>
      <w:lang w:val="zh-CN"/>
    </w:rPr>
  </w:style>
  <w:style w:type="paragraph" w:customStyle="1" w:styleId="218">
    <w:name w:val="表中字"/>
    <w:basedOn w:val="1"/>
    <w:link w:val="217"/>
    <w:qFormat/>
    <w:uiPriority w:val="0"/>
    <w:pPr>
      <w:spacing w:line="240" w:lineRule="atLeast"/>
      <w:jc w:val="center"/>
    </w:pPr>
    <w:rPr>
      <w:rFonts w:ascii="Calibri" w:hAnsi="Calibri"/>
      <w:kern w:val="0"/>
      <w:sz w:val="20"/>
      <w:szCs w:val="20"/>
      <w:lang w:val="zh-CN"/>
    </w:rPr>
  </w:style>
  <w:style w:type="paragraph" w:customStyle="1" w:styleId="219">
    <w:name w:val="标头"/>
    <w:basedOn w:val="1"/>
    <w:qFormat/>
    <w:uiPriority w:val="0"/>
    <w:pPr>
      <w:widowControl/>
      <w:spacing w:line="360" w:lineRule="auto"/>
      <w:jc w:val="center"/>
    </w:pPr>
    <w:rPr>
      <w:rFonts w:ascii="Calibri" w:hAnsi="Calibri"/>
      <w:kern w:val="0"/>
      <w:sz w:val="24"/>
      <w:szCs w:val="21"/>
    </w:rPr>
  </w:style>
  <w:style w:type="character" w:customStyle="1" w:styleId="220">
    <w:name w:val="小标题 Char Char"/>
    <w:link w:val="221"/>
    <w:qFormat/>
    <w:locked/>
    <w:uiPriority w:val="0"/>
    <w:rPr>
      <w:rFonts w:ascii="宋体" w:hAnsi="宋体"/>
      <w:b/>
      <w:szCs w:val="28"/>
    </w:rPr>
  </w:style>
  <w:style w:type="paragraph" w:customStyle="1" w:styleId="221">
    <w:name w:val="表标题"/>
    <w:basedOn w:val="1"/>
    <w:next w:val="1"/>
    <w:link w:val="220"/>
    <w:qFormat/>
    <w:uiPriority w:val="0"/>
    <w:pPr>
      <w:adjustRightInd w:val="0"/>
      <w:snapToGrid w:val="0"/>
      <w:jc w:val="center"/>
    </w:pPr>
    <w:rPr>
      <w:rFonts w:ascii="宋体" w:hAnsi="宋体"/>
      <w:b/>
      <w:kern w:val="0"/>
      <w:sz w:val="20"/>
      <w:szCs w:val="28"/>
    </w:rPr>
  </w:style>
  <w:style w:type="character" w:customStyle="1" w:styleId="222">
    <w:name w:val="【表中文字】 Char"/>
    <w:link w:val="223"/>
    <w:qFormat/>
    <w:uiPriority w:val="0"/>
    <w:rPr>
      <w:kern w:val="2"/>
      <w:sz w:val="21"/>
      <w:lang w:bidi="ar-SA"/>
    </w:rPr>
  </w:style>
  <w:style w:type="paragraph" w:customStyle="1" w:styleId="223">
    <w:name w:val="【表中文字】"/>
    <w:basedOn w:val="1"/>
    <w:link w:val="222"/>
    <w:qFormat/>
    <w:uiPriority w:val="0"/>
    <w:pPr>
      <w:jc w:val="center"/>
    </w:pPr>
    <w:rPr>
      <w:rFonts w:ascii="Calibri" w:hAnsi="Calibri"/>
      <w:szCs w:val="20"/>
    </w:rPr>
  </w:style>
  <w:style w:type="character" w:customStyle="1" w:styleId="224">
    <w:name w:val="正文（首行缩进） Char"/>
    <w:link w:val="225"/>
    <w:qFormat/>
    <w:locked/>
    <w:uiPriority w:val="0"/>
    <w:rPr>
      <w:rFonts w:eastAsia="宋体"/>
      <w:kern w:val="2"/>
      <w:sz w:val="24"/>
      <w:szCs w:val="24"/>
      <w:lang w:val="zh-CN" w:eastAsia="zh-CN" w:bidi="ar-SA"/>
    </w:rPr>
  </w:style>
  <w:style w:type="paragraph" w:customStyle="1" w:styleId="225">
    <w:name w:val="正文（首行缩进）"/>
    <w:basedOn w:val="1"/>
    <w:link w:val="224"/>
    <w:qFormat/>
    <w:uiPriority w:val="0"/>
    <w:pPr>
      <w:spacing w:line="360" w:lineRule="auto"/>
      <w:ind w:firstLine="560" w:firstLineChars="200"/>
      <w:jc w:val="left"/>
    </w:pPr>
    <w:rPr>
      <w:rFonts w:ascii="Calibri" w:hAnsi="Calibri"/>
      <w:sz w:val="24"/>
      <w:lang w:val="zh-CN"/>
    </w:rPr>
  </w:style>
  <w:style w:type="paragraph" w:customStyle="1" w:styleId="226">
    <w:name w:val="表中大字"/>
    <w:basedOn w:val="1"/>
    <w:qFormat/>
    <w:uiPriority w:val="0"/>
    <w:pPr>
      <w:spacing w:line="440" w:lineRule="exact"/>
      <w:jc w:val="center"/>
      <w:textAlignment w:val="center"/>
    </w:pPr>
    <w:rPr>
      <w:sz w:val="28"/>
      <w:szCs w:val="28"/>
    </w:rPr>
  </w:style>
  <w:style w:type="paragraph" w:customStyle="1" w:styleId="227">
    <w:name w:val="1表头"/>
    <w:basedOn w:val="1"/>
    <w:qFormat/>
    <w:uiPriority w:val="0"/>
    <w:pPr>
      <w:spacing w:line="360" w:lineRule="auto"/>
      <w:ind w:firstLine="482" w:firstLineChars="200"/>
      <w:jc w:val="center"/>
    </w:pPr>
    <w:rPr>
      <w:b/>
      <w:sz w:val="24"/>
      <w:szCs w:val="22"/>
    </w:rPr>
  </w:style>
  <w:style w:type="paragraph" w:customStyle="1" w:styleId="228">
    <w:name w:val="无间隔1"/>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229">
    <w:name w:val="p15"/>
    <w:basedOn w:val="1"/>
    <w:qFormat/>
    <w:uiPriority w:val="0"/>
    <w:pPr>
      <w:widowControl/>
      <w:spacing w:line="425" w:lineRule="atLeast"/>
      <w:ind w:left="107" w:right="124" w:firstLine="480"/>
    </w:pPr>
    <w:rPr>
      <w:kern w:val="0"/>
      <w:sz w:val="28"/>
      <w:szCs w:val="28"/>
    </w:rPr>
  </w:style>
  <w:style w:type="character" w:customStyle="1" w:styleId="230">
    <w:name w:val="报告书正文 Char"/>
    <w:link w:val="46"/>
    <w:qFormat/>
    <w:locked/>
    <w:uiPriority w:val="0"/>
    <w:rPr>
      <w:rFonts w:ascii="Arial" w:hAnsi="Arial"/>
      <w:sz w:val="24"/>
    </w:rPr>
  </w:style>
  <w:style w:type="paragraph" w:customStyle="1" w:styleId="231">
    <w:name w:val="正文----------------"/>
    <w:basedOn w:val="1"/>
    <w:qFormat/>
    <w:uiPriority w:val="0"/>
    <w:pPr>
      <w:spacing w:line="440" w:lineRule="exact"/>
      <w:ind w:firstLine="544" w:firstLineChars="200"/>
    </w:pPr>
    <w:rPr>
      <w:rFonts w:cs="宋体"/>
      <w:spacing w:val="16"/>
      <w:sz w:val="24"/>
    </w:rPr>
  </w:style>
  <w:style w:type="paragraph" w:customStyle="1" w:styleId="232">
    <w:name w:val="新正文"/>
    <w:basedOn w:val="1"/>
    <w:qFormat/>
    <w:uiPriority w:val="0"/>
    <w:pPr>
      <w:spacing w:line="500" w:lineRule="exact"/>
      <w:ind w:firstLine="200" w:firstLineChars="200"/>
    </w:pPr>
    <w:rPr>
      <w:rFonts w:ascii="宋体" w:hAnsi="宋体"/>
      <w:kern w:val="0"/>
      <w:sz w:val="24"/>
    </w:rPr>
  </w:style>
  <w:style w:type="paragraph" w:customStyle="1" w:styleId="233">
    <w:name w:val="中文报告书样式"/>
    <w:basedOn w:val="1"/>
    <w:qFormat/>
    <w:uiPriority w:val="0"/>
    <w:pPr>
      <w:adjustRightInd w:val="0"/>
      <w:spacing w:line="480" w:lineRule="atLeast"/>
      <w:ind w:firstLine="482"/>
      <w:textAlignment w:val="baseline"/>
    </w:pPr>
    <w:rPr>
      <w:kern w:val="24"/>
      <w:sz w:val="24"/>
    </w:rPr>
  </w:style>
  <w:style w:type="paragraph" w:customStyle="1" w:styleId="234">
    <w:name w:val="表体"/>
    <w:basedOn w:val="1"/>
    <w:qFormat/>
    <w:uiPriority w:val="0"/>
    <w:pPr>
      <w:spacing w:line="240" w:lineRule="auto"/>
      <w:ind w:firstLine="0" w:firstLineChars="0"/>
    </w:pPr>
    <w:rPr>
      <w:sz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 Type="http://schemas.openxmlformats.org/officeDocument/2006/relationships/footer" Target="footer4.xml"/><Relationship Id="rId6" Type="http://schemas.openxmlformats.org/officeDocument/2006/relationships/footer" Target="footer3.xml"/><Relationship Id="rId57" Type="http://schemas.openxmlformats.org/officeDocument/2006/relationships/fontTable" Target="fontTable.xml"/><Relationship Id="rId56" Type="http://schemas.openxmlformats.org/officeDocument/2006/relationships/numbering" Target="numbering.xml"/><Relationship Id="rId55" Type="http://schemas.openxmlformats.org/officeDocument/2006/relationships/customXml" Target="../customXml/item1.xml"/><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footer" Target="footer2.xml"/><Relationship Id="rId49" Type="http://schemas.openxmlformats.org/officeDocument/2006/relationships/image" Target="media/image40.jpeg"/><Relationship Id="rId48" Type="http://schemas.openxmlformats.org/officeDocument/2006/relationships/image" Target="media/image39.jpeg"/><Relationship Id="rId47" Type="http://schemas.openxmlformats.org/officeDocument/2006/relationships/image" Target="media/image38.jpeg"/><Relationship Id="rId46" Type="http://schemas.openxmlformats.org/officeDocument/2006/relationships/image" Target="media/image37.jpe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1.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jpeg"/><Relationship Id="rId35" Type="http://schemas.openxmlformats.org/officeDocument/2006/relationships/image" Target="media/image26.jpeg"/><Relationship Id="rId34" Type="http://schemas.openxmlformats.org/officeDocument/2006/relationships/image" Target="media/image25.jpeg"/><Relationship Id="rId33" Type="http://schemas.openxmlformats.org/officeDocument/2006/relationships/image" Target="media/image24.jpeg"/><Relationship Id="rId32" Type="http://schemas.openxmlformats.org/officeDocument/2006/relationships/image" Target="media/image23.jpe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header" Target="header1.xml"/><Relationship Id="rId29" Type="http://schemas.openxmlformats.org/officeDocument/2006/relationships/image" Target="media/image20.pn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image" Target="media/image17.png"/><Relationship Id="rId25" Type="http://schemas.openxmlformats.org/officeDocument/2006/relationships/image" Target="media/image16.png"/><Relationship Id="rId24" Type="http://schemas.openxmlformats.org/officeDocument/2006/relationships/image" Target="media/image15.png"/><Relationship Id="rId23" Type="http://schemas.openxmlformats.org/officeDocument/2006/relationships/image" Target="media/image14.png"/><Relationship Id="rId22" Type="http://schemas.openxmlformats.org/officeDocument/2006/relationships/image" Target="media/image13.pn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emf"/><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emf"/><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Sky123.Org</Company>
  <Pages>45</Pages>
  <Words>3910</Words>
  <Characters>22293</Characters>
  <Lines>185</Lines>
  <Paragraphs>52</Paragraphs>
  <TotalTime>1</TotalTime>
  <ScaleCrop>false</ScaleCrop>
  <LinksUpToDate>false</LinksUpToDate>
  <CharactersWithSpaces>26151</CharactersWithSpaces>
  <Application>WPS Office_11.1.0.9339_F1E327BC-269C-435d-A152-05C5408002CA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2019-05-30T03:15:00Z</dcterms:created>
  <dc:creator>Administrator</dc:creator>
  <cp:lastModifiedBy>Just Us</cp:lastModifiedBy>
  <cp:lastPrinted>2020-01-02T06:24:00Z</cp:lastPrinted>
  <dcterms:modified xsi:type="dcterms:W3CDTF">2020-01-21T11:31:43Z</dcterms:modified>
  <dc:title>建设项目环境影响报告表</dc:title>
  <cp:revision>22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2052-11.1.0.9339</vt:lpwstr>
  </property>
</Properties>
</file>