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9A8B3">
      <w:pPr>
        <w:spacing w:afterLines="50" w:line="480" w:lineRule="auto"/>
        <w:ind w:firstLine="0" w:firstLineChars="0"/>
        <w:jc w:val="center"/>
        <w:rPr>
          <w:rFonts w:hint="eastAsia" w:eastAsia="仿宋_GB2312" w:cs="Times New Roman"/>
          <w:b/>
          <w:bCs/>
          <w:color w:val="auto"/>
          <w:kern w:val="44"/>
          <w:sz w:val="56"/>
          <w:szCs w:val="44"/>
          <w:highlight w:val="none"/>
          <w:lang w:eastAsia="zh-CN"/>
        </w:rPr>
      </w:pPr>
      <w:bookmarkStart w:id="0" w:name="_Toc133262690"/>
      <w:bookmarkStart w:id="1" w:name="_Toc23454"/>
      <w:bookmarkStart w:id="2" w:name="_Toc28682"/>
      <w:bookmarkStart w:id="3" w:name="_Toc15232"/>
      <w:bookmarkStart w:id="4" w:name="_Toc11532"/>
      <w:bookmarkStart w:id="5" w:name="_Toc130290574"/>
      <w:bookmarkStart w:id="6" w:name="_Toc8477"/>
      <w:bookmarkStart w:id="7" w:name="_Toc130289515"/>
      <w:bookmarkStart w:id="8" w:name="_Toc20451"/>
    </w:p>
    <w:p w14:paraId="41475B8A">
      <w:pPr>
        <w:pStyle w:val="14"/>
        <w:ind w:firstLine="1124"/>
        <w:rPr>
          <w:rFonts w:ascii="Times New Roman" w:hAnsi="Times New Roman" w:eastAsia="仿宋_GB2312"/>
          <w:b/>
          <w:bCs/>
          <w:color w:val="auto"/>
          <w:kern w:val="44"/>
          <w:sz w:val="56"/>
          <w:szCs w:val="44"/>
          <w:highlight w:val="none"/>
        </w:rPr>
      </w:pPr>
    </w:p>
    <w:p w14:paraId="4689BB08">
      <w:pPr>
        <w:pStyle w:val="36"/>
        <w:ind w:firstLine="560"/>
        <w:rPr>
          <w:rFonts w:ascii="Times New Roman" w:hAnsi="Times New Roman" w:eastAsia="仿宋_GB2312" w:cs="Times New Roman"/>
          <w:color w:val="auto"/>
          <w:highlight w:val="none"/>
        </w:rPr>
      </w:pPr>
    </w:p>
    <w:p w14:paraId="190EF9DC">
      <w:pPr>
        <w:pStyle w:val="36"/>
        <w:ind w:firstLine="560"/>
        <w:rPr>
          <w:rFonts w:ascii="Times New Roman" w:hAnsi="Times New Roman" w:eastAsia="仿宋_GB2312" w:cs="Times New Roman"/>
          <w:color w:val="auto"/>
          <w:highlight w:val="none"/>
        </w:rPr>
      </w:pPr>
    </w:p>
    <w:p w14:paraId="1368FBA3">
      <w:pPr>
        <w:pStyle w:val="36"/>
        <w:ind w:firstLine="560"/>
        <w:rPr>
          <w:rFonts w:ascii="Times New Roman" w:hAnsi="Times New Roman" w:eastAsia="仿宋_GB2312" w:cs="Times New Roman"/>
          <w:color w:val="auto"/>
          <w:highlight w:val="none"/>
        </w:rPr>
      </w:pPr>
    </w:p>
    <w:p w14:paraId="0AB1AC18">
      <w:pPr>
        <w:spacing w:afterLines="50" w:line="480" w:lineRule="auto"/>
        <w:ind w:firstLine="0" w:firstLineChars="0"/>
        <w:jc w:val="center"/>
        <w:outlineLvl w:val="0"/>
        <w:rPr>
          <w:rFonts w:eastAsia="方正小标宋简体" w:cs="Times New Roman"/>
          <w:b/>
          <w:bCs/>
          <w:color w:val="auto"/>
          <w:kern w:val="44"/>
          <w:sz w:val="44"/>
          <w:szCs w:val="44"/>
          <w:highlight w:val="none"/>
        </w:rPr>
      </w:pPr>
      <w:bookmarkStart w:id="9" w:name="_Toc1702"/>
      <w:bookmarkStart w:id="10" w:name="_Toc7964"/>
      <w:bookmarkStart w:id="11" w:name="_Toc31241"/>
      <w:bookmarkStart w:id="12" w:name="_Toc19144"/>
      <w:bookmarkStart w:id="13" w:name="_Toc21841"/>
      <w:bookmarkStart w:id="14" w:name="_Toc5622"/>
      <w:bookmarkStart w:id="15" w:name="_Toc20565"/>
      <w:bookmarkStart w:id="16" w:name="_Toc12075"/>
      <w:r>
        <w:rPr>
          <w:rFonts w:eastAsia="方正小标宋简体" w:cs="Times New Roman"/>
          <w:color w:val="auto"/>
          <w:sz w:val="44"/>
          <w:szCs w:val="44"/>
          <w:highlight w:val="none"/>
        </w:rPr>
        <w:t>桦川县东河乡国土空间总体规划</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7E63BAF">
      <w:pPr>
        <w:spacing w:afterLines="50" w:line="480" w:lineRule="auto"/>
        <w:ind w:firstLine="0" w:firstLineChars="0"/>
        <w:jc w:val="center"/>
        <w:rPr>
          <w:rFonts w:eastAsia="方正小标宋简体" w:cs="Times New Roman"/>
          <w:bCs/>
          <w:color w:val="auto"/>
          <w:kern w:val="44"/>
          <w:sz w:val="44"/>
          <w:szCs w:val="44"/>
          <w:highlight w:val="none"/>
        </w:rPr>
      </w:pPr>
      <w:r>
        <w:rPr>
          <w:rFonts w:eastAsia="方正小标宋简体" w:cs="Times New Roman"/>
          <w:color w:val="auto"/>
          <w:sz w:val="44"/>
          <w:szCs w:val="44"/>
          <w:highlight w:val="none"/>
        </w:rPr>
        <w:t>（2021-2035年）</w:t>
      </w:r>
    </w:p>
    <w:p w14:paraId="10F574F2">
      <w:pPr>
        <w:spacing w:afterLines="50" w:line="480" w:lineRule="auto"/>
        <w:ind w:firstLine="0" w:firstLineChars="0"/>
        <w:jc w:val="center"/>
        <w:rPr>
          <w:rFonts w:eastAsia="仿宋_GB2312" w:cs="Times New Roman"/>
          <w:b/>
          <w:bCs/>
          <w:color w:val="auto"/>
          <w:kern w:val="44"/>
          <w:sz w:val="48"/>
          <w:szCs w:val="48"/>
          <w:highlight w:val="none"/>
        </w:rPr>
      </w:pPr>
    </w:p>
    <w:p w14:paraId="375BE560">
      <w:pPr>
        <w:pStyle w:val="14"/>
        <w:ind w:firstLine="560"/>
        <w:rPr>
          <w:rFonts w:ascii="Times New Roman" w:hAnsi="Times New Roman" w:eastAsia="仿宋_GB2312"/>
          <w:color w:val="auto"/>
          <w:highlight w:val="none"/>
        </w:rPr>
      </w:pPr>
    </w:p>
    <w:p w14:paraId="094CFEC7">
      <w:pPr>
        <w:ind w:firstLine="2891" w:firstLineChars="900"/>
        <w:rPr>
          <w:rFonts w:eastAsia="仿宋_GB2312" w:cs="Times New Roman"/>
          <w:b/>
          <w:caps/>
          <w:color w:val="auto"/>
          <w:sz w:val="32"/>
          <w:szCs w:val="32"/>
          <w:highlight w:val="none"/>
        </w:rPr>
      </w:pPr>
    </w:p>
    <w:p w14:paraId="65A9CB24">
      <w:pPr>
        <w:ind w:firstLine="2891" w:firstLineChars="900"/>
        <w:rPr>
          <w:rFonts w:eastAsia="仿宋_GB2312" w:cs="Times New Roman"/>
          <w:b/>
          <w:caps/>
          <w:color w:val="auto"/>
          <w:sz w:val="32"/>
          <w:szCs w:val="32"/>
          <w:highlight w:val="none"/>
        </w:rPr>
      </w:pPr>
    </w:p>
    <w:p w14:paraId="1D65F82D">
      <w:pPr>
        <w:ind w:firstLine="2891" w:firstLineChars="900"/>
        <w:rPr>
          <w:rFonts w:eastAsia="仿宋_GB2312" w:cs="Times New Roman"/>
          <w:b/>
          <w:caps/>
          <w:color w:val="auto"/>
          <w:sz w:val="32"/>
          <w:szCs w:val="32"/>
          <w:highlight w:val="none"/>
        </w:rPr>
      </w:pPr>
    </w:p>
    <w:p w14:paraId="1377404C">
      <w:pPr>
        <w:ind w:firstLine="2891" w:firstLineChars="900"/>
        <w:rPr>
          <w:rFonts w:eastAsia="仿宋_GB2312" w:cs="Times New Roman"/>
          <w:b/>
          <w:caps/>
          <w:color w:val="auto"/>
          <w:sz w:val="32"/>
          <w:szCs w:val="32"/>
          <w:highlight w:val="none"/>
        </w:rPr>
      </w:pPr>
    </w:p>
    <w:p w14:paraId="78DA0F2F">
      <w:pPr>
        <w:ind w:firstLine="2891" w:firstLineChars="900"/>
        <w:rPr>
          <w:rFonts w:eastAsia="仿宋_GB2312" w:cs="Times New Roman"/>
          <w:b/>
          <w:caps/>
          <w:color w:val="auto"/>
          <w:sz w:val="32"/>
          <w:szCs w:val="32"/>
          <w:highlight w:val="none"/>
        </w:rPr>
      </w:pPr>
    </w:p>
    <w:p w14:paraId="3BCC82DF">
      <w:pPr>
        <w:ind w:firstLine="2891" w:firstLineChars="900"/>
        <w:rPr>
          <w:rFonts w:eastAsia="仿宋_GB2312" w:cs="Times New Roman"/>
          <w:b/>
          <w:caps/>
          <w:color w:val="auto"/>
          <w:sz w:val="32"/>
          <w:szCs w:val="32"/>
          <w:highlight w:val="none"/>
        </w:rPr>
      </w:pPr>
    </w:p>
    <w:p w14:paraId="4EB47B92">
      <w:pPr>
        <w:ind w:firstLine="2891" w:firstLineChars="900"/>
        <w:rPr>
          <w:rFonts w:eastAsia="仿宋_GB2312" w:cs="Times New Roman"/>
          <w:b/>
          <w:caps/>
          <w:color w:val="auto"/>
          <w:sz w:val="32"/>
          <w:szCs w:val="32"/>
          <w:highlight w:val="none"/>
        </w:rPr>
      </w:pPr>
    </w:p>
    <w:p w14:paraId="7A0024E0">
      <w:pPr>
        <w:ind w:firstLine="2891" w:firstLineChars="900"/>
        <w:rPr>
          <w:rFonts w:eastAsia="仿宋_GB2312" w:cs="Times New Roman"/>
          <w:b/>
          <w:caps/>
          <w:color w:val="auto"/>
          <w:sz w:val="32"/>
          <w:szCs w:val="32"/>
          <w:highlight w:val="none"/>
        </w:rPr>
      </w:pPr>
    </w:p>
    <w:p w14:paraId="567A166D">
      <w:pPr>
        <w:ind w:firstLine="0" w:firstLineChars="0"/>
        <w:jc w:val="center"/>
        <w:rPr>
          <w:rFonts w:eastAsia="方正小标宋简体" w:cs="Times New Roman"/>
          <w:color w:val="auto"/>
          <w:sz w:val="32"/>
          <w:szCs w:val="32"/>
          <w:highlight w:val="none"/>
        </w:rPr>
      </w:pPr>
      <w:r>
        <w:rPr>
          <w:rFonts w:eastAsia="方正小标宋简体" w:cs="Times New Roman"/>
          <w:color w:val="auto"/>
          <w:sz w:val="32"/>
          <w:szCs w:val="32"/>
          <w:highlight w:val="none"/>
        </w:rPr>
        <w:t>东河乡人民政府</w:t>
      </w:r>
    </w:p>
    <w:p w14:paraId="1217BBBF">
      <w:pPr>
        <w:ind w:firstLine="0" w:firstLineChars="0"/>
        <w:jc w:val="center"/>
        <w:rPr>
          <w:rFonts w:eastAsia="方正小标宋简体" w:cs="Times New Roman"/>
          <w:color w:val="auto"/>
          <w:sz w:val="32"/>
          <w:szCs w:val="32"/>
          <w:highlight w:val="none"/>
        </w:rPr>
      </w:pPr>
      <w:r>
        <w:rPr>
          <w:rFonts w:eastAsia="方正小标宋简体" w:cs="Times New Roman"/>
          <w:color w:val="auto"/>
          <w:sz w:val="32"/>
          <w:szCs w:val="32"/>
          <w:highlight w:val="none"/>
        </w:rPr>
        <w:t>二〇二</w:t>
      </w:r>
      <w:r>
        <w:rPr>
          <w:rFonts w:hint="eastAsia" w:eastAsia="方正小标宋简体" w:cs="Times New Roman"/>
          <w:color w:val="auto"/>
          <w:sz w:val="32"/>
          <w:szCs w:val="32"/>
          <w:highlight w:val="none"/>
          <w:lang w:val="en-US" w:eastAsia="zh-CN"/>
        </w:rPr>
        <w:t>五</w:t>
      </w:r>
      <w:r>
        <w:rPr>
          <w:rFonts w:eastAsia="方正小标宋简体" w:cs="Times New Roman"/>
          <w:color w:val="auto"/>
          <w:sz w:val="32"/>
          <w:szCs w:val="32"/>
          <w:highlight w:val="none"/>
        </w:rPr>
        <w:t>年</w:t>
      </w:r>
      <w:r>
        <w:rPr>
          <w:rFonts w:hint="eastAsia" w:eastAsia="方正小标宋简体" w:cs="Times New Roman"/>
          <w:color w:val="auto"/>
          <w:sz w:val="32"/>
          <w:szCs w:val="32"/>
          <w:highlight w:val="none"/>
          <w:lang w:val="en-US" w:eastAsia="zh-CN"/>
        </w:rPr>
        <w:t>五</w:t>
      </w:r>
      <w:r>
        <w:rPr>
          <w:rFonts w:eastAsia="方正小标宋简体" w:cs="Times New Roman"/>
          <w:color w:val="auto"/>
          <w:sz w:val="32"/>
          <w:szCs w:val="32"/>
          <w:highlight w:val="none"/>
        </w:rPr>
        <w:t>月</w:t>
      </w:r>
    </w:p>
    <w:p w14:paraId="39E98611">
      <w:pPr>
        <w:spacing w:line="240" w:lineRule="auto"/>
        <w:ind w:firstLine="0" w:firstLineChars="0"/>
        <w:jc w:val="center"/>
        <w:rPr>
          <w:rFonts w:eastAsia="仿宋_GB2312" w:cs="Times New Roman"/>
          <w:b/>
          <w:bCs/>
          <w:color w:val="auto"/>
          <w:kern w:val="44"/>
          <w:sz w:val="36"/>
          <w:szCs w:val="36"/>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850" w:gutter="0"/>
          <w:pgNumType w:fmt="upperRoman" w:start="1"/>
          <w:cols w:space="425" w:num="1"/>
          <w:docGrid w:type="lines" w:linePitch="435" w:charSpace="0"/>
        </w:sectPr>
      </w:pPr>
    </w:p>
    <w:sdt>
      <w:sdtPr>
        <w:rPr>
          <w:rFonts w:eastAsia="仿宋_GB2312" w:cs="Times New Roman"/>
          <w:b/>
          <w:bCs/>
          <w:color w:val="auto"/>
          <w:kern w:val="44"/>
          <w:sz w:val="36"/>
          <w:szCs w:val="36"/>
          <w:highlight w:val="none"/>
        </w:rPr>
        <w:id w:val="147477206"/>
        <w:docPartObj>
          <w:docPartGallery w:val="Table of Contents"/>
          <w:docPartUnique/>
        </w:docPartObj>
      </w:sdtPr>
      <w:sdtEndPr>
        <w:rPr>
          <w:rFonts w:eastAsia="仿宋_GB2312" w:cs="Times New Roman"/>
          <w:b/>
          <w:bCs/>
          <w:color w:val="auto"/>
          <w:kern w:val="44"/>
          <w:sz w:val="36"/>
          <w:szCs w:val="24"/>
          <w:highlight w:val="none"/>
        </w:rPr>
      </w:sdtEndPr>
      <w:sdtContent>
        <w:p w14:paraId="4EFB2142">
          <w:pPr>
            <w:spacing w:beforeLines="50" w:afterLines="50"/>
            <w:ind w:firstLine="0" w:firstLineChars="0"/>
            <w:jc w:val="center"/>
            <w:rPr>
              <w:rFonts w:eastAsia="黑体" w:cs="Times New Roman"/>
              <w:color w:val="auto"/>
              <w:sz w:val="32"/>
              <w:szCs w:val="32"/>
              <w:highlight w:val="none"/>
            </w:rPr>
          </w:pPr>
          <w:r>
            <w:rPr>
              <w:rFonts w:eastAsia="黑体" w:cs="Times New Roman"/>
              <w:color w:val="auto"/>
              <w:sz w:val="32"/>
              <w:szCs w:val="32"/>
              <w:highlight w:val="none"/>
            </w:rPr>
            <w:t>目录</w:t>
          </w:r>
        </w:p>
        <w:p w14:paraId="6921A97F">
          <w:pPr>
            <w:pStyle w:val="20"/>
            <w:tabs>
              <w:tab w:val="right" w:leader="dot" w:pos="8306"/>
              <w:tab w:val="clear" w:pos="8296"/>
            </w:tabs>
            <w:rPr>
              <w:color w:val="auto"/>
            </w:rPr>
          </w:pPr>
          <w:r>
            <w:rPr>
              <w:rFonts w:ascii="Times New Roman" w:hAnsi="Times New Roman" w:eastAsia="仿宋_GB2312" w:cs="Times New Roman"/>
              <w:color w:val="auto"/>
              <w:sz w:val="24"/>
              <w:highlight w:val="none"/>
            </w:rPr>
            <w:fldChar w:fldCharType="begin"/>
          </w:r>
          <w:r>
            <w:rPr>
              <w:rFonts w:ascii="Times New Roman" w:hAnsi="Times New Roman" w:eastAsia="仿宋_GB2312" w:cs="Times New Roman"/>
              <w:color w:val="auto"/>
              <w:sz w:val="24"/>
              <w:highlight w:val="none"/>
            </w:rPr>
            <w:instrText xml:space="preserve">TOC \o "1-2" \h \u </w:instrText>
          </w:r>
          <w:r>
            <w:rPr>
              <w:rFonts w:ascii="Times New Roman" w:hAnsi="Times New Roman" w:eastAsia="仿宋_GB2312" w:cs="Times New Roman"/>
              <w:color w:val="auto"/>
              <w:sz w:val="24"/>
              <w:highlight w:val="none"/>
            </w:rPr>
            <w:fldChar w:fldCharType="separate"/>
          </w:r>
          <w:r>
            <w:rPr>
              <w:rFonts w:eastAsia="仿宋_GB2312" w:cs="Times New Roman"/>
              <w:color w:val="auto"/>
              <w:highlight w:val="none"/>
            </w:rPr>
            <w:fldChar w:fldCharType="begin"/>
          </w:r>
          <w:r>
            <w:rPr>
              <w:rFonts w:eastAsia="仿宋_GB2312" w:cs="Times New Roman"/>
              <w:color w:val="auto"/>
              <w:highlight w:val="none"/>
            </w:rPr>
            <w:instrText xml:space="preserve"> HYPERLINK \l _Toc19395 </w:instrText>
          </w:r>
          <w:r>
            <w:rPr>
              <w:rFonts w:eastAsia="仿宋_GB2312" w:cs="Times New Roman"/>
              <w:color w:val="auto"/>
              <w:highlight w:val="none"/>
            </w:rPr>
            <w:fldChar w:fldCharType="separate"/>
          </w:r>
          <w:r>
            <w:rPr>
              <w:rFonts w:hint="eastAsia" w:cs="Times New Roman"/>
              <w:bCs/>
              <w:color w:val="auto"/>
              <w:szCs w:val="36"/>
            </w:rPr>
            <w:t xml:space="preserve">第一章 </w:t>
          </w:r>
          <w:r>
            <w:rPr>
              <w:rFonts w:cs="Times New Roman"/>
              <w:bCs/>
              <w:color w:val="auto"/>
              <w:szCs w:val="36"/>
              <w:highlight w:val="none"/>
            </w:rPr>
            <w:t>总则</w:t>
          </w:r>
          <w:r>
            <w:rPr>
              <w:color w:val="auto"/>
            </w:rPr>
            <w:tab/>
          </w:r>
          <w:r>
            <w:rPr>
              <w:color w:val="auto"/>
            </w:rPr>
            <w:fldChar w:fldCharType="begin"/>
          </w:r>
          <w:r>
            <w:rPr>
              <w:color w:val="auto"/>
            </w:rPr>
            <w:instrText xml:space="preserve"> PAGEREF _Toc19395 \h </w:instrText>
          </w:r>
          <w:r>
            <w:rPr>
              <w:color w:val="auto"/>
            </w:rPr>
            <w:fldChar w:fldCharType="separate"/>
          </w:r>
          <w:r>
            <w:rPr>
              <w:color w:val="auto"/>
            </w:rPr>
            <w:t>3</w:t>
          </w:r>
          <w:r>
            <w:rPr>
              <w:color w:val="auto"/>
            </w:rPr>
            <w:fldChar w:fldCharType="end"/>
          </w:r>
          <w:r>
            <w:rPr>
              <w:rFonts w:eastAsia="仿宋_GB2312" w:cs="Times New Roman"/>
              <w:color w:val="auto"/>
              <w:highlight w:val="none"/>
            </w:rPr>
            <w:fldChar w:fldCharType="end"/>
          </w:r>
        </w:p>
        <w:p w14:paraId="2F04A49F">
          <w:pPr>
            <w:pStyle w:val="20"/>
            <w:tabs>
              <w:tab w:val="right" w:leader="dot" w:pos="8306"/>
              <w:tab w:val="clear" w:pos="829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_Toc758 </w:instrText>
          </w:r>
          <w:r>
            <w:rPr>
              <w:rFonts w:eastAsia="仿宋_GB2312" w:cs="Times New Roman"/>
              <w:color w:val="auto"/>
              <w:highlight w:val="none"/>
            </w:rPr>
            <w:fldChar w:fldCharType="separate"/>
          </w:r>
          <w:r>
            <w:rPr>
              <w:rFonts w:hint="eastAsia" w:cs="Times New Roman"/>
              <w:bCs/>
              <w:color w:val="auto"/>
              <w:szCs w:val="36"/>
            </w:rPr>
            <w:t xml:space="preserve">第二章 </w:t>
          </w:r>
          <w:r>
            <w:rPr>
              <w:rFonts w:cs="Times New Roman"/>
              <w:bCs/>
              <w:color w:val="auto"/>
              <w:szCs w:val="36"/>
              <w:highlight w:val="none"/>
            </w:rPr>
            <w:t>发展目标与策略</w:t>
          </w:r>
          <w:r>
            <w:rPr>
              <w:color w:val="auto"/>
            </w:rPr>
            <w:tab/>
          </w:r>
          <w:r>
            <w:rPr>
              <w:color w:val="auto"/>
            </w:rPr>
            <w:fldChar w:fldCharType="begin"/>
          </w:r>
          <w:r>
            <w:rPr>
              <w:color w:val="auto"/>
            </w:rPr>
            <w:instrText xml:space="preserve"> PAGEREF _Toc758 \h </w:instrText>
          </w:r>
          <w:r>
            <w:rPr>
              <w:color w:val="auto"/>
            </w:rPr>
            <w:fldChar w:fldCharType="separate"/>
          </w:r>
          <w:r>
            <w:rPr>
              <w:color w:val="auto"/>
            </w:rPr>
            <w:t>9</w:t>
          </w:r>
          <w:r>
            <w:rPr>
              <w:color w:val="auto"/>
            </w:rPr>
            <w:fldChar w:fldCharType="end"/>
          </w:r>
          <w:r>
            <w:rPr>
              <w:rFonts w:eastAsia="仿宋_GB2312" w:cs="Times New Roman"/>
              <w:color w:val="auto"/>
              <w:highlight w:val="none"/>
            </w:rPr>
            <w:fldChar w:fldCharType="end"/>
          </w:r>
        </w:p>
        <w:p w14:paraId="6468DEB6">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_Toc20004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第一节 </w:t>
          </w:r>
          <w:r>
            <w:rPr>
              <w:rFonts w:ascii="Times New Roman" w:hAnsi="Times New Roman" w:cs="Times New Roman"/>
              <w:color w:val="auto"/>
              <w:szCs w:val="32"/>
              <w:highlight w:val="none"/>
            </w:rPr>
            <w:t>规划定位</w:t>
          </w:r>
          <w:r>
            <w:rPr>
              <w:color w:val="auto"/>
            </w:rPr>
            <w:tab/>
          </w:r>
          <w:r>
            <w:rPr>
              <w:color w:val="auto"/>
            </w:rPr>
            <w:fldChar w:fldCharType="begin"/>
          </w:r>
          <w:r>
            <w:rPr>
              <w:color w:val="auto"/>
            </w:rPr>
            <w:instrText xml:space="preserve"> PAGEREF _Toc20004 \h </w:instrText>
          </w:r>
          <w:r>
            <w:rPr>
              <w:color w:val="auto"/>
            </w:rPr>
            <w:fldChar w:fldCharType="separate"/>
          </w:r>
          <w:r>
            <w:rPr>
              <w:color w:val="auto"/>
            </w:rPr>
            <w:t>9</w:t>
          </w:r>
          <w:r>
            <w:rPr>
              <w:color w:val="auto"/>
            </w:rPr>
            <w:fldChar w:fldCharType="end"/>
          </w:r>
          <w:r>
            <w:rPr>
              <w:rFonts w:eastAsia="仿宋_GB2312" w:cs="Times New Roman"/>
              <w:color w:val="auto"/>
              <w:highlight w:val="none"/>
            </w:rPr>
            <w:fldChar w:fldCharType="end"/>
          </w:r>
        </w:p>
        <w:p w14:paraId="46C29B21">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_Toc22903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第二节 </w:t>
          </w:r>
          <w:r>
            <w:rPr>
              <w:rFonts w:ascii="Times New Roman" w:hAnsi="Times New Roman" w:cs="Times New Roman"/>
              <w:color w:val="auto"/>
              <w:szCs w:val="32"/>
              <w:highlight w:val="none"/>
            </w:rPr>
            <w:t>发展目标</w:t>
          </w:r>
          <w:r>
            <w:rPr>
              <w:color w:val="auto"/>
            </w:rPr>
            <w:tab/>
          </w:r>
          <w:r>
            <w:rPr>
              <w:color w:val="auto"/>
            </w:rPr>
            <w:fldChar w:fldCharType="begin"/>
          </w:r>
          <w:r>
            <w:rPr>
              <w:color w:val="auto"/>
            </w:rPr>
            <w:instrText xml:space="preserve"> PAGEREF _Toc22903 \h </w:instrText>
          </w:r>
          <w:r>
            <w:rPr>
              <w:color w:val="auto"/>
            </w:rPr>
            <w:fldChar w:fldCharType="separate"/>
          </w:r>
          <w:r>
            <w:rPr>
              <w:color w:val="auto"/>
            </w:rPr>
            <w:t>9</w:t>
          </w:r>
          <w:r>
            <w:rPr>
              <w:color w:val="auto"/>
            </w:rPr>
            <w:fldChar w:fldCharType="end"/>
          </w:r>
          <w:r>
            <w:rPr>
              <w:rFonts w:eastAsia="仿宋_GB2312" w:cs="Times New Roman"/>
              <w:color w:val="auto"/>
              <w:highlight w:val="none"/>
            </w:rPr>
            <w:fldChar w:fldCharType="end"/>
          </w:r>
        </w:p>
        <w:p w14:paraId="0A21E5BD">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_Toc29526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第三节 </w:t>
          </w:r>
          <w:r>
            <w:rPr>
              <w:rFonts w:ascii="Times New Roman" w:hAnsi="Times New Roman" w:cs="Times New Roman"/>
              <w:color w:val="auto"/>
              <w:szCs w:val="32"/>
              <w:highlight w:val="none"/>
            </w:rPr>
            <w:t>空间策略</w:t>
          </w:r>
          <w:r>
            <w:rPr>
              <w:color w:val="auto"/>
            </w:rPr>
            <w:tab/>
          </w:r>
          <w:r>
            <w:rPr>
              <w:color w:val="auto"/>
            </w:rPr>
            <w:fldChar w:fldCharType="begin"/>
          </w:r>
          <w:r>
            <w:rPr>
              <w:color w:val="auto"/>
            </w:rPr>
            <w:instrText xml:space="preserve"> PAGEREF _Toc29526 \h </w:instrText>
          </w:r>
          <w:r>
            <w:rPr>
              <w:color w:val="auto"/>
            </w:rPr>
            <w:fldChar w:fldCharType="separate"/>
          </w:r>
          <w:r>
            <w:rPr>
              <w:color w:val="auto"/>
            </w:rPr>
            <w:t>10</w:t>
          </w:r>
          <w:r>
            <w:rPr>
              <w:color w:val="auto"/>
            </w:rPr>
            <w:fldChar w:fldCharType="end"/>
          </w:r>
          <w:r>
            <w:rPr>
              <w:rFonts w:eastAsia="仿宋_GB2312" w:cs="Times New Roman"/>
              <w:color w:val="auto"/>
              <w:highlight w:val="none"/>
            </w:rPr>
            <w:fldChar w:fldCharType="end"/>
          </w:r>
        </w:p>
        <w:p w14:paraId="6AB69C9C">
          <w:pPr>
            <w:pStyle w:val="20"/>
            <w:tabs>
              <w:tab w:val="right" w:leader="dot" w:pos="8306"/>
              <w:tab w:val="clear" w:pos="829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_Toc10980 </w:instrText>
          </w:r>
          <w:r>
            <w:rPr>
              <w:rFonts w:eastAsia="仿宋_GB2312" w:cs="Times New Roman"/>
              <w:color w:val="auto"/>
              <w:highlight w:val="none"/>
            </w:rPr>
            <w:fldChar w:fldCharType="separate"/>
          </w:r>
          <w:r>
            <w:rPr>
              <w:rFonts w:hint="eastAsia" w:cs="Times New Roman"/>
              <w:bCs/>
              <w:color w:val="auto"/>
              <w:szCs w:val="36"/>
            </w:rPr>
            <w:t xml:space="preserve">第三章 </w:t>
          </w:r>
          <w:r>
            <w:rPr>
              <w:rFonts w:cs="Times New Roman"/>
              <w:bCs/>
              <w:color w:val="auto"/>
              <w:szCs w:val="36"/>
              <w:highlight w:val="none"/>
            </w:rPr>
            <w:t>构筑国土空间开发与保护新格局</w:t>
          </w:r>
          <w:r>
            <w:rPr>
              <w:color w:val="auto"/>
            </w:rPr>
            <w:tab/>
          </w:r>
          <w:r>
            <w:rPr>
              <w:color w:val="auto"/>
            </w:rPr>
            <w:fldChar w:fldCharType="begin"/>
          </w:r>
          <w:r>
            <w:rPr>
              <w:color w:val="auto"/>
            </w:rPr>
            <w:instrText xml:space="preserve"> PAGEREF _Toc10980 \h </w:instrText>
          </w:r>
          <w:r>
            <w:rPr>
              <w:color w:val="auto"/>
            </w:rPr>
            <w:fldChar w:fldCharType="separate"/>
          </w:r>
          <w:r>
            <w:rPr>
              <w:color w:val="auto"/>
            </w:rPr>
            <w:t>11</w:t>
          </w:r>
          <w:r>
            <w:rPr>
              <w:color w:val="auto"/>
            </w:rPr>
            <w:fldChar w:fldCharType="end"/>
          </w:r>
          <w:r>
            <w:rPr>
              <w:rFonts w:eastAsia="仿宋_GB2312" w:cs="Times New Roman"/>
              <w:color w:val="auto"/>
              <w:highlight w:val="none"/>
            </w:rPr>
            <w:fldChar w:fldCharType="end"/>
          </w:r>
        </w:p>
        <w:p w14:paraId="7B58260A">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_Toc2724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第一节 </w:t>
          </w:r>
          <w:r>
            <w:rPr>
              <w:rFonts w:ascii="Times New Roman" w:hAnsi="Times New Roman" w:cs="Times New Roman"/>
              <w:color w:val="auto"/>
              <w:szCs w:val="32"/>
              <w:highlight w:val="none"/>
            </w:rPr>
            <w:t>区域协调</w:t>
          </w:r>
          <w:r>
            <w:rPr>
              <w:color w:val="auto"/>
            </w:rPr>
            <w:tab/>
          </w:r>
          <w:r>
            <w:rPr>
              <w:color w:val="auto"/>
            </w:rPr>
            <w:fldChar w:fldCharType="begin"/>
          </w:r>
          <w:r>
            <w:rPr>
              <w:color w:val="auto"/>
            </w:rPr>
            <w:instrText xml:space="preserve"> PAGEREF _Toc2724 \h </w:instrText>
          </w:r>
          <w:r>
            <w:rPr>
              <w:color w:val="auto"/>
            </w:rPr>
            <w:fldChar w:fldCharType="separate"/>
          </w:r>
          <w:r>
            <w:rPr>
              <w:color w:val="auto"/>
            </w:rPr>
            <w:t>11</w:t>
          </w:r>
          <w:r>
            <w:rPr>
              <w:color w:val="auto"/>
            </w:rPr>
            <w:fldChar w:fldCharType="end"/>
          </w:r>
          <w:r>
            <w:rPr>
              <w:rFonts w:eastAsia="仿宋_GB2312" w:cs="Times New Roman"/>
              <w:color w:val="auto"/>
              <w:highlight w:val="none"/>
            </w:rPr>
            <w:fldChar w:fldCharType="end"/>
          </w:r>
        </w:p>
        <w:p w14:paraId="59C288F1">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_Toc22104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第二节 </w:t>
          </w:r>
          <w:r>
            <w:rPr>
              <w:rFonts w:ascii="Times New Roman" w:hAnsi="Times New Roman" w:cs="Times New Roman"/>
              <w:color w:val="auto"/>
              <w:szCs w:val="32"/>
              <w:highlight w:val="none"/>
            </w:rPr>
            <w:t>落实主体功能区战略</w:t>
          </w:r>
          <w:r>
            <w:rPr>
              <w:color w:val="auto"/>
            </w:rPr>
            <w:tab/>
          </w:r>
          <w:r>
            <w:rPr>
              <w:color w:val="auto"/>
            </w:rPr>
            <w:fldChar w:fldCharType="begin"/>
          </w:r>
          <w:r>
            <w:rPr>
              <w:color w:val="auto"/>
            </w:rPr>
            <w:instrText xml:space="preserve"> PAGEREF _Toc22104 \h </w:instrText>
          </w:r>
          <w:r>
            <w:rPr>
              <w:color w:val="auto"/>
            </w:rPr>
            <w:fldChar w:fldCharType="separate"/>
          </w:r>
          <w:r>
            <w:rPr>
              <w:color w:val="auto"/>
            </w:rPr>
            <w:t>12</w:t>
          </w:r>
          <w:r>
            <w:rPr>
              <w:color w:val="auto"/>
            </w:rPr>
            <w:fldChar w:fldCharType="end"/>
          </w:r>
          <w:r>
            <w:rPr>
              <w:rFonts w:eastAsia="仿宋_GB2312" w:cs="Times New Roman"/>
              <w:color w:val="auto"/>
              <w:highlight w:val="none"/>
            </w:rPr>
            <w:fldChar w:fldCharType="end"/>
          </w:r>
        </w:p>
        <w:p w14:paraId="5AB425A9">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_Toc30676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第三节 </w:t>
          </w:r>
          <w:r>
            <w:rPr>
              <w:rFonts w:ascii="Times New Roman" w:hAnsi="Times New Roman" w:cs="Times New Roman"/>
              <w:color w:val="auto"/>
              <w:szCs w:val="32"/>
              <w:highlight w:val="none"/>
            </w:rPr>
            <w:t>优化国土空间开发保护格局</w:t>
          </w:r>
          <w:r>
            <w:rPr>
              <w:color w:val="auto"/>
            </w:rPr>
            <w:tab/>
          </w:r>
          <w:r>
            <w:rPr>
              <w:color w:val="auto"/>
            </w:rPr>
            <w:fldChar w:fldCharType="begin"/>
          </w:r>
          <w:r>
            <w:rPr>
              <w:color w:val="auto"/>
            </w:rPr>
            <w:instrText xml:space="preserve"> PAGEREF _Toc30676 \h </w:instrText>
          </w:r>
          <w:r>
            <w:rPr>
              <w:color w:val="auto"/>
            </w:rPr>
            <w:fldChar w:fldCharType="separate"/>
          </w:r>
          <w:r>
            <w:rPr>
              <w:color w:val="auto"/>
            </w:rPr>
            <w:t>12</w:t>
          </w:r>
          <w:r>
            <w:rPr>
              <w:color w:val="auto"/>
            </w:rPr>
            <w:fldChar w:fldCharType="end"/>
          </w:r>
          <w:r>
            <w:rPr>
              <w:rFonts w:eastAsia="仿宋_GB2312" w:cs="Times New Roman"/>
              <w:color w:val="auto"/>
              <w:highlight w:val="none"/>
            </w:rPr>
            <w:fldChar w:fldCharType="end"/>
          </w:r>
        </w:p>
        <w:p w14:paraId="5C6AA1A9">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_Toc30024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第四节 </w:t>
          </w:r>
          <w:r>
            <w:rPr>
              <w:rFonts w:ascii="Times New Roman" w:hAnsi="Times New Roman" w:cs="Times New Roman"/>
              <w:color w:val="auto"/>
              <w:szCs w:val="32"/>
              <w:highlight w:val="none"/>
            </w:rPr>
            <w:t>规划分区</w:t>
          </w:r>
          <w:r>
            <w:rPr>
              <w:color w:val="auto"/>
            </w:rPr>
            <w:tab/>
          </w:r>
          <w:r>
            <w:rPr>
              <w:color w:val="auto"/>
            </w:rPr>
            <w:fldChar w:fldCharType="begin"/>
          </w:r>
          <w:r>
            <w:rPr>
              <w:color w:val="auto"/>
            </w:rPr>
            <w:instrText xml:space="preserve"> PAGEREF _Toc30024 \h </w:instrText>
          </w:r>
          <w:r>
            <w:rPr>
              <w:color w:val="auto"/>
            </w:rPr>
            <w:fldChar w:fldCharType="separate"/>
          </w:r>
          <w:r>
            <w:rPr>
              <w:color w:val="auto"/>
            </w:rPr>
            <w:t>13</w:t>
          </w:r>
          <w:r>
            <w:rPr>
              <w:color w:val="auto"/>
            </w:rPr>
            <w:fldChar w:fldCharType="end"/>
          </w:r>
          <w:r>
            <w:rPr>
              <w:rFonts w:eastAsia="仿宋_GB2312" w:cs="Times New Roman"/>
              <w:color w:val="auto"/>
              <w:highlight w:val="none"/>
            </w:rPr>
            <w:fldChar w:fldCharType="end"/>
          </w:r>
        </w:p>
        <w:p w14:paraId="26AFBA9C">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_Toc18470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第五节 </w:t>
          </w:r>
          <w:r>
            <w:rPr>
              <w:rFonts w:ascii="Times New Roman" w:hAnsi="Times New Roman" w:cs="Times New Roman"/>
              <w:color w:val="auto"/>
              <w:szCs w:val="32"/>
              <w:highlight w:val="none"/>
            </w:rPr>
            <w:t>用地结构调整</w:t>
          </w:r>
          <w:r>
            <w:rPr>
              <w:color w:val="auto"/>
            </w:rPr>
            <w:tab/>
          </w:r>
          <w:r>
            <w:rPr>
              <w:color w:val="auto"/>
            </w:rPr>
            <w:fldChar w:fldCharType="begin"/>
          </w:r>
          <w:r>
            <w:rPr>
              <w:color w:val="auto"/>
            </w:rPr>
            <w:instrText xml:space="preserve"> PAGEREF _Toc18470 \h </w:instrText>
          </w:r>
          <w:r>
            <w:rPr>
              <w:color w:val="auto"/>
            </w:rPr>
            <w:fldChar w:fldCharType="separate"/>
          </w:r>
          <w:r>
            <w:rPr>
              <w:color w:val="auto"/>
            </w:rPr>
            <w:t>14</w:t>
          </w:r>
          <w:r>
            <w:rPr>
              <w:color w:val="auto"/>
            </w:rPr>
            <w:fldChar w:fldCharType="end"/>
          </w:r>
          <w:r>
            <w:rPr>
              <w:rFonts w:eastAsia="仿宋_GB2312" w:cs="Times New Roman"/>
              <w:color w:val="auto"/>
              <w:highlight w:val="none"/>
            </w:rPr>
            <w:fldChar w:fldCharType="end"/>
          </w:r>
        </w:p>
        <w:p w14:paraId="6DAD8D3F">
          <w:pPr>
            <w:pStyle w:val="20"/>
            <w:tabs>
              <w:tab w:val="right" w:leader="dot" w:pos="8306"/>
              <w:tab w:val="clear" w:pos="829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_Toc23309 </w:instrText>
          </w:r>
          <w:r>
            <w:rPr>
              <w:rFonts w:eastAsia="仿宋_GB2312" w:cs="Times New Roman"/>
              <w:color w:val="auto"/>
              <w:highlight w:val="none"/>
            </w:rPr>
            <w:fldChar w:fldCharType="separate"/>
          </w:r>
          <w:r>
            <w:rPr>
              <w:rFonts w:hint="eastAsia" w:cs="Times New Roman"/>
              <w:bCs/>
              <w:color w:val="auto"/>
              <w:szCs w:val="36"/>
            </w:rPr>
            <w:t xml:space="preserve">第四章 </w:t>
          </w:r>
          <w:r>
            <w:rPr>
              <w:rFonts w:hint="eastAsia" w:ascii="Times New Roman" w:hAnsi="Times New Roman" w:eastAsia="方正小标宋简体" w:cs="Times New Roman"/>
              <w:color w:val="auto"/>
              <w:kern w:val="44"/>
              <w:szCs w:val="36"/>
              <w:highlight w:val="none"/>
              <w:lang w:val="en-US" w:eastAsia="zh-CN" w:bidi="ar-SA"/>
            </w:rPr>
            <w:t>空间布局优化</w:t>
          </w:r>
          <w:r>
            <w:rPr>
              <w:color w:val="auto"/>
            </w:rPr>
            <w:tab/>
          </w:r>
          <w:r>
            <w:rPr>
              <w:color w:val="auto"/>
            </w:rPr>
            <w:fldChar w:fldCharType="begin"/>
          </w:r>
          <w:r>
            <w:rPr>
              <w:color w:val="auto"/>
            </w:rPr>
            <w:instrText xml:space="preserve"> PAGEREF _Toc23309 \h </w:instrText>
          </w:r>
          <w:r>
            <w:rPr>
              <w:color w:val="auto"/>
            </w:rPr>
            <w:fldChar w:fldCharType="separate"/>
          </w:r>
          <w:r>
            <w:rPr>
              <w:color w:val="auto"/>
            </w:rPr>
            <w:t>16</w:t>
          </w:r>
          <w:r>
            <w:rPr>
              <w:color w:val="auto"/>
            </w:rPr>
            <w:fldChar w:fldCharType="end"/>
          </w:r>
          <w:r>
            <w:rPr>
              <w:rFonts w:eastAsia="仿宋_GB2312" w:cs="Times New Roman"/>
              <w:color w:val="auto"/>
              <w:highlight w:val="none"/>
            </w:rPr>
            <w:fldChar w:fldCharType="end"/>
          </w:r>
        </w:p>
        <w:p w14:paraId="16090107">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_Toc30783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第一节 </w:t>
          </w:r>
          <w:r>
            <w:rPr>
              <w:rFonts w:ascii="Times New Roman" w:hAnsi="Times New Roman" w:cs="Times New Roman"/>
              <w:color w:val="auto"/>
              <w:szCs w:val="32"/>
              <w:highlight w:val="none"/>
            </w:rPr>
            <w:t>构建现代农业空间</w:t>
          </w:r>
          <w:r>
            <w:rPr>
              <w:color w:val="auto"/>
            </w:rPr>
            <w:tab/>
          </w:r>
          <w:r>
            <w:rPr>
              <w:color w:val="auto"/>
            </w:rPr>
            <w:fldChar w:fldCharType="begin"/>
          </w:r>
          <w:r>
            <w:rPr>
              <w:color w:val="auto"/>
            </w:rPr>
            <w:instrText xml:space="preserve"> PAGEREF _Toc30783 \h </w:instrText>
          </w:r>
          <w:r>
            <w:rPr>
              <w:color w:val="auto"/>
            </w:rPr>
            <w:fldChar w:fldCharType="separate"/>
          </w:r>
          <w:r>
            <w:rPr>
              <w:color w:val="auto"/>
            </w:rPr>
            <w:t>16</w:t>
          </w:r>
          <w:r>
            <w:rPr>
              <w:color w:val="auto"/>
            </w:rPr>
            <w:fldChar w:fldCharType="end"/>
          </w:r>
          <w:r>
            <w:rPr>
              <w:rFonts w:eastAsia="仿宋_GB2312" w:cs="Times New Roman"/>
              <w:color w:val="auto"/>
              <w:highlight w:val="none"/>
            </w:rPr>
            <w:fldChar w:fldCharType="end"/>
          </w:r>
        </w:p>
        <w:p w14:paraId="3EA55C6C">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_Toc30119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第二节 </w:t>
          </w:r>
          <w:r>
            <w:rPr>
              <w:rFonts w:ascii="Times New Roman" w:hAnsi="Times New Roman" w:cs="Times New Roman"/>
              <w:color w:val="auto"/>
              <w:szCs w:val="32"/>
              <w:highlight w:val="none"/>
            </w:rPr>
            <w:t>构建生态安全格局</w:t>
          </w:r>
          <w:r>
            <w:rPr>
              <w:color w:val="auto"/>
            </w:rPr>
            <w:tab/>
          </w:r>
          <w:r>
            <w:rPr>
              <w:color w:val="auto"/>
            </w:rPr>
            <w:fldChar w:fldCharType="begin"/>
          </w:r>
          <w:r>
            <w:rPr>
              <w:color w:val="auto"/>
            </w:rPr>
            <w:instrText xml:space="preserve"> PAGEREF _Toc30119 \h </w:instrText>
          </w:r>
          <w:r>
            <w:rPr>
              <w:color w:val="auto"/>
            </w:rPr>
            <w:fldChar w:fldCharType="separate"/>
          </w:r>
          <w:r>
            <w:rPr>
              <w:color w:val="auto"/>
            </w:rPr>
            <w:t>18</w:t>
          </w:r>
          <w:r>
            <w:rPr>
              <w:color w:val="auto"/>
            </w:rPr>
            <w:fldChar w:fldCharType="end"/>
          </w:r>
          <w:r>
            <w:rPr>
              <w:rFonts w:eastAsia="仿宋_GB2312" w:cs="Times New Roman"/>
              <w:color w:val="auto"/>
              <w:highlight w:val="none"/>
            </w:rPr>
            <w:fldChar w:fldCharType="end"/>
          </w:r>
        </w:p>
        <w:p w14:paraId="40BD62A1">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_Toc14950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第三节 </w:t>
          </w:r>
          <w:r>
            <w:rPr>
              <w:rFonts w:ascii="Times New Roman" w:hAnsi="Times New Roman" w:eastAsia="黑体" w:cs="Times New Roman"/>
              <w:color w:val="auto"/>
              <w:kern w:val="2"/>
              <w:szCs w:val="24"/>
              <w:highlight w:val="none"/>
              <w:lang w:val="en-US" w:eastAsia="zh-CN" w:bidi="ar-SA"/>
            </w:rPr>
            <w:t>优化城</w:t>
          </w:r>
          <w:r>
            <w:rPr>
              <w:rFonts w:hint="eastAsia" w:ascii="Times New Roman" w:hAnsi="Times New Roman" w:eastAsia="黑体" w:cs="Times New Roman"/>
              <w:color w:val="auto"/>
              <w:kern w:val="2"/>
              <w:szCs w:val="24"/>
              <w:highlight w:val="none"/>
              <w:lang w:val="en-US" w:eastAsia="zh-CN" w:bidi="ar-SA"/>
            </w:rPr>
            <w:t>乡</w:t>
          </w:r>
          <w:r>
            <w:rPr>
              <w:rFonts w:ascii="Times New Roman" w:hAnsi="Times New Roman" w:eastAsia="黑体" w:cs="Times New Roman"/>
              <w:color w:val="auto"/>
              <w:kern w:val="2"/>
              <w:szCs w:val="24"/>
              <w:highlight w:val="none"/>
              <w:lang w:val="en-US" w:eastAsia="zh-CN" w:bidi="ar-SA"/>
            </w:rPr>
            <w:t>发展空间</w:t>
          </w:r>
          <w:r>
            <w:rPr>
              <w:color w:val="auto"/>
            </w:rPr>
            <w:tab/>
          </w:r>
          <w:r>
            <w:rPr>
              <w:color w:val="auto"/>
            </w:rPr>
            <w:fldChar w:fldCharType="begin"/>
          </w:r>
          <w:r>
            <w:rPr>
              <w:color w:val="auto"/>
            </w:rPr>
            <w:instrText xml:space="preserve"> PAGEREF _Toc14950 \h </w:instrText>
          </w:r>
          <w:r>
            <w:rPr>
              <w:color w:val="auto"/>
            </w:rPr>
            <w:fldChar w:fldCharType="separate"/>
          </w:r>
          <w:r>
            <w:rPr>
              <w:color w:val="auto"/>
            </w:rPr>
            <w:t>22</w:t>
          </w:r>
          <w:r>
            <w:rPr>
              <w:color w:val="auto"/>
            </w:rPr>
            <w:fldChar w:fldCharType="end"/>
          </w:r>
          <w:r>
            <w:rPr>
              <w:rFonts w:eastAsia="仿宋_GB2312" w:cs="Times New Roman"/>
              <w:color w:val="auto"/>
              <w:highlight w:val="none"/>
            </w:rPr>
            <w:fldChar w:fldCharType="end"/>
          </w:r>
        </w:p>
        <w:p w14:paraId="3BC30889">
          <w:pPr>
            <w:pStyle w:val="20"/>
            <w:tabs>
              <w:tab w:val="right" w:leader="dot" w:pos="8306"/>
              <w:tab w:val="clear" w:pos="829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_Toc16760 </w:instrText>
          </w:r>
          <w:r>
            <w:rPr>
              <w:rFonts w:eastAsia="仿宋_GB2312" w:cs="Times New Roman"/>
              <w:color w:val="auto"/>
              <w:highlight w:val="none"/>
            </w:rPr>
            <w:fldChar w:fldCharType="separate"/>
          </w:r>
          <w:r>
            <w:rPr>
              <w:rFonts w:hint="eastAsia" w:cs="Times New Roman"/>
              <w:bCs/>
              <w:color w:val="auto"/>
              <w:szCs w:val="36"/>
            </w:rPr>
            <w:t xml:space="preserve">第五章 </w:t>
          </w:r>
          <w:r>
            <w:rPr>
              <w:rFonts w:cs="Times New Roman"/>
              <w:bCs/>
              <w:color w:val="auto"/>
              <w:szCs w:val="36"/>
              <w:highlight w:val="none"/>
            </w:rPr>
            <w:t>乡政府驻地用地布局</w:t>
          </w:r>
          <w:r>
            <w:rPr>
              <w:color w:val="auto"/>
            </w:rPr>
            <w:tab/>
          </w:r>
          <w:r>
            <w:rPr>
              <w:color w:val="auto"/>
            </w:rPr>
            <w:fldChar w:fldCharType="begin"/>
          </w:r>
          <w:r>
            <w:rPr>
              <w:color w:val="auto"/>
            </w:rPr>
            <w:instrText xml:space="preserve"> PAGEREF _Toc16760 \h </w:instrText>
          </w:r>
          <w:r>
            <w:rPr>
              <w:color w:val="auto"/>
            </w:rPr>
            <w:fldChar w:fldCharType="separate"/>
          </w:r>
          <w:r>
            <w:rPr>
              <w:color w:val="auto"/>
            </w:rPr>
            <w:t>24</w:t>
          </w:r>
          <w:r>
            <w:rPr>
              <w:color w:val="auto"/>
            </w:rPr>
            <w:fldChar w:fldCharType="end"/>
          </w:r>
          <w:r>
            <w:rPr>
              <w:rFonts w:eastAsia="仿宋_GB2312" w:cs="Times New Roman"/>
              <w:color w:val="auto"/>
              <w:highlight w:val="none"/>
            </w:rPr>
            <w:fldChar w:fldCharType="end"/>
          </w:r>
        </w:p>
        <w:p w14:paraId="3A36FCCF">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_Toc18370 </w:instrText>
          </w:r>
          <w:r>
            <w:rPr>
              <w:rFonts w:eastAsia="仿宋_GB2312" w:cs="Times New Roman"/>
              <w:color w:val="auto"/>
              <w:highlight w:val="none"/>
            </w:rPr>
            <w:fldChar w:fldCharType="separate"/>
          </w:r>
          <w:r>
            <w:rPr>
              <w:rFonts w:hint="eastAsia" w:ascii="Times New Roman" w:hAnsi="Times New Roman" w:eastAsia="黑体" w:cs="黑体"/>
              <w:color w:val="auto"/>
              <w:szCs w:val="32"/>
            </w:rPr>
            <w:t xml:space="preserve">第一节 </w:t>
          </w:r>
          <w:r>
            <w:rPr>
              <w:rFonts w:ascii="Times New Roman" w:hAnsi="Times New Roman" w:cs="Times New Roman"/>
              <w:color w:val="auto"/>
              <w:highlight w:val="none"/>
            </w:rPr>
            <w:t>优化空间结构与用地布局</w:t>
          </w:r>
          <w:r>
            <w:rPr>
              <w:color w:val="auto"/>
            </w:rPr>
            <w:tab/>
          </w:r>
          <w:r>
            <w:rPr>
              <w:color w:val="auto"/>
            </w:rPr>
            <w:fldChar w:fldCharType="begin"/>
          </w:r>
          <w:r>
            <w:rPr>
              <w:color w:val="auto"/>
            </w:rPr>
            <w:instrText xml:space="preserve"> PAGEREF _Toc18370 \h </w:instrText>
          </w:r>
          <w:r>
            <w:rPr>
              <w:color w:val="auto"/>
            </w:rPr>
            <w:fldChar w:fldCharType="separate"/>
          </w:r>
          <w:r>
            <w:rPr>
              <w:color w:val="auto"/>
            </w:rPr>
            <w:t>24</w:t>
          </w:r>
          <w:r>
            <w:rPr>
              <w:color w:val="auto"/>
            </w:rPr>
            <w:fldChar w:fldCharType="end"/>
          </w:r>
          <w:r>
            <w:rPr>
              <w:rFonts w:eastAsia="仿宋_GB2312" w:cs="Times New Roman"/>
              <w:color w:val="auto"/>
              <w:highlight w:val="none"/>
            </w:rPr>
            <w:fldChar w:fldCharType="end"/>
          </w:r>
        </w:p>
        <w:p w14:paraId="61451123">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_Toc20499 </w:instrText>
          </w:r>
          <w:r>
            <w:rPr>
              <w:rFonts w:eastAsia="仿宋_GB2312" w:cs="Times New Roman"/>
              <w:color w:val="auto"/>
              <w:highlight w:val="none"/>
            </w:rPr>
            <w:fldChar w:fldCharType="separate"/>
          </w:r>
          <w:r>
            <w:rPr>
              <w:rFonts w:hint="eastAsia" w:ascii="Times New Roman" w:hAnsi="Times New Roman" w:eastAsia="黑体" w:cs="黑体"/>
              <w:color w:val="auto"/>
              <w:szCs w:val="32"/>
            </w:rPr>
            <w:t xml:space="preserve">第二节 </w:t>
          </w:r>
          <w:r>
            <w:rPr>
              <w:rFonts w:ascii="Times New Roman" w:hAnsi="Times New Roman" w:cs="Times New Roman"/>
              <w:color w:val="auto"/>
              <w:highlight w:val="none"/>
            </w:rPr>
            <w:t>居住空间布局</w:t>
          </w:r>
          <w:r>
            <w:rPr>
              <w:color w:val="auto"/>
            </w:rPr>
            <w:tab/>
          </w:r>
          <w:r>
            <w:rPr>
              <w:color w:val="auto"/>
            </w:rPr>
            <w:fldChar w:fldCharType="begin"/>
          </w:r>
          <w:r>
            <w:rPr>
              <w:color w:val="auto"/>
            </w:rPr>
            <w:instrText xml:space="preserve"> PAGEREF _Toc20499 \h </w:instrText>
          </w:r>
          <w:r>
            <w:rPr>
              <w:color w:val="auto"/>
            </w:rPr>
            <w:fldChar w:fldCharType="separate"/>
          </w:r>
          <w:r>
            <w:rPr>
              <w:color w:val="auto"/>
            </w:rPr>
            <w:t>24</w:t>
          </w:r>
          <w:r>
            <w:rPr>
              <w:color w:val="auto"/>
            </w:rPr>
            <w:fldChar w:fldCharType="end"/>
          </w:r>
          <w:r>
            <w:rPr>
              <w:rFonts w:eastAsia="仿宋_GB2312" w:cs="Times New Roman"/>
              <w:color w:val="auto"/>
              <w:highlight w:val="none"/>
            </w:rPr>
            <w:fldChar w:fldCharType="end"/>
          </w:r>
        </w:p>
        <w:p w14:paraId="00222EB1">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_Toc23678 </w:instrText>
          </w:r>
          <w:r>
            <w:rPr>
              <w:rFonts w:eastAsia="仿宋_GB2312" w:cs="Times New Roman"/>
              <w:color w:val="auto"/>
              <w:highlight w:val="none"/>
            </w:rPr>
            <w:fldChar w:fldCharType="separate"/>
          </w:r>
          <w:r>
            <w:rPr>
              <w:rFonts w:hint="eastAsia" w:ascii="Times New Roman" w:hAnsi="Times New Roman" w:eastAsia="黑体" w:cs="黑体"/>
              <w:color w:val="auto"/>
              <w:szCs w:val="32"/>
            </w:rPr>
            <w:t xml:space="preserve">第三节 </w:t>
          </w:r>
          <w:r>
            <w:rPr>
              <w:rFonts w:ascii="Times New Roman" w:hAnsi="Times New Roman" w:cs="Times New Roman"/>
              <w:color w:val="auto"/>
              <w:highlight w:val="none"/>
            </w:rPr>
            <w:t>公共服务空间布局</w:t>
          </w:r>
          <w:r>
            <w:rPr>
              <w:color w:val="auto"/>
            </w:rPr>
            <w:tab/>
          </w:r>
          <w:r>
            <w:rPr>
              <w:color w:val="auto"/>
            </w:rPr>
            <w:fldChar w:fldCharType="begin"/>
          </w:r>
          <w:r>
            <w:rPr>
              <w:color w:val="auto"/>
            </w:rPr>
            <w:instrText xml:space="preserve"> PAGEREF _Toc23678 \h </w:instrText>
          </w:r>
          <w:r>
            <w:rPr>
              <w:color w:val="auto"/>
            </w:rPr>
            <w:fldChar w:fldCharType="separate"/>
          </w:r>
          <w:r>
            <w:rPr>
              <w:color w:val="auto"/>
            </w:rPr>
            <w:t>25</w:t>
          </w:r>
          <w:r>
            <w:rPr>
              <w:color w:val="auto"/>
            </w:rPr>
            <w:fldChar w:fldCharType="end"/>
          </w:r>
          <w:r>
            <w:rPr>
              <w:rFonts w:eastAsia="仿宋_GB2312" w:cs="Times New Roman"/>
              <w:color w:val="auto"/>
              <w:highlight w:val="none"/>
            </w:rPr>
            <w:fldChar w:fldCharType="end"/>
          </w:r>
        </w:p>
        <w:p w14:paraId="5794F626">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_Toc8790 </w:instrText>
          </w:r>
          <w:r>
            <w:rPr>
              <w:rFonts w:eastAsia="仿宋_GB2312" w:cs="Times New Roman"/>
              <w:color w:val="auto"/>
              <w:highlight w:val="none"/>
            </w:rPr>
            <w:fldChar w:fldCharType="separate"/>
          </w:r>
          <w:r>
            <w:rPr>
              <w:rFonts w:hint="eastAsia" w:ascii="Times New Roman" w:hAnsi="Times New Roman" w:eastAsia="黑体" w:cs="黑体"/>
              <w:color w:val="auto"/>
              <w:szCs w:val="32"/>
            </w:rPr>
            <w:t xml:space="preserve">第四节 </w:t>
          </w:r>
          <w:r>
            <w:rPr>
              <w:rFonts w:ascii="Times New Roman" w:hAnsi="Times New Roman" w:cs="Times New Roman"/>
              <w:color w:val="auto"/>
              <w:highlight w:val="none"/>
            </w:rPr>
            <w:t>绿地与开敞空间布局</w:t>
          </w:r>
          <w:r>
            <w:rPr>
              <w:color w:val="auto"/>
            </w:rPr>
            <w:tab/>
          </w:r>
          <w:r>
            <w:rPr>
              <w:color w:val="auto"/>
            </w:rPr>
            <w:fldChar w:fldCharType="begin"/>
          </w:r>
          <w:r>
            <w:rPr>
              <w:color w:val="auto"/>
            </w:rPr>
            <w:instrText xml:space="preserve"> PAGEREF _Toc8790 \h </w:instrText>
          </w:r>
          <w:r>
            <w:rPr>
              <w:color w:val="auto"/>
            </w:rPr>
            <w:fldChar w:fldCharType="separate"/>
          </w:r>
          <w:r>
            <w:rPr>
              <w:color w:val="auto"/>
            </w:rPr>
            <w:t>26</w:t>
          </w:r>
          <w:r>
            <w:rPr>
              <w:color w:val="auto"/>
            </w:rPr>
            <w:fldChar w:fldCharType="end"/>
          </w:r>
          <w:r>
            <w:rPr>
              <w:rFonts w:eastAsia="仿宋_GB2312" w:cs="Times New Roman"/>
              <w:color w:val="auto"/>
              <w:highlight w:val="none"/>
            </w:rPr>
            <w:fldChar w:fldCharType="end"/>
          </w:r>
        </w:p>
        <w:p w14:paraId="3CB58DFB">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_Toc15859 </w:instrText>
          </w:r>
          <w:r>
            <w:rPr>
              <w:rFonts w:eastAsia="仿宋_GB2312" w:cs="Times New Roman"/>
              <w:color w:val="auto"/>
              <w:highlight w:val="none"/>
            </w:rPr>
            <w:fldChar w:fldCharType="separate"/>
          </w:r>
          <w:r>
            <w:rPr>
              <w:rFonts w:hint="eastAsia" w:ascii="Times New Roman" w:hAnsi="Times New Roman" w:eastAsia="黑体" w:cs="黑体"/>
              <w:color w:val="auto"/>
              <w:szCs w:val="32"/>
            </w:rPr>
            <w:t xml:space="preserve">第五节 </w:t>
          </w:r>
          <w:r>
            <w:rPr>
              <w:rFonts w:ascii="Times New Roman" w:hAnsi="Times New Roman" w:cs="Times New Roman"/>
              <w:color w:val="auto"/>
              <w:highlight w:val="none"/>
            </w:rPr>
            <w:t>“四线”规划与战略留白</w:t>
          </w:r>
          <w:r>
            <w:rPr>
              <w:color w:val="auto"/>
            </w:rPr>
            <w:tab/>
          </w:r>
          <w:r>
            <w:rPr>
              <w:color w:val="auto"/>
            </w:rPr>
            <w:fldChar w:fldCharType="begin"/>
          </w:r>
          <w:r>
            <w:rPr>
              <w:color w:val="auto"/>
            </w:rPr>
            <w:instrText xml:space="preserve"> PAGEREF _Toc15859 \h </w:instrText>
          </w:r>
          <w:r>
            <w:rPr>
              <w:color w:val="auto"/>
            </w:rPr>
            <w:fldChar w:fldCharType="separate"/>
          </w:r>
          <w:r>
            <w:rPr>
              <w:color w:val="auto"/>
            </w:rPr>
            <w:t>28</w:t>
          </w:r>
          <w:r>
            <w:rPr>
              <w:color w:val="auto"/>
            </w:rPr>
            <w:fldChar w:fldCharType="end"/>
          </w:r>
          <w:r>
            <w:rPr>
              <w:rFonts w:eastAsia="仿宋_GB2312" w:cs="Times New Roman"/>
              <w:color w:val="auto"/>
              <w:highlight w:val="none"/>
            </w:rPr>
            <w:fldChar w:fldCharType="end"/>
          </w:r>
        </w:p>
        <w:p w14:paraId="4A820CAD">
          <w:pPr>
            <w:pStyle w:val="20"/>
            <w:tabs>
              <w:tab w:val="right" w:leader="dot" w:pos="8306"/>
              <w:tab w:val="clear" w:pos="829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_Toc22621 </w:instrText>
          </w:r>
          <w:r>
            <w:rPr>
              <w:rFonts w:eastAsia="仿宋_GB2312" w:cs="Times New Roman"/>
              <w:color w:val="auto"/>
              <w:highlight w:val="none"/>
            </w:rPr>
            <w:fldChar w:fldCharType="separate"/>
          </w:r>
          <w:r>
            <w:rPr>
              <w:rFonts w:hint="eastAsia" w:cs="Times New Roman"/>
              <w:bCs/>
              <w:color w:val="auto"/>
              <w:szCs w:val="36"/>
            </w:rPr>
            <w:t xml:space="preserve">第六章 </w:t>
          </w:r>
          <w:r>
            <w:rPr>
              <w:rFonts w:cs="Times New Roman"/>
              <w:bCs/>
              <w:color w:val="auto"/>
              <w:szCs w:val="36"/>
              <w:highlight w:val="none"/>
            </w:rPr>
            <w:t>完善基础保障体系建设</w:t>
          </w:r>
          <w:r>
            <w:rPr>
              <w:color w:val="auto"/>
            </w:rPr>
            <w:tab/>
          </w:r>
          <w:r>
            <w:rPr>
              <w:color w:val="auto"/>
            </w:rPr>
            <w:fldChar w:fldCharType="begin"/>
          </w:r>
          <w:r>
            <w:rPr>
              <w:color w:val="auto"/>
            </w:rPr>
            <w:instrText xml:space="preserve"> PAGEREF _Toc22621 \h </w:instrText>
          </w:r>
          <w:r>
            <w:rPr>
              <w:color w:val="auto"/>
            </w:rPr>
            <w:fldChar w:fldCharType="separate"/>
          </w:r>
          <w:r>
            <w:rPr>
              <w:color w:val="auto"/>
            </w:rPr>
            <w:t>29</w:t>
          </w:r>
          <w:r>
            <w:rPr>
              <w:color w:val="auto"/>
            </w:rPr>
            <w:fldChar w:fldCharType="end"/>
          </w:r>
          <w:r>
            <w:rPr>
              <w:rFonts w:eastAsia="仿宋_GB2312" w:cs="Times New Roman"/>
              <w:color w:val="auto"/>
              <w:highlight w:val="none"/>
            </w:rPr>
            <w:fldChar w:fldCharType="end"/>
          </w:r>
        </w:p>
        <w:p w14:paraId="6107ADE3">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_Toc25423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第一节 </w:t>
          </w:r>
          <w:r>
            <w:rPr>
              <w:rFonts w:ascii="Times New Roman" w:hAnsi="Times New Roman" w:cs="Times New Roman"/>
              <w:color w:val="auto"/>
              <w:szCs w:val="32"/>
              <w:highlight w:val="none"/>
            </w:rPr>
            <w:t>优化</w:t>
          </w:r>
          <w:r>
            <w:rPr>
              <w:rFonts w:ascii="Times New Roman" w:hAnsi="Times New Roman" w:cs="Times New Roman"/>
              <w:color w:val="auto"/>
              <w:szCs w:val="32"/>
              <w:highlight w:val="none"/>
              <w:shd w:val="clear" w:color="auto" w:fill="FFFFFF"/>
            </w:rPr>
            <w:t>乡</w:t>
          </w:r>
          <w:r>
            <w:rPr>
              <w:rFonts w:ascii="Times New Roman" w:hAnsi="Times New Roman" w:cs="Times New Roman"/>
              <w:color w:val="auto"/>
              <w:szCs w:val="32"/>
              <w:highlight w:val="none"/>
            </w:rPr>
            <w:t>域综合交通组织</w:t>
          </w:r>
          <w:r>
            <w:rPr>
              <w:color w:val="auto"/>
            </w:rPr>
            <w:tab/>
          </w:r>
          <w:r>
            <w:rPr>
              <w:color w:val="auto"/>
            </w:rPr>
            <w:fldChar w:fldCharType="begin"/>
          </w:r>
          <w:r>
            <w:rPr>
              <w:color w:val="auto"/>
            </w:rPr>
            <w:instrText xml:space="preserve"> PAGEREF _Toc25423 \h </w:instrText>
          </w:r>
          <w:r>
            <w:rPr>
              <w:color w:val="auto"/>
            </w:rPr>
            <w:fldChar w:fldCharType="separate"/>
          </w:r>
          <w:r>
            <w:rPr>
              <w:color w:val="auto"/>
            </w:rPr>
            <w:t>29</w:t>
          </w:r>
          <w:r>
            <w:rPr>
              <w:color w:val="auto"/>
            </w:rPr>
            <w:fldChar w:fldCharType="end"/>
          </w:r>
          <w:r>
            <w:rPr>
              <w:rFonts w:eastAsia="仿宋_GB2312" w:cs="Times New Roman"/>
              <w:color w:val="auto"/>
              <w:highlight w:val="none"/>
            </w:rPr>
            <w:fldChar w:fldCharType="end"/>
          </w:r>
        </w:p>
        <w:p w14:paraId="5D325156">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_Toc3607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第二节 </w:t>
          </w:r>
          <w:r>
            <w:rPr>
              <w:rFonts w:ascii="Times New Roman" w:hAnsi="Times New Roman" w:cs="Times New Roman"/>
              <w:color w:val="auto"/>
              <w:szCs w:val="32"/>
              <w:highlight w:val="none"/>
            </w:rPr>
            <w:t>乡政府驻地道路交通系统</w:t>
          </w:r>
          <w:r>
            <w:rPr>
              <w:color w:val="auto"/>
            </w:rPr>
            <w:tab/>
          </w:r>
          <w:r>
            <w:rPr>
              <w:color w:val="auto"/>
            </w:rPr>
            <w:fldChar w:fldCharType="begin"/>
          </w:r>
          <w:r>
            <w:rPr>
              <w:color w:val="auto"/>
            </w:rPr>
            <w:instrText xml:space="preserve"> PAGEREF _Toc3607 \h </w:instrText>
          </w:r>
          <w:r>
            <w:rPr>
              <w:color w:val="auto"/>
            </w:rPr>
            <w:fldChar w:fldCharType="separate"/>
          </w:r>
          <w:r>
            <w:rPr>
              <w:color w:val="auto"/>
            </w:rPr>
            <w:t>30</w:t>
          </w:r>
          <w:r>
            <w:rPr>
              <w:color w:val="auto"/>
            </w:rPr>
            <w:fldChar w:fldCharType="end"/>
          </w:r>
          <w:r>
            <w:rPr>
              <w:rFonts w:eastAsia="仿宋_GB2312" w:cs="Times New Roman"/>
              <w:color w:val="auto"/>
              <w:highlight w:val="none"/>
            </w:rPr>
            <w:fldChar w:fldCharType="end"/>
          </w:r>
        </w:p>
        <w:p w14:paraId="7E161C99">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_Toc23637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第三节 </w:t>
          </w:r>
          <w:r>
            <w:rPr>
              <w:rFonts w:ascii="Times New Roman" w:hAnsi="Times New Roman" w:cs="Times New Roman"/>
              <w:color w:val="auto"/>
              <w:szCs w:val="32"/>
              <w:highlight w:val="none"/>
            </w:rPr>
            <w:t>提高公服设施均等化水平</w:t>
          </w:r>
          <w:r>
            <w:rPr>
              <w:color w:val="auto"/>
            </w:rPr>
            <w:tab/>
          </w:r>
          <w:r>
            <w:rPr>
              <w:color w:val="auto"/>
            </w:rPr>
            <w:fldChar w:fldCharType="begin"/>
          </w:r>
          <w:r>
            <w:rPr>
              <w:color w:val="auto"/>
            </w:rPr>
            <w:instrText xml:space="preserve"> PAGEREF _Toc23637 \h </w:instrText>
          </w:r>
          <w:r>
            <w:rPr>
              <w:color w:val="auto"/>
            </w:rPr>
            <w:fldChar w:fldCharType="separate"/>
          </w:r>
          <w:r>
            <w:rPr>
              <w:color w:val="auto"/>
            </w:rPr>
            <w:t>31</w:t>
          </w:r>
          <w:r>
            <w:rPr>
              <w:color w:val="auto"/>
            </w:rPr>
            <w:fldChar w:fldCharType="end"/>
          </w:r>
          <w:r>
            <w:rPr>
              <w:rFonts w:eastAsia="仿宋_GB2312" w:cs="Times New Roman"/>
              <w:color w:val="auto"/>
              <w:highlight w:val="none"/>
            </w:rPr>
            <w:fldChar w:fldCharType="end"/>
          </w:r>
        </w:p>
        <w:p w14:paraId="09A95000">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_Toc12679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第四节 </w:t>
          </w:r>
          <w:r>
            <w:rPr>
              <w:rFonts w:ascii="Times New Roman" w:hAnsi="Times New Roman" w:cs="Times New Roman"/>
              <w:color w:val="auto"/>
              <w:szCs w:val="32"/>
              <w:highlight w:val="none"/>
            </w:rPr>
            <w:t>优化</w:t>
          </w:r>
          <w:r>
            <w:rPr>
              <w:rFonts w:ascii="Times New Roman" w:hAnsi="Times New Roman" w:cs="Times New Roman"/>
              <w:color w:val="auto"/>
              <w:szCs w:val="32"/>
              <w:highlight w:val="none"/>
              <w:shd w:val="clear" w:color="auto" w:fill="FFFFFF"/>
            </w:rPr>
            <w:t>乡域</w:t>
          </w:r>
          <w:r>
            <w:rPr>
              <w:rFonts w:ascii="Times New Roman" w:hAnsi="Times New Roman" w:cs="Times New Roman"/>
              <w:color w:val="auto"/>
              <w:szCs w:val="32"/>
              <w:highlight w:val="none"/>
            </w:rPr>
            <w:t>基础设施空间布局</w:t>
          </w:r>
          <w:r>
            <w:rPr>
              <w:color w:val="auto"/>
            </w:rPr>
            <w:tab/>
          </w:r>
          <w:r>
            <w:rPr>
              <w:color w:val="auto"/>
            </w:rPr>
            <w:fldChar w:fldCharType="begin"/>
          </w:r>
          <w:r>
            <w:rPr>
              <w:color w:val="auto"/>
            </w:rPr>
            <w:instrText xml:space="preserve"> PAGEREF _Toc12679 \h </w:instrText>
          </w:r>
          <w:r>
            <w:rPr>
              <w:color w:val="auto"/>
            </w:rPr>
            <w:fldChar w:fldCharType="separate"/>
          </w:r>
          <w:r>
            <w:rPr>
              <w:color w:val="auto"/>
            </w:rPr>
            <w:t>35</w:t>
          </w:r>
          <w:r>
            <w:rPr>
              <w:color w:val="auto"/>
            </w:rPr>
            <w:fldChar w:fldCharType="end"/>
          </w:r>
          <w:r>
            <w:rPr>
              <w:rFonts w:eastAsia="仿宋_GB2312" w:cs="Times New Roman"/>
              <w:color w:val="auto"/>
              <w:highlight w:val="none"/>
            </w:rPr>
            <w:fldChar w:fldCharType="end"/>
          </w:r>
        </w:p>
        <w:p w14:paraId="327AEFD4">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_Toc12066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第五节 </w:t>
          </w:r>
          <w:r>
            <w:rPr>
              <w:rFonts w:ascii="Times New Roman" w:hAnsi="Times New Roman" w:cs="Times New Roman"/>
              <w:color w:val="auto"/>
              <w:szCs w:val="32"/>
              <w:highlight w:val="none"/>
            </w:rPr>
            <w:t>完善乡政府驻地市政基础设施</w:t>
          </w:r>
          <w:r>
            <w:rPr>
              <w:color w:val="auto"/>
            </w:rPr>
            <w:tab/>
          </w:r>
          <w:r>
            <w:rPr>
              <w:color w:val="auto"/>
            </w:rPr>
            <w:fldChar w:fldCharType="begin"/>
          </w:r>
          <w:r>
            <w:rPr>
              <w:color w:val="auto"/>
            </w:rPr>
            <w:instrText xml:space="preserve"> PAGEREF _Toc12066 \h </w:instrText>
          </w:r>
          <w:r>
            <w:rPr>
              <w:color w:val="auto"/>
            </w:rPr>
            <w:fldChar w:fldCharType="separate"/>
          </w:r>
          <w:r>
            <w:rPr>
              <w:color w:val="auto"/>
            </w:rPr>
            <w:t>39</w:t>
          </w:r>
          <w:r>
            <w:rPr>
              <w:color w:val="auto"/>
            </w:rPr>
            <w:fldChar w:fldCharType="end"/>
          </w:r>
          <w:r>
            <w:rPr>
              <w:rFonts w:eastAsia="仿宋_GB2312" w:cs="Times New Roman"/>
              <w:color w:val="auto"/>
              <w:highlight w:val="none"/>
            </w:rPr>
            <w:fldChar w:fldCharType="end"/>
          </w:r>
        </w:p>
        <w:p w14:paraId="294B197F">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_Toc18414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第六节 </w:t>
          </w:r>
          <w:r>
            <w:rPr>
              <w:rFonts w:ascii="Times New Roman" w:hAnsi="Times New Roman" w:cs="Times New Roman"/>
              <w:color w:val="auto"/>
              <w:szCs w:val="32"/>
              <w:highlight w:val="none"/>
            </w:rPr>
            <w:t>保障综合防灾减灾体系建立</w:t>
          </w:r>
          <w:r>
            <w:rPr>
              <w:color w:val="auto"/>
            </w:rPr>
            <w:tab/>
          </w:r>
          <w:r>
            <w:rPr>
              <w:color w:val="auto"/>
            </w:rPr>
            <w:fldChar w:fldCharType="begin"/>
          </w:r>
          <w:r>
            <w:rPr>
              <w:color w:val="auto"/>
            </w:rPr>
            <w:instrText xml:space="preserve"> PAGEREF _Toc18414 \h </w:instrText>
          </w:r>
          <w:r>
            <w:rPr>
              <w:color w:val="auto"/>
            </w:rPr>
            <w:fldChar w:fldCharType="separate"/>
          </w:r>
          <w:r>
            <w:rPr>
              <w:color w:val="auto"/>
            </w:rPr>
            <w:t>43</w:t>
          </w:r>
          <w:r>
            <w:rPr>
              <w:color w:val="auto"/>
            </w:rPr>
            <w:fldChar w:fldCharType="end"/>
          </w:r>
          <w:r>
            <w:rPr>
              <w:rFonts w:eastAsia="仿宋_GB2312" w:cs="Times New Roman"/>
              <w:color w:val="auto"/>
              <w:highlight w:val="none"/>
            </w:rPr>
            <w:fldChar w:fldCharType="end"/>
          </w:r>
        </w:p>
        <w:p w14:paraId="6F022FC5">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_Toc27937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第七节 </w:t>
          </w:r>
          <w:r>
            <w:rPr>
              <w:rFonts w:ascii="Times New Roman" w:hAnsi="Times New Roman" w:cs="Times New Roman"/>
              <w:color w:val="auto"/>
              <w:szCs w:val="32"/>
              <w:highlight w:val="none"/>
            </w:rPr>
            <w:t>加强水利基础设施建设</w:t>
          </w:r>
          <w:r>
            <w:rPr>
              <w:color w:val="auto"/>
            </w:rPr>
            <w:tab/>
          </w:r>
          <w:r>
            <w:rPr>
              <w:color w:val="auto"/>
            </w:rPr>
            <w:fldChar w:fldCharType="begin"/>
          </w:r>
          <w:r>
            <w:rPr>
              <w:color w:val="auto"/>
            </w:rPr>
            <w:instrText xml:space="preserve"> PAGEREF _Toc27937 \h </w:instrText>
          </w:r>
          <w:r>
            <w:rPr>
              <w:color w:val="auto"/>
            </w:rPr>
            <w:fldChar w:fldCharType="separate"/>
          </w:r>
          <w:r>
            <w:rPr>
              <w:color w:val="auto"/>
            </w:rPr>
            <w:t>49</w:t>
          </w:r>
          <w:r>
            <w:rPr>
              <w:color w:val="auto"/>
            </w:rPr>
            <w:fldChar w:fldCharType="end"/>
          </w:r>
          <w:r>
            <w:rPr>
              <w:rFonts w:eastAsia="仿宋_GB2312" w:cs="Times New Roman"/>
              <w:color w:val="auto"/>
              <w:highlight w:val="none"/>
            </w:rPr>
            <w:fldChar w:fldCharType="end"/>
          </w:r>
        </w:p>
        <w:p w14:paraId="6D43B4F9">
          <w:pPr>
            <w:pStyle w:val="20"/>
            <w:tabs>
              <w:tab w:val="right" w:leader="dot" w:pos="8306"/>
              <w:tab w:val="clear" w:pos="829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_Toc376 </w:instrText>
          </w:r>
          <w:r>
            <w:rPr>
              <w:rFonts w:eastAsia="仿宋_GB2312" w:cs="Times New Roman"/>
              <w:color w:val="auto"/>
              <w:highlight w:val="none"/>
            </w:rPr>
            <w:fldChar w:fldCharType="separate"/>
          </w:r>
          <w:r>
            <w:rPr>
              <w:rFonts w:hint="eastAsia" w:cs="Times New Roman"/>
              <w:bCs/>
              <w:color w:val="auto"/>
              <w:szCs w:val="36"/>
            </w:rPr>
            <w:t xml:space="preserve">第七章 </w:t>
          </w:r>
          <w:r>
            <w:rPr>
              <w:rFonts w:cs="Times New Roman"/>
              <w:bCs/>
              <w:color w:val="auto"/>
              <w:szCs w:val="36"/>
              <w:highlight w:val="none"/>
            </w:rPr>
            <w:t>历史文化与地方风貌特色</w:t>
          </w:r>
          <w:r>
            <w:rPr>
              <w:color w:val="auto"/>
            </w:rPr>
            <w:tab/>
          </w:r>
          <w:r>
            <w:rPr>
              <w:color w:val="auto"/>
            </w:rPr>
            <w:fldChar w:fldCharType="begin"/>
          </w:r>
          <w:r>
            <w:rPr>
              <w:color w:val="auto"/>
            </w:rPr>
            <w:instrText xml:space="preserve"> PAGEREF _Toc376 \h </w:instrText>
          </w:r>
          <w:r>
            <w:rPr>
              <w:color w:val="auto"/>
            </w:rPr>
            <w:fldChar w:fldCharType="separate"/>
          </w:r>
          <w:r>
            <w:rPr>
              <w:color w:val="auto"/>
            </w:rPr>
            <w:t>50</w:t>
          </w:r>
          <w:r>
            <w:rPr>
              <w:color w:val="auto"/>
            </w:rPr>
            <w:fldChar w:fldCharType="end"/>
          </w:r>
          <w:r>
            <w:rPr>
              <w:rFonts w:eastAsia="仿宋_GB2312" w:cs="Times New Roman"/>
              <w:color w:val="auto"/>
              <w:highlight w:val="none"/>
            </w:rPr>
            <w:fldChar w:fldCharType="end"/>
          </w:r>
        </w:p>
        <w:p w14:paraId="7DAD9003">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_Toc143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第一节 </w:t>
          </w:r>
          <w:r>
            <w:rPr>
              <w:rFonts w:ascii="Times New Roman" w:hAnsi="Times New Roman" w:cs="Times New Roman"/>
              <w:color w:val="auto"/>
              <w:szCs w:val="32"/>
              <w:highlight w:val="none"/>
            </w:rPr>
            <w:t>历史文化保护</w:t>
          </w:r>
          <w:r>
            <w:rPr>
              <w:color w:val="auto"/>
            </w:rPr>
            <w:tab/>
          </w:r>
          <w:r>
            <w:rPr>
              <w:color w:val="auto"/>
            </w:rPr>
            <w:fldChar w:fldCharType="begin"/>
          </w:r>
          <w:r>
            <w:rPr>
              <w:color w:val="auto"/>
            </w:rPr>
            <w:instrText xml:space="preserve"> PAGEREF _Toc143 \h </w:instrText>
          </w:r>
          <w:r>
            <w:rPr>
              <w:color w:val="auto"/>
            </w:rPr>
            <w:fldChar w:fldCharType="separate"/>
          </w:r>
          <w:r>
            <w:rPr>
              <w:color w:val="auto"/>
            </w:rPr>
            <w:t>50</w:t>
          </w:r>
          <w:r>
            <w:rPr>
              <w:color w:val="auto"/>
            </w:rPr>
            <w:fldChar w:fldCharType="end"/>
          </w:r>
          <w:r>
            <w:rPr>
              <w:rFonts w:eastAsia="仿宋_GB2312" w:cs="Times New Roman"/>
              <w:color w:val="auto"/>
              <w:highlight w:val="none"/>
            </w:rPr>
            <w:fldChar w:fldCharType="end"/>
          </w:r>
        </w:p>
        <w:p w14:paraId="15AE6B62">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_Toc14116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第二节 </w:t>
          </w:r>
          <w:r>
            <w:rPr>
              <w:rFonts w:ascii="Times New Roman" w:hAnsi="Times New Roman" w:cs="Times New Roman"/>
              <w:color w:val="auto"/>
              <w:szCs w:val="32"/>
              <w:highlight w:val="none"/>
            </w:rPr>
            <w:t>城乡风貌指引</w:t>
          </w:r>
          <w:r>
            <w:rPr>
              <w:color w:val="auto"/>
            </w:rPr>
            <w:tab/>
          </w:r>
          <w:r>
            <w:rPr>
              <w:color w:val="auto"/>
            </w:rPr>
            <w:fldChar w:fldCharType="begin"/>
          </w:r>
          <w:r>
            <w:rPr>
              <w:color w:val="auto"/>
            </w:rPr>
            <w:instrText xml:space="preserve"> PAGEREF _Toc14116 \h </w:instrText>
          </w:r>
          <w:r>
            <w:rPr>
              <w:color w:val="auto"/>
            </w:rPr>
            <w:fldChar w:fldCharType="separate"/>
          </w:r>
          <w:r>
            <w:rPr>
              <w:color w:val="auto"/>
            </w:rPr>
            <w:t>51</w:t>
          </w:r>
          <w:r>
            <w:rPr>
              <w:color w:val="auto"/>
            </w:rPr>
            <w:fldChar w:fldCharType="end"/>
          </w:r>
          <w:r>
            <w:rPr>
              <w:rFonts w:eastAsia="仿宋_GB2312" w:cs="Times New Roman"/>
              <w:color w:val="auto"/>
              <w:highlight w:val="none"/>
            </w:rPr>
            <w:fldChar w:fldCharType="end"/>
          </w:r>
        </w:p>
        <w:p w14:paraId="4CD511C0">
          <w:pPr>
            <w:pStyle w:val="20"/>
            <w:tabs>
              <w:tab w:val="right" w:leader="dot" w:pos="8306"/>
              <w:tab w:val="clear" w:pos="829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_Toc32582 </w:instrText>
          </w:r>
          <w:r>
            <w:rPr>
              <w:rFonts w:eastAsia="仿宋_GB2312" w:cs="Times New Roman"/>
              <w:color w:val="auto"/>
              <w:highlight w:val="none"/>
            </w:rPr>
            <w:fldChar w:fldCharType="separate"/>
          </w:r>
          <w:r>
            <w:rPr>
              <w:rFonts w:hint="eastAsia" w:cs="Times New Roman"/>
              <w:bCs/>
              <w:color w:val="auto"/>
              <w:szCs w:val="36"/>
            </w:rPr>
            <w:t xml:space="preserve">第八章 </w:t>
          </w:r>
          <w:r>
            <w:rPr>
              <w:rFonts w:cs="Times New Roman"/>
              <w:bCs/>
              <w:color w:val="auto"/>
              <w:szCs w:val="36"/>
              <w:highlight w:val="none"/>
            </w:rPr>
            <w:t>生态修复和国土综合整治</w:t>
          </w:r>
          <w:r>
            <w:rPr>
              <w:color w:val="auto"/>
            </w:rPr>
            <w:tab/>
          </w:r>
          <w:r>
            <w:rPr>
              <w:color w:val="auto"/>
            </w:rPr>
            <w:fldChar w:fldCharType="begin"/>
          </w:r>
          <w:r>
            <w:rPr>
              <w:color w:val="auto"/>
            </w:rPr>
            <w:instrText xml:space="preserve"> PAGEREF _Toc32582 \h </w:instrText>
          </w:r>
          <w:r>
            <w:rPr>
              <w:color w:val="auto"/>
            </w:rPr>
            <w:fldChar w:fldCharType="separate"/>
          </w:r>
          <w:r>
            <w:rPr>
              <w:color w:val="auto"/>
            </w:rPr>
            <w:t>53</w:t>
          </w:r>
          <w:r>
            <w:rPr>
              <w:color w:val="auto"/>
            </w:rPr>
            <w:fldChar w:fldCharType="end"/>
          </w:r>
          <w:r>
            <w:rPr>
              <w:rFonts w:eastAsia="仿宋_GB2312" w:cs="Times New Roman"/>
              <w:color w:val="auto"/>
              <w:highlight w:val="none"/>
            </w:rPr>
            <w:fldChar w:fldCharType="end"/>
          </w:r>
        </w:p>
        <w:p w14:paraId="1AE096AA">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_Toc3315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第一节 </w:t>
          </w:r>
          <w:r>
            <w:rPr>
              <w:rFonts w:ascii="Times New Roman" w:hAnsi="Times New Roman" w:cs="Times New Roman"/>
              <w:color w:val="auto"/>
              <w:szCs w:val="32"/>
              <w:highlight w:val="none"/>
            </w:rPr>
            <w:t>推进山水林田湖草系统修复</w:t>
          </w:r>
          <w:r>
            <w:rPr>
              <w:color w:val="auto"/>
            </w:rPr>
            <w:tab/>
          </w:r>
          <w:r>
            <w:rPr>
              <w:color w:val="auto"/>
            </w:rPr>
            <w:fldChar w:fldCharType="begin"/>
          </w:r>
          <w:r>
            <w:rPr>
              <w:color w:val="auto"/>
            </w:rPr>
            <w:instrText xml:space="preserve"> PAGEREF _Toc3315 \h </w:instrText>
          </w:r>
          <w:r>
            <w:rPr>
              <w:color w:val="auto"/>
            </w:rPr>
            <w:fldChar w:fldCharType="separate"/>
          </w:r>
          <w:r>
            <w:rPr>
              <w:color w:val="auto"/>
            </w:rPr>
            <w:t>53</w:t>
          </w:r>
          <w:r>
            <w:rPr>
              <w:color w:val="auto"/>
            </w:rPr>
            <w:fldChar w:fldCharType="end"/>
          </w:r>
          <w:r>
            <w:rPr>
              <w:rFonts w:eastAsia="仿宋_GB2312" w:cs="Times New Roman"/>
              <w:color w:val="auto"/>
              <w:highlight w:val="none"/>
            </w:rPr>
            <w:fldChar w:fldCharType="end"/>
          </w:r>
        </w:p>
        <w:p w14:paraId="24422F7C">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_Toc29855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第二节 </w:t>
          </w:r>
          <w:r>
            <w:rPr>
              <w:rFonts w:hint="eastAsia" w:ascii="Times New Roman" w:hAnsi="Times New Roman" w:cs="Times New Roman"/>
              <w:color w:val="auto"/>
              <w:szCs w:val="32"/>
              <w:highlight w:val="none"/>
            </w:rPr>
            <w:t>全域土地综合整治</w:t>
          </w:r>
          <w:r>
            <w:rPr>
              <w:color w:val="auto"/>
            </w:rPr>
            <w:tab/>
          </w:r>
          <w:r>
            <w:rPr>
              <w:color w:val="auto"/>
            </w:rPr>
            <w:fldChar w:fldCharType="begin"/>
          </w:r>
          <w:r>
            <w:rPr>
              <w:color w:val="auto"/>
            </w:rPr>
            <w:instrText xml:space="preserve"> PAGEREF _Toc29855 \h </w:instrText>
          </w:r>
          <w:r>
            <w:rPr>
              <w:color w:val="auto"/>
            </w:rPr>
            <w:fldChar w:fldCharType="separate"/>
          </w:r>
          <w:r>
            <w:rPr>
              <w:color w:val="auto"/>
            </w:rPr>
            <w:t>53</w:t>
          </w:r>
          <w:r>
            <w:rPr>
              <w:color w:val="auto"/>
            </w:rPr>
            <w:fldChar w:fldCharType="end"/>
          </w:r>
          <w:r>
            <w:rPr>
              <w:rFonts w:eastAsia="仿宋_GB2312" w:cs="Times New Roman"/>
              <w:color w:val="auto"/>
              <w:highlight w:val="none"/>
            </w:rPr>
            <w:fldChar w:fldCharType="end"/>
          </w:r>
        </w:p>
        <w:p w14:paraId="6D1DB647">
          <w:pPr>
            <w:pStyle w:val="20"/>
            <w:tabs>
              <w:tab w:val="right" w:leader="dot" w:pos="8306"/>
              <w:tab w:val="clear" w:pos="829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_Toc689 </w:instrText>
          </w:r>
          <w:r>
            <w:rPr>
              <w:rFonts w:eastAsia="仿宋_GB2312" w:cs="Times New Roman"/>
              <w:color w:val="auto"/>
              <w:highlight w:val="none"/>
            </w:rPr>
            <w:fldChar w:fldCharType="separate"/>
          </w:r>
          <w:r>
            <w:rPr>
              <w:rFonts w:hint="eastAsia" w:cs="Times New Roman"/>
              <w:bCs/>
              <w:color w:val="auto"/>
              <w:szCs w:val="36"/>
            </w:rPr>
            <w:t xml:space="preserve">第九章 </w:t>
          </w:r>
          <w:r>
            <w:rPr>
              <w:rFonts w:cs="Times New Roman"/>
              <w:bCs/>
              <w:color w:val="auto"/>
              <w:szCs w:val="36"/>
              <w:highlight w:val="none"/>
            </w:rPr>
            <w:t>规划传导与实施</w:t>
          </w:r>
          <w:r>
            <w:rPr>
              <w:color w:val="auto"/>
            </w:rPr>
            <w:tab/>
          </w:r>
          <w:r>
            <w:rPr>
              <w:color w:val="auto"/>
            </w:rPr>
            <w:fldChar w:fldCharType="begin"/>
          </w:r>
          <w:r>
            <w:rPr>
              <w:color w:val="auto"/>
            </w:rPr>
            <w:instrText xml:space="preserve"> PAGEREF _Toc689 \h </w:instrText>
          </w:r>
          <w:r>
            <w:rPr>
              <w:color w:val="auto"/>
            </w:rPr>
            <w:fldChar w:fldCharType="separate"/>
          </w:r>
          <w:r>
            <w:rPr>
              <w:color w:val="auto"/>
            </w:rPr>
            <w:t>57</w:t>
          </w:r>
          <w:r>
            <w:rPr>
              <w:color w:val="auto"/>
            </w:rPr>
            <w:fldChar w:fldCharType="end"/>
          </w:r>
          <w:r>
            <w:rPr>
              <w:rFonts w:eastAsia="仿宋_GB2312" w:cs="Times New Roman"/>
              <w:color w:val="auto"/>
              <w:highlight w:val="none"/>
            </w:rPr>
            <w:fldChar w:fldCharType="end"/>
          </w:r>
        </w:p>
        <w:p w14:paraId="21B1255C">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_Toc25518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第一节 </w:t>
          </w:r>
          <w:r>
            <w:rPr>
              <w:rFonts w:ascii="Times New Roman" w:hAnsi="Times New Roman" w:cs="Times New Roman"/>
              <w:color w:val="auto"/>
              <w:szCs w:val="32"/>
              <w:highlight w:val="none"/>
            </w:rPr>
            <w:t>全域规划传导与实施</w:t>
          </w:r>
          <w:r>
            <w:rPr>
              <w:color w:val="auto"/>
            </w:rPr>
            <w:tab/>
          </w:r>
          <w:r>
            <w:rPr>
              <w:color w:val="auto"/>
            </w:rPr>
            <w:fldChar w:fldCharType="begin"/>
          </w:r>
          <w:r>
            <w:rPr>
              <w:color w:val="auto"/>
            </w:rPr>
            <w:instrText xml:space="preserve"> PAGEREF _Toc25518 \h </w:instrText>
          </w:r>
          <w:r>
            <w:rPr>
              <w:color w:val="auto"/>
            </w:rPr>
            <w:fldChar w:fldCharType="separate"/>
          </w:r>
          <w:r>
            <w:rPr>
              <w:color w:val="auto"/>
            </w:rPr>
            <w:t>57</w:t>
          </w:r>
          <w:r>
            <w:rPr>
              <w:color w:val="auto"/>
            </w:rPr>
            <w:fldChar w:fldCharType="end"/>
          </w:r>
          <w:r>
            <w:rPr>
              <w:rFonts w:eastAsia="仿宋_GB2312" w:cs="Times New Roman"/>
              <w:color w:val="auto"/>
              <w:highlight w:val="none"/>
            </w:rPr>
            <w:fldChar w:fldCharType="end"/>
          </w:r>
        </w:p>
        <w:p w14:paraId="57F81504">
          <w:pPr>
            <w:pStyle w:val="21"/>
            <w:tabs>
              <w:tab w:val="right" w:leader="dot" w:pos="830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_Toc20426 </w:instrText>
          </w:r>
          <w:r>
            <w:rPr>
              <w:rFonts w:eastAsia="仿宋_GB2312" w:cs="Times New Roman"/>
              <w:color w:val="auto"/>
              <w:highlight w:val="none"/>
            </w:rPr>
            <w:fldChar w:fldCharType="separate"/>
          </w:r>
          <w:r>
            <w:rPr>
              <w:rFonts w:hint="eastAsia" w:ascii="宋体" w:hAnsi="宋体" w:eastAsia="方正小标宋简体" w:cs="宋体"/>
              <w:color w:val="auto"/>
              <w:szCs w:val="32"/>
            </w:rPr>
            <w:t xml:space="preserve">第二节 </w:t>
          </w:r>
          <w:r>
            <w:rPr>
              <w:rFonts w:ascii="Times New Roman" w:hAnsi="Times New Roman" w:cs="Times New Roman"/>
              <w:color w:val="auto"/>
              <w:szCs w:val="32"/>
              <w:highlight w:val="none"/>
            </w:rPr>
            <w:t>近期重点建设项目及实施保障</w:t>
          </w:r>
          <w:r>
            <w:rPr>
              <w:color w:val="auto"/>
            </w:rPr>
            <w:tab/>
          </w:r>
          <w:r>
            <w:rPr>
              <w:color w:val="auto"/>
            </w:rPr>
            <w:fldChar w:fldCharType="begin"/>
          </w:r>
          <w:r>
            <w:rPr>
              <w:color w:val="auto"/>
            </w:rPr>
            <w:instrText xml:space="preserve"> PAGEREF _Toc20426 \h </w:instrText>
          </w:r>
          <w:r>
            <w:rPr>
              <w:color w:val="auto"/>
            </w:rPr>
            <w:fldChar w:fldCharType="separate"/>
          </w:r>
          <w:r>
            <w:rPr>
              <w:color w:val="auto"/>
            </w:rPr>
            <w:t>58</w:t>
          </w:r>
          <w:r>
            <w:rPr>
              <w:color w:val="auto"/>
            </w:rPr>
            <w:fldChar w:fldCharType="end"/>
          </w:r>
          <w:r>
            <w:rPr>
              <w:rFonts w:eastAsia="仿宋_GB2312" w:cs="Times New Roman"/>
              <w:color w:val="auto"/>
              <w:highlight w:val="none"/>
            </w:rPr>
            <w:fldChar w:fldCharType="end"/>
          </w:r>
        </w:p>
        <w:p w14:paraId="2FB8ADA7">
          <w:pPr>
            <w:pStyle w:val="20"/>
            <w:tabs>
              <w:tab w:val="right" w:leader="dot" w:pos="8306"/>
              <w:tab w:val="clear" w:pos="8296"/>
            </w:tabs>
            <w:rPr>
              <w:color w:val="auto"/>
            </w:rPr>
          </w:pPr>
          <w:r>
            <w:rPr>
              <w:rFonts w:eastAsia="仿宋_GB2312" w:cs="Times New Roman"/>
              <w:color w:val="auto"/>
              <w:highlight w:val="none"/>
            </w:rPr>
            <w:fldChar w:fldCharType="begin"/>
          </w:r>
          <w:r>
            <w:rPr>
              <w:rFonts w:eastAsia="仿宋_GB2312" w:cs="Times New Roman"/>
              <w:color w:val="auto"/>
              <w:highlight w:val="none"/>
            </w:rPr>
            <w:instrText xml:space="preserve"> HYPERLINK \l _Toc3117 </w:instrText>
          </w:r>
          <w:r>
            <w:rPr>
              <w:rFonts w:eastAsia="仿宋_GB2312" w:cs="Times New Roman"/>
              <w:color w:val="auto"/>
              <w:highlight w:val="none"/>
            </w:rPr>
            <w:fldChar w:fldCharType="separate"/>
          </w:r>
          <w:r>
            <w:rPr>
              <w:rFonts w:hint="eastAsia" w:cs="Times New Roman"/>
              <w:bCs/>
              <w:color w:val="auto"/>
              <w:szCs w:val="36"/>
            </w:rPr>
            <w:t xml:space="preserve">第十章 </w:t>
          </w:r>
          <w:r>
            <w:rPr>
              <w:rFonts w:cs="Times New Roman"/>
              <w:bCs/>
              <w:color w:val="auto"/>
              <w:szCs w:val="36"/>
              <w:highlight w:val="none"/>
            </w:rPr>
            <w:t>村庄“通则式”规划管理规定</w:t>
          </w:r>
          <w:r>
            <w:rPr>
              <w:color w:val="auto"/>
            </w:rPr>
            <w:tab/>
          </w:r>
          <w:r>
            <w:rPr>
              <w:color w:val="auto"/>
            </w:rPr>
            <w:fldChar w:fldCharType="begin"/>
          </w:r>
          <w:r>
            <w:rPr>
              <w:color w:val="auto"/>
            </w:rPr>
            <w:instrText xml:space="preserve"> PAGEREF _Toc3117 \h </w:instrText>
          </w:r>
          <w:r>
            <w:rPr>
              <w:color w:val="auto"/>
            </w:rPr>
            <w:fldChar w:fldCharType="separate"/>
          </w:r>
          <w:r>
            <w:rPr>
              <w:color w:val="auto"/>
            </w:rPr>
            <w:t>59</w:t>
          </w:r>
          <w:r>
            <w:rPr>
              <w:color w:val="auto"/>
            </w:rPr>
            <w:fldChar w:fldCharType="end"/>
          </w:r>
          <w:r>
            <w:rPr>
              <w:rFonts w:eastAsia="仿宋_GB2312" w:cs="Times New Roman"/>
              <w:color w:val="auto"/>
              <w:highlight w:val="none"/>
            </w:rPr>
            <w:fldChar w:fldCharType="end"/>
          </w:r>
        </w:p>
        <w:p w14:paraId="600C8F9C">
          <w:pPr>
            <w:keepNext/>
            <w:tabs>
              <w:tab w:val="left" w:pos="5251"/>
            </w:tabs>
            <w:spacing w:line="240" w:lineRule="auto"/>
            <w:ind w:firstLine="0" w:firstLineChars="0"/>
            <w:rPr>
              <w:rFonts w:eastAsia="仿宋_GB2312" w:cs="Times New Roman"/>
              <w:color w:val="auto"/>
              <w:highlight w:val="none"/>
            </w:rPr>
          </w:pPr>
          <w:r>
            <w:rPr>
              <w:rFonts w:eastAsia="仿宋_GB2312" w:cs="Times New Roman"/>
              <w:color w:val="auto"/>
              <w:highlight w:val="none"/>
            </w:rPr>
            <w:fldChar w:fldCharType="end"/>
          </w:r>
        </w:p>
      </w:sdtContent>
    </w:sdt>
    <w:p w14:paraId="79908430">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sectPr>
          <w:footerReference r:id="rId11" w:type="default"/>
          <w:pgSz w:w="11906" w:h="16838"/>
          <w:pgMar w:top="1440" w:right="1800" w:bottom="1440" w:left="1800" w:header="851" w:footer="850" w:gutter="0"/>
          <w:pgNumType w:fmt="lowerRoman" w:start="1"/>
          <w:cols w:space="425" w:num="1"/>
          <w:docGrid w:type="lines" w:linePitch="435" w:charSpace="0"/>
        </w:sectPr>
      </w:pPr>
    </w:p>
    <w:p w14:paraId="257B99FA">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pPr>
      <w:bookmarkStart w:id="17" w:name="_Toc19395"/>
      <w:r>
        <w:rPr>
          <w:rFonts w:cs="Times New Roman"/>
          <w:bCs/>
          <w:color w:val="auto"/>
          <w:szCs w:val="36"/>
          <w:highlight w:val="none"/>
        </w:rPr>
        <w:t>总则</w:t>
      </w:r>
      <w:bookmarkEnd w:id="17"/>
    </w:p>
    <w:p w14:paraId="7F98092A">
      <w:pPr>
        <w:pStyle w:val="4"/>
        <w:tabs>
          <w:tab w:val="clear" w:pos="0"/>
        </w:tabs>
        <w:spacing w:before="217" w:after="217"/>
        <w:rPr>
          <w:rFonts w:cs="Times New Roman"/>
          <w:color w:val="auto"/>
          <w:highlight w:val="none"/>
        </w:rPr>
      </w:pPr>
      <w:r>
        <w:rPr>
          <w:rFonts w:cs="Times New Roman"/>
          <w:color w:val="auto"/>
          <w:highlight w:val="none"/>
        </w:rPr>
        <w:t>规划目的</w:t>
      </w:r>
    </w:p>
    <w:p w14:paraId="7F20519C">
      <w:pPr>
        <w:pStyle w:val="55"/>
        <w:ind w:firstLine="640"/>
        <w:rPr>
          <w:color w:val="auto"/>
          <w:highlight w:val="none"/>
        </w:rPr>
      </w:pPr>
      <w:r>
        <w:rPr>
          <w:color w:val="auto"/>
          <w:highlight w:val="none"/>
        </w:rPr>
        <w:t>为贯彻</w:t>
      </w:r>
      <w:r>
        <w:rPr>
          <w:color w:val="auto"/>
          <w:szCs w:val="32"/>
          <w:highlight w:val="none"/>
          <w:shd w:val="clear" w:color="auto" w:fill="FFFFFF"/>
        </w:rPr>
        <w:t>《中共中央</w:t>
      </w:r>
      <w:r>
        <w:rPr>
          <w:rFonts w:hint="eastAsia" w:ascii="仿宋_GB2312" w:hAnsi="仿宋_GB2312" w:cs="仿宋_GB2312"/>
          <w:color w:val="auto"/>
          <w:szCs w:val="32"/>
          <w:highlight w:val="none"/>
          <w:lang w:eastAsia="zh-CN"/>
        </w:rPr>
        <w:t>、</w:t>
      </w:r>
      <w:r>
        <w:rPr>
          <w:color w:val="auto"/>
          <w:szCs w:val="32"/>
          <w:highlight w:val="none"/>
          <w:shd w:val="clear" w:color="auto" w:fill="FFFFFF"/>
        </w:rPr>
        <w:t>国务院</w:t>
      </w:r>
      <w:r>
        <w:rPr>
          <w:color w:val="auto"/>
          <w:szCs w:val="32"/>
          <w:highlight w:val="none"/>
        </w:rPr>
        <w:t>关于建立国土空间规划体系并监督实施的若干意见》（中发〔2019〕18号），</w:t>
      </w:r>
      <w:r>
        <w:rPr>
          <w:color w:val="auto"/>
          <w:highlight w:val="none"/>
        </w:rPr>
        <w:t>落实《自然资源部关于全面开展国土空间规划工作的通知》（自然资发〔2019〕87号）和</w:t>
      </w:r>
      <w:r>
        <w:rPr>
          <w:color w:val="auto"/>
          <w:szCs w:val="28"/>
          <w:highlight w:val="none"/>
        </w:rPr>
        <w:t>《中共黑龙江省委 黑龙江省人民政府关于建立全省国土空间规划体系并监督实施的意见》</w:t>
      </w:r>
      <w:r>
        <w:rPr>
          <w:color w:val="auto"/>
          <w:highlight w:val="none"/>
        </w:rPr>
        <w:t>的相关要求，建立和完善桦川县国土空间规划体系，提升东河乡空间治理能力，实现高质量发展和高标准建设，</w:t>
      </w:r>
      <w:r>
        <w:rPr>
          <w:color w:val="auto"/>
          <w:szCs w:val="32"/>
          <w:highlight w:val="none"/>
        </w:rPr>
        <w:t>编制《桦川县东河乡国土空间总体规划（2021-2035年）》</w:t>
      </w:r>
      <w:r>
        <w:rPr>
          <w:color w:val="auto"/>
          <w:highlight w:val="none"/>
        </w:rPr>
        <w:t>（以下简称《规划》）</w:t>
      </w:r>
      <w:r>
        <w:rPr>
          <w:color w:val="auto"/>
          <w:szCs w:val="32"/>
          <w:highlight w:val="none"/>
        </w:rPr>
        <w:t>。</w:t>
      </w:r>
    </w:p>
    <w:p w14:paraId="378BEB17">
      <w:pPr>
        <w:pStyle w:val="4"/>
        <w:tabs>
          <w:tab w:val="clear" w:pos="0"/>
        </w:tabs>
        <w:spacing w:before="217" w:after="217"/>
        <w:rPr>
          <w:rFonts w:cs="Times New Roman"/>
          <w:color w:val="auto"/>
          <w:highlight w:val="none"/>
        </w:rPr>
      </w:pPr>
      <w:r>
        <w:rPr>
          <w:rFonts w:cs="Times New Roman"/>
          <w:color w:val="auto"/>
          <w:highlight w:val="none"/>
        </w:rPr>
        <w:t>规划定位</w:t>
      </w:r>
    </w:p>
    <w:p w14:paraId="13256B98">
      <w:pPr>
        <w:ind w:firstLine="640"/>
        <w:rPr>
          <w:rFonts w:eastAsia="仿宋_GB2312" w:cs="Times New Roman"/>
          <w:color w:val="auto"/>
          <w:sz w:val="32"/>
          <w:szCs w:val="32"/>
          <w:highlight w:val="none"/>
        </w:rPr>
      </w:pPr>
      <w:r>
        <w:rPr>
          <w:rFonts w:eastAsia="仿宋_GB2312" w:cs="Times New Roman"/>
          <w:color w:val="auto"/>
          <w:sz w:val="32"/>
          <w:highlight w:val="none"/>
        </w:rPr>
        <w:t>《规划》是对佳木斯市和桦川县国土空间总体规划要求的细化落实，是对</w:t>
      </w:r>
      <w:r>
        <w:rPr>
          <w:rFonts w:hint="eastAsia" w:eastAsia="仿宋_GB2312" w:cs="Times New Roman"/>
          <w:color w:val="auto"/>
          <w:sz w:val="32"/>
          <w:highlight w:val="none"/>
        </w:rPr>
        <w:t>东河乡乡域</w:t>
      </w:r>
      <w:r>
        <w:rPr>
          <w:rFonts w:eastAsia="仿宋_GB2312" w:cs="Times New Roman"/>
          <w:color w:val="auto"/>
          <w:sz w:val="32"/>
          <w:highlight w:val="none"/>
        </w:rPr>
        <w:t>国土空间保护开发作出的具体安排，是东河乡进行空间治理的工具，是编制城镇开发边界内详细规划和城镇开发边界外的村庄规划、实施国土空间用途管制的基本依据。</w:t>
      </w:r>
    </w:p>
    <w:p w14:paraId="1FF5E5AC">
      <w:pPr>
        <w:pStyle w:val="4"/>
        <w:tabs>
          <w:tab w:val="clear" w:pos="0"/>
        </w:tabs>
        <w:spacing w:before="217" w:after="217"/>
        <w:rPr>
          <w:rFonts w:cs="Times New Roman"/>
          <w:color w:val="auto"/>
          <w:highlight w:val="none"/>
        </w:rPr>
      </w:pPr>
      <w:r>
        <w:rPr>
          <w:rFonts w:cs="Times New Roman"/>
          <w:color w:val="auto"/>
          <w:highlight w:val="none"/>
        </w:rPr>
        <w:t>指导思想</w:t>
      </w:r>
    </w:p>
    <w:p w14:paraId="01415711">
      <w:pPr>
        <w:ind w:firstLine="640"/>
        <w:rPr>
          <w:rFonts w:eastAsia="仿宋_GB2312" w:cs="Times New Roman"/>
          <w:color w:val="auto"/>
          <w:sz w:val="32"/>
          <w:szCs w:val="32"/>
          <w:highlight w:val="none"/>
        </w:rPr>
      </w:pPr>
      <w:r>
        <w:rPr>
          <w:rFonts w:eastAsia="仿宋_GB2312" w:cs="Times New Roman"/>
          <w:color w:val="auto"/>
          <w:sz w:val="32"/>
          <w:szCs w:val="32"/>
          <w:highlight w:val="none"/>
        </w:rPr>
        <w:t>以习近平新时代中国特色社会主义思想为指导，深入贯彻党的二十大精神，全面落实习近平总书记历次在东北地区及黑龙江省考察的重要指示要求，认真落实省委“六个龙江”“八个振兴”“九个坚定不移”目标任务，落实佳木斯市“一核引领、两区协同、轴</w:t>
      </w:r>
      <w:r>
        <w:rPr>
          <w:rFonts w:eastAsia="仿宋_GB2312" w:cs="Times New Roman"/>
          <w:color w:val="auto"/>
          <w:sz w:val="32"/>
          <w:szCs w:val="32"/>
          <w:highlight w:val="none"/>
          <w:shd w:val="clear" w:color="auto" w:fill="FFFFFF"/>
        </w:rPr>
        <w:t>带</w:t>
      </w:r>
      <w:r>
        <w:rPr>
          <w:rFonts w:eastAsia="仿宋_GB2312" w:cs="Times New Roman"/>
          <w:color w:val="auto"/>
          <w:sz w:val="32"/>
          <w:szCs w:val="32"/>
          <w:highlight w:val="none"/>
        </w:rPr>
        <w:t>联动”的总体要求，落实桦川县总体要求，积极贯彻东河乡历次党代会精神，</w:t>
      </w:r>
      <w:r>
        <w:rPr>
          <w:rFonts w:eastAsia="仿宋_GB2312" w:cs="Times New Roman"/>
          <w:color w:val="auto"/>
          <w:spacing w:val="-3"/>
          <w:sz w:val="32"/>
          <w:szCs w:val="32"/>
          <w:highlight w:val="none"/>
        </w:rPr>
        <w:t>优化农业、生态、城镇等功能空间，整体谋划国土空</w:t>
      </w:r>
      <w:r>
        <w:rPr>
          <w:rFonts w:eastAsia="仿宋_GB2312" w:cs="Times New Roman"/>
          <w:color w:val="auto"/>
          <w:spacing w:val="-6"/>
          <w:sz w:val="32"/>
          <w:szCs w:val="32"/>
          <w:highlight w:val="none"/>
        </w:rPr>
        <w:t>间开</w:t>
      </w:r>
      <w:r>
        <w:rPr>
          <w:rFonts w:eastAsia="仿宋_GB2312" w:cs="Times New Roman"/>
          <w:color w:val="auto"/>
          <w:spacing w:val="-5"/>
          <w:sz w:val="32"/>
          <w:szCs w:val="32"/>
          <w:highlight w:val="none"/>
        </w:rPr>
        <w:t>发</w:t>
      </w:r>
      <w:r>
        <w:rPr>
          <w:rFonts w:eastAsia="仿宋_GB2312" w:cs="Times New Roman"/>
          <w:color w:val="auto"/>
          <w:spacing w:val="-3"/>
          <w:sz w:val="32"/>
          <w:szCs w:val="32"/>
          <w:highlight w:val="none"/>
        </w:rPr>
        <w:t>保护新格局，提升国土空间资源利用效率，为促进经济社会全</w:t>
      </w:r>
      <w:r>
        <w:rPr>
          <w:rFonts w:eastAsia="仿宋_GB2312" w:cs="Times New Roman"/>
          <w:color w:val="auto"/>
          <w:spacing w:val="-2"/>
          <w:sz w:val="32"/>
          <w:szCs w:val="32"/>
          <w:highlight w:val="none"/>
        </w:rPr>
        <w:t>面转型，谱写绿色崛起、跨越发展、全方位振兴的新篇章筑牢基</w:t>
      </w:r>
      <w:r>
        <w:rPr>
          <w:rFonts w:eastAsia="仿宋_GB2312" w:cs="Times New Roman"/>
          <w:color w:val="auto"/>
          <w:spacing w:val="-1"/>
          <w:sz w:val="32"/>
          <w:szCs w:val="32"/>
          <w:highlight w:val="none"/>
        </w:rPr>
        <w:t>础</w:t>
      </w:r>
      <w:r>
        <w:rPr>
          <w:rFonts w:eastAsia="仿宋_GB2312" w:cs="Times New Roman"/>
          <w:color w:val="auto"/>
          <w:sz w:val="32"/>
          <w:szCs w:val="32"/>
          <w:highlight w:val="none"/>
        </w:rPr>
        <w:t>。</w:t>
      </w:r>
    </w:p>
    <w:p w14:paraId="543EEBA7">
      <w:pPr>
        <w:pStyle w:val="4"/>
        <w:tabs>
          <w:tab w:val="clear" w:pos="0"/>
        </w:tabs>
        <w:spacing w:before="217" w:after="217"/>
        <w:rPr>
          <w:rFonts w:cs="Times New Roman"/>
          <w:color w:val="auto"/>
          <w:highlight w:val="none"/>
        </w:rPr>
      </w:pPr>
      <w:r>
        <w:rPr>
          <w:rFonts w:cs="Times New Roman"/>
          <w:color w:val="auto"/>
          <w:highlight w:val="none"/>
        </w:rPr>
        <w:t>规划原则</w:t>
      </w:r>
    </w:p>
    <w:p w14:paraId="649B7DAA">
      <w:pPr>
        <w:ind w:firstLine="640"/>
        <w:rPr>
          <w:rFonts w:eastAsia="仿宋_GB2312" w:cs="Times New Roman"/>
          <w:color w:val="auto"/>
          <w:sz w:val="32"/>
          <w:szCs w:val="28"/>
          <w:highlight w:val="none"/>
        </w:rPr>
      </w:pPr>
      <w:r>
        <w:rPr>
          <w:rFonts w:eastAsia="仿宋_GB2312" w:cs="Times New Roman"/>
          <w:color w:val="auto"/>
          <w:sz w:val="32"/>
          <w:szCs w:val="28"/>
          <w:highlight w:val="none"/>
        </w:rPr>
        <w:t>坚持安全底线，绿色发展。落实市县总规划定的“三条控制线”，严守国防安全、粮食安全、生态安全、能源安全、产业安全底线。</w:t>
      </w:r>
    </w:p>
    <w:p w14:paraId="1A87B259">
      <w:pPr>
        <w:ind w:firstLine="640"/>
        <w:rPr>
          <w:rFonts w:eastAsia="仿宋_GB2312" w:cs="Times New Roman"/>
          <w:color w:val="auto"/>
          <w:sz w:val="32"/>
          <w:szCs w:val="28"/>
          <w:highlight w:val="none"/>
        </w:rPr>
      </w:pPr>
      <w:r>
        <w:rPr>
          <w:rFonts w:eastAsia="仿宋_GB2312" w:cs="Times New Roman"/>
          <w:color w:val="auto"/>
          <w:sz w:val="32"/>
          <w:szCs w:val="28"/>
          <w:highlight w:val="none"/>
        </w:rPr>
        <w:t>坚持以人为本，品质提升。以人民为中心，处理好人与自然的和谐关系，实现城乡高质量发展、高品质生活。</w:t>
      </w:r>
    </w:p>
    <w:p w14:paraId="63082CC4">
      <w:pPr>
        <w:ind w:firstLine="640"/>
        <w:rPr>
          <w:rFonts w:eastAsia="仿宋_GB2312" w:cs="Times New Roman"/>
          <w:color w:val="auto"/>
          <w:sz w:val="32"/>
          <w:szCs w:val="28"/>
          <w:highlight w:val="none"/>
        </w:rPr>
      </w:pPr>
      <w:r>
        <w:rPr>
          <w:rFonts w:eastAsia="仿宋_GB2312" w:cs="Times New Roman"/>
          <w:color w:val="auto"/>
          <w:sz w:val="32"/>
          <w:szCs w:val="28"/>
          <w:highlight w:val="none"/>
        </w:rPr>
        <w:t>坚持全域管控，适度集约。强化自然资源统筹利用和用途管控，探索控制城乡建设用地增量，盘活存量的内涵式发展路径，提高土地利用效率。</w:t>
      </w:r>
    </w:p>
    <w:p w14:paraId="2C974D72">
      <w:pPr>
        <w:ind w:firstLine="640"/>
        <w:rPr>
          <w:rFonts w:eastAsia="仿宋_GB2312" w:cs="Times New Roman"/>
          <w:color w:val="auto"/>
          <w:sz w:val="32"/>
          <w:szCs w:val="28"/>
          <w:highlight w:val="none"/>
        </w:rPr>
      </w:pPr>
      <w:r>
        <w:rPr>
          <w:rFonts w:eastAsia="仿宋_GB2312" w:cs="Times New Roman"/>
          <w:color w:val="auto"/>
          <w:sz w:val="32"/>
          <w:szCs w:val="28"/>
          <w:highlight w:val="none"/>
        </w:rPr>
        <w:t>坚持承上启下，体现特色。严格落实市县总规下达的传导内容，并将本级约束性指标（</w:t>
      </w:r>
      <w:r>
        <w:rPr>
          <w:rFonts w:eastAsia="仿宋_GB2312" w:cs="Times New Roman"/>
          <w:color w:val="auto"/>
          <w:sz w:val="32"/>
          <w:szCs w:val="28"/>
          <w:highlight w:val="none"/>
          <w:shd w:val="clear" w:color="auto" w:fill="FFFFFF"/>
        </w:rPr>
        <w:t>除</w:t>
      </w:r>
      <w:r>
        <w:rPr>
          <w:rFonts w:eastAsia="仿宋_GB2312" w:cs="Times New Roman"/>
          <w:color w:val="auto"/>
          <w:sz w:val="32"/>
          <w:szCs w:val="28"/>
          <w:highlight w:val="none"/>
        </w:rPr>
        <w:t>用水总量）分解至村庄，因地制宜体现黑土地保护、生态环境、能源安全、矿业经济、守边固边等特色。</w:t>
      </w:r>
    </w:p>
    <w:p w14:paraId="57462F7D">
      <w:pPr>
        <w:ind w:firstLine="640"/>
        <w:rPr>
          <w:rFonts w:eastAsia="仿宋_GB2312" w:cs="Times New Roman"/>
          <w:color w:val="auto"/>
          <w:sz w:val="32"/>
          <w:szCs w:val="28"/>
          <w:highlight w:val="none"/>
        </w:rPr>
      </w:pPr>
      <w:r>
        <w:rPr>
          <w:rFonts w:eastAsia="仿宋_GB2312" w:cs="Times New Roman"/>
          <w:color w:val="auto"/>
          <w:sz w:val="32"/>
          <w:szCs w:val="28"/>
          <w:highlight w:val="none"/>
        </w:rPr>
        <w:t>坚持侧重实施，突出近期。侧重对本行政区域开发保护作出具体安排，突出与国民经济和社会发展规划的衔接，保障近期项目实施。</w:t>
      </w:r>
    </w:p>
    <w:p w14:paraId="476C0F25">
      <w:pPr>
        <w:ind w:firstLine="640"/>
        <w:rPr>
          <w:rFonts w:eastAsia="仿宋_GB2312" w:cs="Times New Roman"/>
          <w:color w:val="auto"/>
          <w:sz w:val="32"/>
          <w:szCs w:val="28"/>
          <w:highlight w:val="none"/>
        </w:rPr>
      </w:pPr>
      <w:r>
        <w:rPr>
          <w:rFonts w:eastAsia="仿宋_GB2312" w:cs="Times New Roman"/>
          <w:color w:val="auto"/>
          <w:sz w:val="32"/>
          <w:szCs w:val="28"/>
          <w:highlight w:val="none"/>
        </w:rPr>
        <w:t>坚持公众参与，开放共享。广泛征求公众意见，开门编规划，保障公众的知情权、参与权和监督权。</w:t>
      </w:r>
    </w:p>
    <w:p w14:paraId="09C84D34">
      <w:pPr>
        <w:pStyle w:val="4"/>
        <w:tabs>
          <w:tab w:val="clear" w:pos="0"/>
        </w:tabs>
        <w:spacing w:before="217" w:after="217"/>
        <w:rPr>
          <w:rFonts w:cs="Times New Roman"/>
          <w:color w:val="auto"/>
          <w:highlight w:val="none"/>
        </w:rPr>
      </w:pPr>
      <w:r>
        <w:rPr>
          <w:rFonts w:cs="Times New Roman"/>
          <w:color w:val="auto"/>
          <w:highlight w:val="none"/>
        </w:rPr>
        <w:t>规划依据</w:t>
      </w:r>
    </w:p>
    <w:p w14:paraId="4B960B50">
      <w:pPr>
        <w:numPr>
          <w:ilvl w:val="0"/>
          <w:numId w:val="8"/>
        </w:numPr>
        <w:ind w:firstLineChars="0"/>
        <w:rPr>
          <w:rFonts w:eastAsia="仿宋_GB2312" w:cs="Times New Roman"/>
          <w:color w:val="auto"/>
          <w:sz w:val="32"/>
          <w:szCs w:val="28"/>
          <w:highlight w:val="none"/>
        </w:rPr>
      </w:pPr>
      <w:bookmarkStart w:id="18" w:name="_Hlk175260929"/>
      <w:r>
        <w:rPr>
          <w:rFonts w:eastAsia="仿宋_GB2312" w:cs="Times New Roman"/>
          <w:color w:val="auto"/>
          <w:sz w:val="32"/>
          <w:szCs w:val="28"/>
          <w:highlight w:val="none"/>
        </w:rPr>
        <w:t>法律法规</w:t>
      </w:r>
    </w:p>
    <w:p w14:paraId="5C23ECF1">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《中华人民共和国土地管理法》（2019年修订）；</w:t>
      </w:r>
    </w:p>
    <w:p w14:paraId="64BA0C9A">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《中华人民共和国土地管理法实施条例》（2021年修订）；</w:t>
      </w:r>
    </w:p>
    <w:p w14:paraId="66558AE6">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《中华人民共和国城乡规划法》（2019年修订）；</w:t>
      </w:r>
    </w:p>
    <w:p w14:paraId="3D11C361">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《中华人民共和国环境保护法》（2014年修订）；</w:t>
      </w:r>
    </w:p>
    <w:p w14:paraId="11B04E46">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《中华人民共和国乡村振兴促进法》（2021.04）；</w:t>
      </w:r>
    </w:p>
    <w:p w14:paraId="0CBF97F5">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《中华人民共和国草原法》（2021年修订）；</w:t>
      </w:r>
    </w:p>
    <w:p w14:paraId="5C9F082F">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《中华人民共和国森林法》（2019年修订）；</w:t>
      </w:r>
    </w:p>
    <w:p w14:paraId="00F812D9">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《中华人民共和国湿地保护法》（2022.06）；</w:t>
      </w:r>
    </w:p>
    <w:p w14:paraId="4895B9B4">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《中华人民共和国文物保护法》（2017年修订）；</w:t>
      </w:r>
    </w:p>
    <w:p w14:paraId="39AA7703">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《中华人民共和国自然保护区条例》（2017年修订）；</w:t>
      </w:r>
    </w:p>
    <w:p w14:paraId="00ED6BA4">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《黑龙江省黑土地保护利用条例》（2024.03）；</w:t>
      </w:r>
    </w:p>
    <w:p w14:paraId="5244BA79">
      <w:pPr>
        <w:numPr>
          <w:ilvl w:val="0"/>
          <w:numId w:val="9"/>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其他相关</w:t>
      </w:r>
      <w:r>
        <w:rPr>
          <w:rFonts w:hint="eastAsia" w:eastAsia="仿宋_GB2312" w:cs="Times New Roman"/>
          <w:color w:val="auto"/>
          <w:sz w:val="32"/>
          <w:szCs w:val="32"/>
          <w:highlight w:val="none"/>
        </w:rPr>
        <w:t>法律法规</w:t>
      </w:r>
      <w:r>
        <w:rPr>
          <w:rFonts w:eastAsia="仿宋_GB2312" w:cs="Times New Roman"/>
          <w:color w:val="auto"/>
          <w:sz w:val="32"/>
          <w:szCs w:val="32"/>
          <w:highlight w:val="none"/>
        </w:rPr>
        <w:t>。</w:t>
      </w:r>
    </w:p>
    <w:p w14:paraId="711DFCF2">
      <w:pPr>
        <w:numPr>
          <w:ilvl w:val="0"/>
          <w:numId w:val="8"/>
        </w:numPr>
        <w:ind w:firstLineChars="0"/>
        <w:rPr>
          <w:rFonts w:eastAsia="仿宋_GB2312" w:cs="Times New Roman"/>
          <w:color w:val="auto"/>
          <w:sz w:val="32"/>
          <w:szCs w:val="28"/>
          <w:highlight w:val="none"/>
        </w:rPr>
      </w:pPr>
      <w:r>
        <w:rPr>
          <w:rFonts w:eastAsia="仿宋_GB2312" w:cs="Times New Roman"/>
          <w:color w:val="auto"/>
          <w:sz w:val="32"/>
          <w:szCs w:val="28"/>
          <w:highlight w:val="none"/>
        </w:rPr>
        <w:t>政策文件</w:t>
      </w:r>
    </w:p>
    <w:p w14:paraId="5AF36E1F">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《中共中央 国务院关于建立国土空间规划体系并监督实施的若干意见》（中发</w:t>
      </w:r>
      <w:r>
        <w:rPr>
          <w:rFonts w:hint="eastAsia" w:eastAsia="仿宋_GB2312" w:cs="Times New Roman"/>
          <w:color w:val="auto"/>
          <w:sz w:val="32"/>
          <w:szCs w:val="32"/>
          <w:highlight w:val="none"/>
          <w:shd w:val="clear" w:color="auto" w:fill="FFFFFF"/>
        </w:rPr>
        <w:t>〔2019〕18号</w:t>
      </w:r>
      <w:r>
        <w:rPr>
          <w:rFonts w:eastAsia="仿宋_GB2312" w:cs="Times New Roman"/>
          <w:color w:val="auto"/>
          <w:sz w:val="32"/>
          <w:szCs w:val="32"/>
          <w:highlight w:val="none"/>
        </w:rPr>
        <w:t>）；</w:t>
      </w:r>
    </w:p>
    <w:p w14:paraId="5168E0B7">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《中共中央 国务院关于加快推进生态文明建设的意见》</w:t>
      </w:r>
      <w:r>
        <w:rPr>
          <w:rFonts w:hint="eastAsia" w:eastAsia="仿宋_GB2312" w:cs="Times New Roman"/>
          <w:color w:val="auto"/>
          <w:sz w:val="32"/>
          <w:szCs w:val="32"/>
          <w:highlight w:val="none"/>
        </w:rPr>
        <w:t>（</w:t>
      </w:r>
      <w:r>
        <w:rPr>
          <w:rFonts w:eastAsia="仿宋_GB2312" w:cs="Times New Roman"/>
          <w:color w:val="auto"/>
          <w:sz w:val="32"/>
          <w:szCs w:val="32"/>
          <w:highlight w:val="none"/>
          <w:shd w:val="clear" w:color="auto" w:fill="FFFFFF"/>
        </w:rPr>
        <w:t>厅字〔2019〕</w:t>
      </w:r>
      <w:r>
        <w:rPr>
          <w:rFonts w:eastAsia="仿宋_GB2312" w:cs="Times New Roman"/>
          <w:color w:val="auto"/>
          <w:sz w:val="32"/>
          <w:szCs w:val="32"/>
          <w:highlight w:val="none"/>
        </w:rPr>
        <w:t>48号</w:t>
      </w:r>
      <w:r>
        <w:rPr>
          <w:rFonts w:hint="eastAsia" w:eastAsia="仿宋_GB2312" w:cs="Times New Roman"/>
          <w:color w:val="auto"/>
          <w:sz w:val="32"/>
          <w:szCs w:val="32"/>
          <w:highlight w:val="none"/>
        </w:rPr>
        <w:t>）</w:t>
      </w:r>
      <w:r>
        <w:rPr>
          <w:rFonts w:eastAsia="仿宋_GB2312" w:cs="Times New Roman"/>
          <w:color w:val="auto"/>
          <w:sz w:val="32"/>
          <w:szCs w:val="32"/>
          <w:highlight w:val="none"/>
        </w:rPr>
        <w:t>；</w:t>
      </w:r>
    </w:p>
    <w:p w14:paraId="4313EAC3">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《自然资源部 生态环境部 国家林业和草原局关于加强生态保护红线管理的通知（试行）》（自然资</w:t>
      </w:r>
      <w:r>
        <w:rPr>
          <w:rFonts w:eastAsia="仿宋_GB2312" w:cs="Times New Roman"/>
          <w:color w:val="auto"/>
          <w:sz w:val="32"/>
          <w:szCs w:val="32"/>
          <w:highlight w:val="none"/>
          <w:shd w:val="clear" w:color="auto" w:fill="FFFFFF"/>
        </w:rPr>
        <w:t>发〔2022〕</w:t>
      </w:r>
      <w:r>
        <w:rPr>
          <w:rFonts w:eastAsia="仿宋_GB2312" w:cs="Times New Roman"/>
          <w:color w:val="auto"/>
          <w:sz w:val="32"/>
          <w:szCs w:val="32"/>
          <w:highlight w:val="none"/>
        </w:rPr>
        <w:t>142号）；</w:t>
      </w:r>
    </w:p>
    <w:p w14:paraId="07DF25FD">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《自然资源部办公厅关于加强村庄规划促进乡村振兴的通知》（自然资办发</w:t>
      </w:r>
      <w:r>
        <w:rPr>
          <w:rFonts w:eastAsia="仿宋_GB2312" w:cs="Times New Roman"/>
          <w:color w:val="auto"/>
          <w:sz w:val="32"/>
          <w:szCs w:val="32"/>
          <w:highlight w:val="none"/>
          <w:shd w:val="clear" w:color="auto" w:fill="FFFFFF"/>
        </w:rPr>
        <w:t>〔2019〕</w:t>
      </w:r>
      <w:r>
        <w:rPr>
          <w:rFonts w:eastAsia="仿宋_GB2312" w:cs="Times New Roman"/>
          <w:color w:val="auto"/>
          <w:sz w:val="32"/>
          <w:szCs w:val="32"/>
          <w:highlight w:val="none"/>
        </w:rPr>
        <w:t>35号）；</w:t>
      </w:r>
    </w:p>
    <w:p w14:paraId="598497BE">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《中共中央办公厅 国务院办公厅印发</w:t>
      </w:r>
      <w:r>
        <w:rPr>
          <w:rFonts w:hint="eastAsia" w:eastAsia="仿宋_GB2312" w:cs="Times New Roman"/>
          <w:color w:val="auto"/>
          <w:sz w:val="32"/>
          <w:szCs w:val="32"/>
          <w:highlight w:val="none"/>
        </w:rPr>
        <w:t>〈</w:t>
      </w:r>
      <w:r>
        <w:rPr>
          <w:rFonts w:eastAsia="仿宋_GB2312" w:cs="Times New Roman"/>
          <w:color w:val="auto"/>
          <w:sz w:val="32"/>
          <w:szCs w:val="32"/>
          <w:highlight w:val="none"/>
        </w:rPr>
        <w:t>关于建立以国家公园为主体的自然保护地体系的指导意见</w:t>
      </w:r>
      <w:r>
        <w:rPr>
          <w:rFonts w:hint="eastAsia" w:eastAsia="仿宋_GB2312" w:cs="Times New Roman"/>
          <w:color w:val="auto"/>
          <w:sz w:val="32"/>
          <w:szCs w:val="32"/>
          <w:highlight w:val="none"/>
          <w:shd w:val="clear" w:color="auto" w:fill="FFFFFF"/>
        </w:rPr>
        <w:t>〉</w:t>
      </w:r>
      <w:r>
        <w:rPr>
          <w:rFonts w:eastAsia="仿宋_GB2312" w:cs="Times New Roman"/>
          <w:color w:val="auto"/>
          <w:sz w:val="32"/>
          <w:szCs w:val="32"/>
          <w:highlight w:val="none"/>
          <w:shd w:val="clear" w:color="auto" w:fill="FFFFFF"/>
        </w:rPr>
        <w:t>的通知》</w:t>
      </w:r>
      <w:r>
        <w:rPr>
          <w:rFonts w:eastAsia="仿宋_GB2312" w:cs="Times New Roman"/>
          <w:color w:val="auto"/>
          <w:sz w:val="32"/>
          <w:szCs w:val="32"/>
          <w:highlight w:val="none"/>
        </w:rPr>
        <w:t>（中办发</w:t>
      </w:r>
      <w:r>
        <w:rPr>
          <w:rFonts w:eastAsia="仿宋_GB2312" w:cs="Times New Roman"/>
          <w:color w:val="auto"/>
          <w:sz w:val="32"/>
          <w:szCs w:val="32"/>
          <w:highlight w:val="none"/>
          <w:shd w:val="clear" w:color="auto" w:fill="FFFFFF"/>
        </w:rPr>
        <w:t>〔2019〕</w:t>
      </w:r>
      <w:r>
        <w:rPr>
          <w:rFonts w:eastAsia="仿宋_GB2312" w:cs="Times New Roman"/>
          <w:color w:val="auto"/>
          <w:sz w:val="32"/>
          <w:szCs w:val="32"/>
          <w:highlight w:val="none"/>
        </w:rPr>
        <w:t>42号）；</w:t>
      </w:r>
    </w:p>
    <w:p w14:paraId="587C2C88">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《自然资源部关于全面开展国土空间规划工作的通知》（自然资</w:t>
      </w:r>
      <w:r>
        <w:rPr>
          <w:rFonts w:eastAsia="仿宋_GB2312" w:cs="Times New Roman"/>
          <w:color w:val="auto"/>
          <w:sz w:val="32"/>
          <w:szCs w:val="32"/>
          <w:highlight w:val="none"/>
          <w:shd w:val="clear" w:color="auto" w:fill="FFFFFF"/>
        </w:rPr>
        <w:t>发〔2019〕</w:t>
      </w:r>
      <w:r>
        <w:rPr>
          <w:rFonts w:eastAsia="仿宋_GB2312" w:cs="Times New Roman"/>
          <w:color w:val="auto"/>
          <w:sz w:val="32"/>
          <w:szCs w:val="32"/>
          <w:highlight w:val="none"/>
        </w:rPr>
        <w:t>87号）；</w:t>
      </w:r>
    </w:p>
    <w:p w14:paraId="3FBFD41A">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《中共黑龙江省委办公厅 黑龙江省人民政府办公厅印发〈关于在全省国土空间规划中统筹划定落实三条控制线的实施意见〉的通知》；</w:t>
      </w:r>
    </w:p>
    <w:p w14:paraId="4D278CC8">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《自然资源部农业农村部关于加强和改进永久基本农田保护工作的通知》（自然资</w:t>
      </w:r>
      <w:r>
        <w:rPr>
          <w:rFonts w:eastAsia="仿宋_GB2312" w:cs="Times New Roman"/>
          <w:color w:val="auto"/>
          <w:sz w:val="32"/>
          <w:szCs w:val="32"/>
          <w:highlight w:val="none"/>
          <w:shd w:val="clear" w:color="auto" w:fill="FFFFFF"/>
        </w:rPr>
        <w:t>规〔2019〕</w:t>
      </w:r>
      <w:r>
        <w:rPr>
          <w:rFonts w:eastAsia="仿宋_GB2312" w:cs="Times New Roman"/>
          <w:color w:val="auto"/>
          <w:sz w:val="32"/>
          <w:szCs w:val="32"/>
          <w:highlight w:val="none"/>
        </w:rPr>
        <w:t>1号）；</w:t>
      </w:r>
    </w:p>
    <w:p w14:paraId="2F1DF5D4">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《自然资源部中央农村工作领导小组办公室关于学习运用“千万工程”经验提高村庄规划编制质量和实效的通知》（自然资发〔2024〕1号）；</w:t>
      </w:r>
    </w:p>
    <w:p w14:paraId="51B95997">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《中共黑龙江省委黑龙江省人民政府关于建立全省国土空间规划体系并监督实施的意见》（黑发〔2020〕5号）；</w:t>
      </w:r>
    </w:p>
    <w:p w14:paraId="2D1FC6FF">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《黑龙江省自然资源厅关于全面开展全省国土空间规划工作的通知》（</w:t>
      </w:r>
      <w:r>
        <w:rPr>
          <w:rFonts w:eastAsia="仿宋_GB2312" w:cs="Times New Roman"/>
          <w:color w:val="auto"/>
          <w:sz w:val="32"/>
          <w:szCs w:val="32"/>
          <w:highlight w:val="none"/>
          <w:shd w:val="clear" w:color="auto" w:fill="FFFFFF"/>
        </w:rPr>
        <w:t>黑</w:t>
      </w:r>
      <w:r>
        <w:rPr>
          <w:rFonts w:eastAsia="仿宋_GB2312" w:cs="Times New Roman"/>
          <w:color w:val="auto"/>
          <w:sz w:val="32"/>
          <w:szCs w:val="32"/>
          <w:highlight w:val="none"/>
        </w:rPr>
        <w:t>自然资</w:t>
      </w:r>
      <w:r>
        <w:rPr>
          <w:rFonts w:eastAsia="仿宋_GB2312" w:cs="Times New Roman"/>
          <w:color w:val="auto"/>
          <w:sz w:val="32"/>
          <w:szCs w:val="32"/>
          <w:highlight w:val="none"/>
          <w:shd w:val="clear" w:color="auto" w:fill="FFFFFF"/>
        </w:rPr>
        <w:t>函</w:t>
      </w:r>
      <w:r>
        <w:rPr>
          <w:rFonts w:eastAsia="仿宋_GB2312" w:cs="Times New Roman"/>
          <w:color w:val="auto"/>
          <w:sz w:val="32"/>
          <w:szCs w:val="32"/>
          <w:highlight w:val="none"/>
        </w:rPr>
        <w:t>〔2019〕291号）；</w:t>
      </w:r>
    </w:p>
    <w:p w14:paraId="58F61F83">
      <w:pPr>
        <w:numPr>
          <w:ilvl w:val="0"/>
          <w:numId w:val="10"/>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其他相关政策文件。</w:t>
      </w:r>
    </w:p>
    <w:p w14:paraId="6792ED7B">
      <w:pPr>
        <w:numPr>
          <w:ilvl w:val="0"/>
          <w:numId w:val="8"/>
        </w:numPr>
        <w:ind w:firstLineChars="0"/>
        <w:rPr>
          <w:rFonts w:eastAsia="仿宋_GB2312" w:cs="Times New Roman"/>
          <w:color w:val="auto"/>
          <w:sz w:val="32"/>
          <w:szCs w:val="28"/>
          <w:highlight w:val="none"/>
        </w:rPr>
      </w:pPr>
      <w:r>
        <w:rPr>
          <w:rFonts w:eastAsia="仿宋_GB2312" w:cs="Times New Roman"/>
          <w:color w:val="auto"/>
          <w:sz w:val="32"/>
          <w:szCs w:val="28"/>
          <w:highlight w:val="none"/>
        </w:rPr>
        <w:t>技术标准</w:t>
      </w:r>
    </w:p>
    <w:p w14:paraId="67D7B0B8">
      <w:pPr>
        <w:numPr>
          <w:ilvl w:val="0"/>
          <w:numId w:val="11"/>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《国土空间调查、规划、用途管制用地用海分类指南》（202</w:t>
      </w:r>
      <w:r>
        <w:rPr>
          <w:rFonts w:hint="eastAsia" w:eastAsia="仿宋_GB2312" w:cs="Times New Roman"/>
          <w:color w:val="auto"/>
          <w:sz w:val="32"/>
          <w:szCs w:val="32"/>
          <w:highlight w:val="none"/>
        </w:rPr>
        <w:t>3</w:t>
      </w:r>
      <w:r>
        <w:rPr>
          <w:rFonts w:eastAsia="仿宋_GB2312" w:cs="Times New Roman"/>
          <w:color w:val="auto"/>
          <w:sz w:val="32"/>
          <w:szCs w:val="32"/>
          <w:highlight w:val="none"/>
        </w:rPr>
        <w:t>年1</w:t>
      </w:r>
      <w:r>
        <w:rPr>
          <w:rFonts w:hint="eastAsia" w:eastAsia="仿宋_GB2312" w:cs="Times New Roman"/>
          <w:color w:val="auto"/>
          <w:sz w:val="32"/>
          <w:szCs w:val="32"/>
          <w:highlight w:val="none"/>
        </w:rPr>
        <w:t>1</w:t>
      </w:r>
      <w:r>
        <w:rPr>
          <w:rFonts w:eastAsia="仿宋_GB2312" w:cs="Times New Roman"/>
          <w:color w:val="auto"/>
          <w:sz w:val="32"/>
          <w:szCs w:val="32"/>
          <w:highlight w:val="none"/>
        </w:rPr>
        <w:t>月）；</w:t>
      </w:r>
    </w:p>
    <w:p w14:paraId="18687669">
      <w:pPr>
        <w:numPr>
          <w:ilvl w:val="0"/>
          <w:numId w:val="11"/>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《黑龙江省村庄规划编制指南》(DB23/T3595-2023)；</w:t>
      </w:r>
    </w:p>
    <w:p w14:paraId="7305DD32">
      <w:pPr>
        <w:numPr>
          <w:ilvl w:val="0"/>
          <w:numId w:val="11"/>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《黑龙江省乡镇级国土空间总体规划编制指南</w:t>
      </w:r>
      <w:r>
        <w:rPr>
          <w:rFonts w:hint="eastAsia" w:eastAsia="仿宋_GB2312" w:cs="Times New Roman"/>
          <w:color w:val="auto"/>
          <w:sz w:val="32"/>
          <w:szCs w:val="32"/>
          <w:highlight w:val="none"/>
        </w:rPr>
        <w:t>（</w:t>
      </w:r>
      <w:r>
        <w:rPr>
          <w:rFonts w:eastAsia="仿宋_GB2312" w:cs="Times New Roman"/>
          <w:color w:val="auto"/>
          <w:sz w:val="32"/>
          <w:szCs w:val="32"/>
          <w:highlight w:val="none"/>
        </w:rPr>
        <w:t>试行</w:t>
      </w:r>
      <w:r>
        <w:rPr>
          <w:rFonts w:hint="eastAsia" w:eastAsia="仿宋_GB2312" w:cs="Times New Roman"/>
          <w:color w:val="auto"/>
          <w:sz w:val="32"/>
          <w:szCs w:val="32"/>
          <w:highlight w:val="none"/>
        </w:rPr>
        <w:t>）</w:t>
      </w:r>
      <w:r>
        <w:rPr>
          <w:rFonts w:eastAsia="仿宋_GB2312" w:cs="Times New Roman"/>
          <w:color w:val="auto"/>
          <w:sz w:val="32"/>
          <w:szCs w:val="32"/>
          <w:highlight w:val="none"/>
        </w:rPr>
        <w:t>》(2024年10月</w:t>
      </w:r>
      <w:r>
        <w:rPr>
          <w:rFonts w:hint="eastAsia" w:eastAsia="仿宋_GB2312" w:cs="Times New Roman"/>
          <w:color w:val="auto"/>
          <w:sz w:val="32"/>
          <w:szCs w:val="32"/>
          <w:highlight w:val="none"/>
        </w:rPr>
        <w:t>）</w:t>
      </w:r>
      <w:r>
        <w:rPr>
          <w:rFonts w:eastAsia="仿宋_GB2312" w:cs="Times New Roman"/>
          <w:color w:val="auto"/>
          <w:sz w:val="32"/>
          <w:szCs w:val="32"/>
          <w:highlight w:val="none"/>
        </w:rPr>
        <w:t>；</w:t>
      </w:r>
    </w:p>
    <w:p w14:paraId="39A9ADE5">
      <w:pPr>
        <w:numPr>
          <w:ilvl w:val="0"/>
          <w:numId w:val="11"/>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国家、省行业主管部门颁布的其他相关文件及标准规范。</w:t>
      </w:r>
    </w:p>
    <w:p w14:paraId="7D0C4FE4">
      <w:pPr>
        <w:numPr>
          <w:ilvl w:val="0"/>
          <w:numId w:val="8"/>
        </w:numPr>
        <w:ind w:firstLineChars="0"/>
        <w:rPr>
          <w:rFonts w:eastAsia="仿宋_GB2312" w:cs="Times New Roman"/>
          <w:color w:val="auto"/>
          <w:sz w:val="32"/>
          <w:szCs w:val="28"/>
          <w:highlight w:val="none"/>
        </w:rPr>
      </w:pPr>
      <w:r>
        <w:rPr>
          <w:rFonts w:eastAsia="仿宋_GB2312" w:cs="Times New Roman"/>
          <w:color w:val="auto"/>
          <w:sz w:val="32"/>
          <w:szCs w:val="28"/>
          <w:highlight w:val="none"/>
        </w:rPr>
        <w:t>上位规划及相关规划</w:t>
      </w:r>
    </w:p>
    <w:p w14:paraId="2407992B">
      <w:pPr>
        <w:numPr>
          <w:ilvl w:val="0"/>
          <w:numId w:val="12"/>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《全国国土空间规划纲要（2021-2035年）》；</w:t>
      </w:r>
    </w:p>
    <w:p w14:paraId="3145FB2D">
      <w:pPr>
        <w:numPr>
          <w:ilvl w:val="0"/>
          <w:numId w:val="12"/>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《黑龙江省国民经济和社会发展第十四个五年规划和二〇三五年远景目标纲要》；</w:t>
      </w:r>
    </w:p>
    <w:p w14:paraId="4FC7FB0B">
      <w:pPr>
        <w:numPr>
          <w:ilvl w:val="0"/>
          <w:numId w:val="12"/>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《桦川县国土空间总体规划（2021-2035年）》；</w:t>
      </w:r>
    </w:p>
    <w:p w14:paraId="55DAEA87">
      <w:pPr>
        <w:numPr>
          <w:ilvl w:val="0"/>
          <w:numId w:val="12"/>
        </w:numPr>
        <w:ind w:left="0" w:firstLine="640"/>
        <w:rPr>
          <w:rFonts w:eastAsia="仿宋_GB2312" w:cs="Times New Roman"/>
          <w:color w:val="auto"/>
          <w:sz w:val="32"/>
          <w:szCs w:val="32"/>
          <w:highlight w:val="none"/>
        </w:rPr>
      </w:pPr>
      <w:r>
        <w:rPr>
          <w:rFonts w:eastAsia="仿宋_GB2312" w:cs="Times New Roman"/>
          <w:color w:val="auto"/>
          <w:sz w:val="32"/>
          <w:szCs w:val="32"/>
          <w:highlight w:val="none"/>
        </w:rPr>
        <w:t>《桦川县国民经济和社会发展第十四个五年规划纲要和二〇三五年远景目标（2021-2025年）》；</w:t>
      </w:r>
    </w:p>
    <w:p w14:paraId="33316176">
      <w:pPr>
        <w:numPr>
          <w:ilvl w:val="0"/>
          <w:numId w:val="12"/>
        </w:numPr>
        <w:ind w:left="0" w:firstLine="640"/>
        <w:rPr>
          <w:rFonts w:eastAsia="仿宋_GB2312" w:cs="Times New Roman"/>
          <w:color w:val="auto"/>
          <w:sz w:val="32"/>
          <w:highlight w:val="none"/>
        </w:rPr>
      </w:pPr>
      <w:r>
        <w:rPr>
          <w:rFonts w:eastAsia="仿宋_GB2312" w:cs="Times New Roman"/>
          <w:color w:val="auto"/>
          <w:sz w:val="32"/>
          <w:szCs w:val="32"/>
          <w:highlight w:val="none"/>
        </w:rPr>
        <w:t>其他相关专项规划。</w:t>
      </w:r>
    </w:p>
    <w:bookmarkEnd w:id="18"/>
    <w:p w14:paraId="1E1C84B4">
      <w:pPr>
        <w:pStyle w:val="4"/>
        <w:tabs>
          <w:tab w:val="clear" w:pos="0"/>
        </w:tabs>
        <w:spacing w:before="217" w:after="217"/>
        <w:rPr>
          <w:rFonts w:cs="Times New Roman"/>
          <w:color w:val="auto"/>
          <w:highlight w:val="none"/>
        </w:rPr>
      </w:pPr>
      <w:r>
        <w:rPr>
          <w:rFonts w:cs="Times New Roman"/>
          <w:color w:val="auto"/>
          <w:highlight w:val="none"/>
        </w:rPr>
        <w:t>规划范围与层次</w:t>
      </w:r>
    </w:p>
    <w:p w14:paraId="0F62AD5B">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规划范围分为</w:t>
      </w:r>
      <w:r>
        <w:rPr>
          <w:rFonts w:eastAsia="仿宋_GB2312" w:cs="Times New Roman"/>
          <w:color w:val="auto"/>
          <w:sz w:val="32"/>
          <w:szCs w:val="32"/>
          <w:highlight w:val="none"/>
          <w:shd w:val="clear" w:color="auto" w:fill="FFFFFF"/>
        </w:rPr>
        <w:t>乡</w:t>
      </w:r>
      <w:r>
        <w:rPr>
          <w:rFonts w:eastAsia="仿宋_GB2312" w:cs="Times New Roman"/>
          <w:color w:val="auto"/>
          <w:sz w:val="32"/>
          <w:szCs w:val="32"/>
          <w:highlight w:val="none"/>
        </w:rPr>
        <w:t>域和乡政府所在地两个层次。</w:t>
      </w:r>
      <w:r>
        <w:rPr>
          <w:rFonts w:eastAsia="仿宋_GB2312" w:cs="Times New Roman"/>
          <w:color w:val="auto"/>
          <w:sz w:val="32"/>
          <w:szCs w:val="32"/>
          <w:highlight w:val="none"/>
          <w:shd w:val="clear" w:color="auto" w:fill="FFFFFF"/>
        </w:rPr>
        <w:t>乡</w:t>
      </w:r>
      <w:r>
        <w:rPr>
          <w:rFonts w:eastAsia="仿宋_GB2312" w:cs="Times New Roman"/>
          <w:color w:val="auto"/>
          <w:sz w:val="32"/>
          <w:szCs w:val="32"/>
          <w:highlight w:val="none"/>
        </w:rPr>
        <w:t>域范围为东河乡行政辖区内全部国土空间范围，包括所辖的九阳村、兴安村、东方红村（含东方红农业良种场）、东升村</w:t>
      </w:r>
      <w:r>
        <w:rPr>
          <w:rFonts w:hint="eastAsia" w:eastAsia="仿宋_GB2312" w:cs="Times New Roman"/>
          <w:color w:val="auto"/>
          <w:sz w:val="32"/>
          <w:szCs w:val="32"/>
          <w:highlight w:val="none"/>
        </w:rPr>
        <w:t>（含</w:t>
      </w:r>
      <w:r>
        <w:rPr>
          <w:rFonts w:eastAsia="仿宋_GB2312" w:cs="Times New Roman"/>
          <w:color w:val="auto"/>
          <w:sz w:val="32"/>
          <w:szCs w:val="32"/>
          <w:highlight w:val="none"/>
        </w:rPr>
        <w:t>东方红马场</w:t>
      </w:r>
      <w:r>
        <w:rPr>
          <w:rFonts w:hint="eastAsia" w:eastAsia="仿宋_GB2312" w:cs="Times New Roman"/>
          <w:color w:val="auto"/>
          <w:sz w:val="32"/>
          <w:szCs w:val="32"/>
          <w:highlight w:val="none"/>
        </w:rPr>
        <w:t>）</w:t>
      </w:r>
      <w:r>
        <w:rPr>
          <w:rFonts w:eastAsia="仿宋_GB2312" w:cs="Times New Roman"/>
          <w:color w:val="auto"/>
          <w:sz w:val="32"/>
          <w:szCs w:val="32"/>
          <w:highlight w:val="none"/>
        </w:rPr>
        <w:t>、东宏村、东河村、兴国村。</w:t>
      </w:r>
    </w:p>
    <w:p w14:paraId="08FFE3CD">
      <w:pPr>
        <w:ind w:firstLine="640"/>
        <w:rPr>
          <w:rFonts w:eastAsia="仿宋_GB2312" w:cs="Times New Roman"/>
          <w:color w:val="auto"/>
          <w:sz w:val="32"/>
          <w:szCs w:val="32"/>
          <w:highlight w:val="none"/>
        </w:rPr>
      </w:pPr>
      <w:r>
        <w:rPr>
          <w:rFonts w:hint="eastAsia" w:eastAsia="仿宋_GB2312" w:cs="Times New Roman"/>
          <w:color w:val="auto"/>
          <w:sz w:val="32"/>
          <w:szCs w:val="32"/>
          <w:highlight w:val="none"/>
        </w:rPr>
        <w:t>东河乡乡政府驻地</w:t>
      </w:r>
      <w:r>
        <w:rPr>
          <w:rFonts w:eastAsia="仿宋_GB2312" w:cs="Times New Roman"/>
          <w:color w:val="auto"/>
          <w:sz w:val="32"/>
          <w:szCs w:val="32"/>
          <w:highlight w:val="none"/>
        </w:rPr>
        <w:t>以本轮《规划》划定</w:t>
      </w:r>
      <w:r>
        <w:rPr>
          <w:rFonts w:eastAsia="仿宋_GB2312" w:cs="Times New Roman"/>
          <w:color w:val="auto"/>
          <w:sz w:val="32"/>
          <w:szCs w:val="32"/>
          <w:highlight w:val="none"/>
          <w:shd w:val="clear" w:color="auto" w:fill="FFFFFF"/>
        </w:rPr>
        <w:t>九</w:t>
      </w:r>
      <w:r>
        <w:rPr>
          <w:rFonts w:eastAsia="仿宋_GB2312" w:cs="Times New Roman"/>
          <w:color w:val="auto"/>
          <w:sz w:val="32"/>
          <w:szCs w:val="32"/>
          <w:highlight w:val="none"/>
        </w:rPr>
        <w:t>阳村村庄建设边界结合城镇开发边界确定。</w:t>
      </w:r>
    </w:p>
    <w:p w14:paraId="4D49B842">
      <w:pPr>
        <w:pStyle w:val="4"/>
        <w:tabs>
          <w:tab w:val="clear" w:pos="0"/>
        </w:tabs>
        <w:spacing w:before="217" w:after="217"/>
        <w:rPr>
          <w:rFonts w:cs="Times New Roman"/>
          <w:color w:val="auto"/>
          <w:highlight w:val="none"/>
        </w:rPr>
      </w:pPr>
      <w:r>
        <w:rPr>
          <w:rFonts w:cs="Times New Roman"/>
          <w:color w:val="auto"/>
          <w:highlight w:val="none"/>
        </w:rPr>
        <w:t>规划期限</w:t>
      </w:r>
    </w:p>
    <w:p w14:paraId="31D13883">
      <w:pPr>
        <w:keepNext/>
        <w:keepLines/>
        <w:tabs>
          <w:tab w:val="left" w:pos="0"/>
        </w:tabs>
        <w:adjustRightInd w:val="0"/>
        <w:snapToGrid w:val="0"/>
        <w:ind w:firstLine="640"/>
        <w:rPr>
          <w:rFonts w:eastAsia="仿宋_GB2312" w:cs="Times New Roman"/>
          <w:color w:val="auto"/>
          <w:sz w:val="32"/>
          <w:szCs w:val="32"/>
          <w:highlight w:val="none"/>
        </w:rPr>
      </w:pPr>
      <w:r>
        <w:rPr>
          <w:rFonts w:eastAsia="仿宋_GB2312" w:cs="Times New Roman"/>
          <w:color w:val="auto"/>
          <w:sz w:val="32"/>
          <w:szCs w:val="32"/>
          <w:highlight w:val="none"/>
        </w:rPr>
        <w:t>本规划基期年为2020年，规划期限为2021年至2035年，近期至2025年，远景展望至2050年。</w:t>
      </w:r>
    </w:p>
    <w:p w14:paraId="629FAA47">
      <w:pPr>
        <w:pStyle w:val="4"/>
        <w:tabs>
          <w:tab w:val="clear" w:pos="0"/>
        </w:tabs>
        <w:spacing w:before="217" w:after="217"/>
        <w:rPr>
          <w:rFonts w:cs="Times New Roman"/>
          <w:color w:val="auto"/>
          <w:highlight w:val="none"/>
        </w:rPr>
      </w:pPr>
      <w:r>
        <w:rPr>
          <w:rFonts w:cs="Times New Roman"/>
          <w:color w:val="auto"/>
          <w:highlight w:val="none"/>
        </w:rPr>
        <w:t>规划</w:t>
      </w:r>
      <w:r>
        <w:rPr>
          <w:rFonts w:cs="Times New Roman"/>
          <w:color w:val="auto"/>
          <w:highlight w:val="none"/>
          <w:shd w:val="clear" w:color="auto" w:fill="FFFFFF"/>
        </w:rPr>
        <w:t>强</w:t>
      </w:r>
      <w:r>
        <w:rPr>
          <w:rFonts w:cs="Times New Roman"/>
          <w:color w:val="auto"/>
          <w:highlight w:val="none"/>
        </w:rPr>
        <w:t>条</w:t>
      </w:r>
    </w:p>
    <w:p w14:paraId="33F70938">
      <w:pPr>
        <w:pStyle w:val="25"/>
        <w:spacing w:before="87" w:line="600" w:lineRule="atLeast"/>
        <w:ind w:firstLine="640" w:firstLineChars="200"/>
        <w:jc w:val="both"/>
        <w:rPr>
          <w:rFonts w:ascii="Times New Roman" w:hAnsi="Times New Roman" w:eastAsia="仿宋_GB2312"/>
          <w:color w:val="auto"/>
          <w:sz w:val="32"/>
          <w:szCs w:val="28"/>
          <w:highlight w:val="none"/>
        </w:rPr>
      </w:pPr>
      <w:r>
        <w:rPr>
          <w:rFonts w:ascii="Times New Roman" w:hAnsi="Times New Roman" w:eastAsia="仿宋_GB2312"/>
          <w:bCs w:val="0"/>
          <w:color w:val="auto"/>
          <w:sz w:val="32"/>
          <w:szCs w:val="32"/>
          <w:highlight w:val="none"/>
        </w:rPr>
        <w:t>本规划文本条款</w:t>
      </w:r>
      <w:r>
        <w:rPr>
          <w:rFonts w:ascii="Times New Roman" w:hAnsi="Times New Roman" w:eastAsia="仿宋_GB2312"/>
          <w:bCs w:val="0"/>
          <w:color w:val="auto"/>
          <w:sz w:val="32"/>
          <w:szCs w:val="32"/>
          <w:highlight w:val="none"/>
          <w:u w:val="single"/>
        </w:rPr>
        <w:t>“加下划线”</w:t>
      </w:r>
      <w:r>
        <w:rPr>
          <w:rFonts w:ascii="Times New Roman" w:hAnsi="Times New Roman" w:eastAsia="仿宋_GB2312"/>
          <w:bCs w:val="0"/>
          <w:color w:val="auto"/>
          <w:sz w:val="32"/>
          <w:szCs w:val="32"/>
          <w:highlight w:val="none"/>
        </w:rPr>
        <w:t>为强制性内容。</w:t>
      </w:r>
      <w:r>
        <w:rPr>
          <w:rFonts w:ascii="Times New Roman" w:hAnsi="Times New Roman" w:eastAsia="仿宋_GB2312"/>
          <w:color w:val="auto"/>
          <w:sz w:val="32"/>
          <w:szCs w:val="28"/>
          <w:highlight w:val="none"/>
        </w:rPr>
        <w:t>强制性内容是对乡镇国土空间规划实施监督检查的基本依据，违反本规划强制性内容进行建设的，应依法进行查处。</w:t>
      </w:r>
    </w:p>
    <w:p w14:paraId="6DCF58A7">
      <w:pPr>
        <w:pStyle w:val="36"/>
        <w:ind w:firstLine="560"/>
        <w:rPr>
          <w:rFonts w:ascii="Times New Roman" w:hAnsi="Times New Roman" w:eastAsia="仿宋_GB2312" w:cs="Times New Roman"/>
          <w:color w:val="auto"/>
          <w:highlight w:val="none"/>
        </w:rPr>
      </w:pPr>
    </w:p>
    <w:p w14:paraId="74CECA75">
      <w:pPr>
        <w:ind w:firstLine="560"/>
        <w:rPr>
          <w:rFonts w:eastAsia="仿宋_GB2312" w:cs="Times New Roman"/>
          <w:color w:val="auto"/>
          <w:highlight w:val="none"/>
        </w:rPr>
      </w:pPr>
      <w:r>
        <w:rPr>
          <w:rFonts w:eastAsia="仿宋_GB2312" w:cs="Times New Roman"/>
          <w:color w:val="auto"/>
          <w:highlight w:val="none"/>
        </w:rPr>
        <w:br w:type="page"/>
      </w:r>
    </w:p>
    <w:p w14:paraId="7397E983">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pPr>
      <w:bookmarkStart w:id="19" w:name="_Toc758"/>
      <w:r>
        <w:rPr>
          <w:rFonts w:cs="Times New Roman"/>
          <w:bCs/>
          <w:color w:val="auto"/>
          <w:szCs w:val="36"/>
          <w:highlight w:val="none"/>
        </w:rPr>
        <w:t>发展目标与策略</w:t>
      </w:r>
      <w:bookmarkEnd w:id="19"/>
    </w:p>
    <w:p w14:paraId="32311F0F">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20" w:name="_Toc20004"/>
      <w:r>
        <w:rPr>
          <w:rFonts w:ascii="Times New Roman" w:hAnsi="Times New Roman" w:cs="Times New Roman"/>
          <w:color w:val="auto"/>
          <w:szCs w:val="32"/>
          <w:highlight w:val="none"/>
        </w:rPr>
        <w:t>规划定位</w:t>
      </w:r>
      <w:bookmarkEnd w:id="20"/>
    </w:p>
    <w:p w14:paraId="2B75739F">
      <w:pPr>
        <w:pStyle w:val="4"/>
        <w:tabs>
          <w:tab w:val="clear" w:pos="0"/>
        </w:tabs>
        <w:spacing w:before="217" w:after="217"/>
        <w:rPr>
          <w:rFonts w:cs="Times New Roman"/>
          <w:color w:val="auto"/>
          <w:highlight w:val="none"/>
        </w:rPr>
      </w:pPr>
      <w:bookmarkStart w:id="21" w:name="_Hlk175262848"/>
      <w:r>
        <w:rPr>
          <w:rFonts w:cs="Times New Roman"/>
          <w:color w:val="auto"/>
          <w:highlight w:val="none"/>
        </w:rPr>
        <w:t>城镇</w:t>
      </w:r>
      <w:bookmarkEnd w:id="21"/>
      <w:r>
        <w:rPr>
          <w:rFonts w:cs="Times New Roman"/>
          <w:color w:val="auto"/>
          <w:highlight w:val="none"/>
        </w:rPr>
        <w:t>性质</w:t>
      </w:r>
    </w:p>
    <w:p w14:paraId="7AE27200">
      <w:pPr>
        <w:spacing w:line="600" w:lineRule="atLeast"/>
        <w:ind w:firstLine="620"/>
        <w:rPr>
          <w:rFonts w:eastAsia="仿宋_GB2312" w:cs="Times New Roman"/>
          <w:color w:val="auto"/>
          <w:sz w:val="32"/>
          <w:szCs w:val="32"/>
          <w:highlight w:val="none"/>
        </w:rPr>
      </w:pPr>
      <w:r>
        <w:rPr>
          <w:rFonts w:eastAsia="仿宋_GB2312" w:cs="Times New Roman"/>
          <w:color w:val="auto"/>
          <w:kern w:val="0"/>
          <w:sz w:val="31"/>
          <w:szCs w:val="31"/>
          <w:highlight w:val="none"/>
        </w:rPr>
        <w:t>将东河乡打造为桦川县东部交通枢纽、乡村振兴示范</w:t>
      </w:r>
      <w:r>
        <w:rPr>
          <w:rFonts w:hint="eastAsia" w:eastAsia="仿宋_GB2312" w:cs="Times New Roman"/>
          <w:color w:val="auto"/>
          <w:kern w:val="0"/>
          <w:sz w:val="31"/>
          <w:szCs w:val="31"/>
          <w:highlight w:val="none"/>
          <w:lang w:val="en-US" w:eastAsia="zh-CN"/>
        </w:rPr>
        <w:t>乡</w:t>
      </w:r>
      <w:r>
        <w:rPr>
          <w:rFonts w:eastAsia="仿宋_GB2312" w:cs="Times New Roman"/>
          <w:color w:val="auto"/>
          <w:kern w:val="0"/>
          <w:sz w:val="31"/>
          <w:szCs w:val="31"/>
          <w:highlight w:val="none"/>
        </w:rPr>
        <w:t>、滨江旅游节点</w:t>
      </w:r>
      <w:r>
        <w:rPr>
          <w:rFonts w:hint="eastAsia" w:eastAsia="仿宋_GB2312" w:cs="Times New Roman"/>
          <w:color w:val="auto"/>
          <w:kern w:val="0"/>
          <w:sz w:val="31"/>
          <w:szCs w:val="31"/>
          <w:highlight w:val="none"/>
          <w:lang w:val="en-US" w:eastAsia="zh-CN"/>
        </w:rPr>
        <w:t>乡</w:t>
      </w:r>
      <w:r>
        <w:rPr>
          <w:rFonts w:eastAsia="仿宋_GB2312" w:cs="Times New Roman"/>
          <w:color w:val="auto"/>
          <w:kern w:val="0"/>
          <w:sz w:val="31"/>
          <w:szCs w:val="31"/>
          <w:highlight w:val="none"/>
        </w:rPr>
        <w:t>。</w:t>
      </w:r>
    </w:p>
    <w:p w14:paraId="44B6BE40">
      <w:pPr>
        <w:pStyle w:val="4"/>
        <w:tabs>
          <w:tab w:val="clear" w:pos="0"/>
        </w:tabs>
        <w:spacing w:before="217" w:after="217"/>
        <w:rPr>
          <w:rFonts w:cs="Times New Roman"/>
          <w:color w:val="auto"/>
          <w:highlight w:val="none"/>
        </w:rPr>
      </w:pPr>
      <w:r>
        <w:rPr>
          <w:rFonts w:cs="Times New Roman"/>
          <w:color w:val="auto"/>
          <w:highlight w:val="none"/>
        </w:rPr>
        <w:t>功能定位</w:t>
      </w:r>
    </w:p>
    <w:p w14:paraId="39B01C43">
      <w:pPr>
        <w:ind w:firstLine="640"/>
        <w:rPr>
          <w:rFonts w:cs="Times New Roman"/>
          <w:color w:val="auto"/>
          <w:highlight w:val="none"/>
        </w:rPr>
      </w:pPr>
      <w:r>
        <w:rPr>
          <w:rFonts w:eastAsia="仿宋_GB2312" w:cs="Times New Roman"/>
          <w:color w:val="auto"/>
          <w:sz w:val="32"/>
          <w:szCs w:val="32"/>
          <w:highlight w:val="none"/>
        </w:rPr>
        <w:t>东河乡</w:t>
      </w:r>
      <w:r>
        <w:rPr>
          <w:rFonts w:eastAsia="仿宋_GB2312" w:cs="Times New Roman"/>
          <w:color w:val="auto"/>
          <w:kern w:val="0"/>
          <w:sz w:val="31"/>
          <w:szCs w:val="31"/>
          <w:highlight w:val="none"/>
        </w:rPr>
        <w:t>以农业现代化、生态化发展为基础，着力发展</w:t>
      </w:r>
      <w:r>
        <w:rPr>
          <w:rFonts w:eastAsia="仿宋_GB2312" w:cs="Times New Roman"/>
          <w:color w:val="auto"/>
          <w:sz w:val="32"/>
          <w:szCs w:val="28"/>
          <w:highlight w:val="none"/>
        </w:rPr>
        <w:t>农贸</w:t>
      </w:r>
      <w:r>
        <w:rPr>
          <w:rFonts w:eastAsia="仿宋_GB2312" w:cs="Times New Roman"/>
          <w:color w:val="auto"/>
          <w:kern w:val="0"/>
          <w:sz w:val="31"/>
          <w:szCs w:val="31"/>
          <w:highlight w:val="none"/>
        </w:rPr>
        <w:t>，依托湿地资源探索新的经济增长点，</w:t>
      </w:r>
      <w:r>
        <w:rPr>
          <w:rFonts w:eastAsia="仿宋_GB2312" w:cs="Times New Roman"/>
          <w:color w:val="auto"/>
          <w:sz w:val="32"/>
          <w:szCs w:val="28"/>
          <w:highlight w:val="none"/>
        </w:rPr>
        <w:t>规划东河乡为桦川县内的一般乡镇，以农副产品生产加工、生态农业种植为主导的农贸</w:t>
      </w:r>
      <w:r>
        <w:rPr>
          <w:rFonts w:eastAsia="仿宋_GB2312" w:cs="Times New Roman"/>
          <w:color w:val="auto"/>
          <w:sz w:val="32"/>
          <w:szCs w:val="28"/>
          <w:highlight w:val="none"/>
          <w:shd w:val="clear" w:color="auto" w:fill="FFFFFF"/>
        </w:rPr>
        <w:t>型</w:t>
      </w:r>
      <w:r>
        <w:rPr>
          <w:rFonts w:eastAsia="仿宋_GB2312" w:cs="Times New Roman"/>
          <w:color w:val="auto"/>
          <w:sz w:val="32"/>
          <w:szCs w:val="28"/>
          <w:highlight w:val="none"/>
        </w:rPr>
        <w:t>乡镇。</w:t>
      </w:r>
    </w:p>
    <w:p w14:paraId="6B34D77A">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22" w:name="_Toc22903"/>
      <w:r>
        <w:rPr>
          <w:rFonts w:ascii="Times New Roman" w:hAnsi="Times New Roman" w:cs="Times New Roman"/>
          <w:color w:val="auto"/>
          <w:szCs w:val="32"/>
          <w:highlight w:val="none"/>
        </w:rPr>
        <w:t>发展目标</w:t>
      </w:r>
      <w:bookmarkEnd w:id="22"/>
    </w:p>
    <w:p w14:paraId="08E1DEA6">
      <w:pPr>
        <w:pStyle w:val="4"/>
        <w:tabs>
          <w:tab w:val="clear" w:pos="0"/>
        </w:tabs>
        <w:spacing w:before="217" w:after="217"/>
        <w:rPr>
          <w:rFonts w:cs="Times New Roman"/>
          <w:color w:val="auto"/>
          <w:highlight w:val="none"/>
        </w:rPr>
      </w:pPr>
      <w:r>
        <w:rPr>
          <w:rFonts w:cs="Times New Roman"/>
          <w:color w:val="auto"/>
          <w:highlight w:val="none"/>
        </w:rPr>
        <w:t>规划目标</w:t>
      </w:r>
    </w:p>
    <w:p w14:paraId="76F77546">
      <w:pPr>
        <w:ind w:firstLine="640"/>
        <w:rPr>
          <w:rFonts w:eastAsia="仿宋_GB2312" w:cs="Times New Roman"/>
          <w:color w:val="auto"/>
          <w:sz w:val="32"/>
          <w:szCs w:val="32"/>
          <w:highlight w:val="none"/>
        </w:rPr>
      </w:pPr>
      <w:bookmarkStart w:id="23" w:name="_Toc2978"/>
      <w:r>
        <w:rPr>
          <w:rFonts w:eastAsia="仿宋_GB2312" w:cs="Times New Roman"/>
          <w:color w:val="auto"/>
          <w:sz w:val="32"/>
          <w:szCs w:val="32"/>
          <w:highlight w:val="none"/>
        </w:rPr>
        <w:t>与</w:t>
      </w:r>
      <w:r>
        <w:rPr>
          <w:rFonts w:hint="eastAsia" w:eastAsia="仿宋_GB2312" w:cs="Times New Roman"/>
          <w:color w:val="auto"/>
          <w:sz w:val="32"/>
          <w:szCs w:val="32"/>
          <w:highlight w:val="none"/>
        </w:rPr>
        <w:t>社会主义现代化建设</w:t>
      </w:r>
      <w:r>
        <w:rPr>
          <w:rFonts w:eastAsia="仿宋_GB2312" w:cs="Times New Roman"/>
          <w:color w:val="auto"/>
          <w:sz w:val="32"/>
          <w:szCs w:val="32"/>
          <w:highlight w:val="none"/>
        </w:rPr>
        <w:t>国家新征程的新时代、新阶段相适应，锚定“两个一百年”奋斗目标，乘势而上开启高水平现代化建设新征程，落实省、市、县战略要求，依托良好的区位、交通、产业优势，将东河乡建设成为桦川县域</w:t>
      </w:r>
      <w:r>
        <w:rPr>
          <w:rFonts w:eastAsia="仿宋_GB2312" w:cs="Times New Roman"/>
          <w:color w:val="auto"/>
          <w:kern w:val="0"/>
          <w:sz w:val="31"/>
          <w:szCs w:val="31"/>
          <w:highlight w:val="none"/>
        </w:rPr>
        <w:t>东部交通枢纽、乡村振兴示范</w:t>
      </w:r>
      <w:r>
        <w:rPr>
          <w:rFonts w:hint="eastAsia" w:eastAsia="仿宋_GB2312" w:cs="Times New Roman"/>
          <w:color w:val="auto"/>
          <w:kern w:val="0"/>
          <w:sz w:val="31"/>
          <w:szCs w:val="31"/>
          <w:highlight w:val="none"/>
          <w:lang w:val="en-US" w:eastAsia="zh-CN"/>
        </w:rPr>
        <w:t>乡</w:t>
      </w:r>
      <w:r>
        <w:rPr>
          <w:rFonts w:eastAsia="仿宋_GB2312" w:cs="Times New Roman"/>
          <w:color w:val="auto"/>
          <w:kern w:val="0"/>
          <w:sz w:val="31"/>
          <w:szCs w:val="31"/>
          <w:highlight w:val="none"/>
        </w:rPr>
        <w:t>、滨江旅游节点</w:t>
      </w:r>
      <w:r>
        <w:rPr>
          <w:rFonts w:hint="eastAsia" w:eastAsia="仿宋_GB2312" w:cs="Times New Roman"/>
          <w:color w:val="auto"/>
          <w:kern w:val="0"/>
          <w:sz w:val="31"/>
          <w:szCs w:val="31"/>
          <w:highlight w:val="none"/>
          <w:lang w:val="en-US" w:eastAsia="zh-CN"/>
        </w:rPr>
        <w:t>乡</w:t>
      </w:r>
      <w:r>
        <w:rPr>
          <w:rFonts w:eastAsia="仿宋_GB2312" w:cs="Times New Roman"/>
          <w:color w:val="auto"/>
          <w:sz w:val="32"/>
          <w:szCs w:val="32"/>
          <w:highlight w:val="none"/>
        </w:rPr>
        <w:t>。</w:t>
      </w:r>
    </w:p>
    <w:bookmarkEnd w:id="23"/>
    <w:p w14:paraId="35A4A9F7">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24" w:name="_Toc29526"/>
      <w:r>
        <w:rPr>
          <w:rFonts w:ascii="Times New Roman" w:hAnsi="Times New Roman" w:cs="Times New Roman"/>
          <w:color w:val="auto"/>
          <w:szCs w:val="32"/>
          <w:highlight w:val="none"/>
        </w:rPr>
        <w:t>空间策略</w:t>
      </w:r>
      <w:bookmarkEnd w:id="24"/>
    </w:p>
    <w:p w14:paraId="286FFFA2">
      <w:pPr>
        <w:pStyle w:val="4"/>
        <w:tabs>
          <w:tab w:val="clear" w:pos="0"/>
        </w:tabs>
        <w:spacing w:before="217" w:after="217"/>
        <w:rPr>
          <w:rFonts w:cs="Times New Roman"/>
          <w:color w:val="auto"/>
          <w:highlight w:val="none"/>
        </w:rPr>
      </w:pPr>
      <w:r>
        <w:rPr>
          <w:rFonts w:cs="Times New Roman"/>
          <w:color w:val="auto"/>
          <w:highlight w:val="none"/>
        </w:rPr>
        <w:t>国土空间开发保护策略</w:t>
      </w:r>
    </w:p>
    <w:p w14:paraId="773FFDA1">
      <w:pPr>
        <w:keepNext/>
        <w:keepLines/>
        <w:tabs>
          <w:tab w:val="left" w:pos="6669"/>
        </w:tabs>
        <w:adjustRightInd w:val="0"/>
        <w:snapToGrid w:val="0"/>
        <w:ind w:left="560" w:leftChars="200" w:firstLine="0" w:firstLineChars="0"/>
        <w:rPr>
          <w:rFonts w:cs="Times New Roman"/>
          <w:color w:val="auto"/>
          <w:highlight w:val="none"/>
        </w:rPr>
      </w:pPr>
      <w:r>
        <w:rPr>
          <w:rFonts w:eastAsia="仿宋_GB2312" w:cs="Times New Roman"/>
          <w:color w:val="auto"/>
          <w:sz w:val="32"/>
          <w:szCs w:val="32"/>
          <w:highlight w:val="none"/>
        </w:rPr>
        <w:t>（一）生态优先，绿色发展</w:t>
      </w:r>
    </w:p>
    <w:p w14:paraId="59C0CBC7">
      <w:pPr>
        <w:ind w:firstLine="640"/>
        <w:rPr>
          <w:rFonts w:eastAsia="仿宋_GB2312" w:cs="Times New Roman"/>
          <w:color w:val="auto"/>
          <w:sz w:val="32"/>
          <w:szCs w:val="28"/>
          <w:highlight w:val="none"/>
        </w:rPr>
      </w:pPr>
      <w:r>
        <w:rPr>
          <w:rStyle w:val="99"/>
          <w:rFonts w:ascii="Times New Roman" w:hAnsi="Times New Roman" w:eastAsia="仿宋_GB2312" w:cs="Times New Roman"/>
          <w:color w:val="auto"/>
          <w:sz w:val="32"/>
          <w:szCs w:val="28"/>
          <w:highlight w:val="none"/>
        </w:rPr>
        <w:t>保护生态本底，优化生态格局。</w:t>
      </w:r>
      <w:r>
        <w:rPr>
          <w:rFonts w:eastAsia="仿宋_GB2312" w:cs="Times New Roman"/>
          <w:color w:val="auto"/>
          <w:sz w:val="32"/>
          <w:szCs w:val="28"/>
          <w:highlight w:val="none"/>
        </w:rPr>
        <w:t>严格保护黑龙江佳木斯桦川省级自然保护区等生态重点地区，维护良好生态本底，依托松花江、G102等重大基础设施廊道等建设具有区域意义的生态廊道，构建适合平原地区的多样化城乡生态景观系统。</w:t>
      </w:r>
    </w:p>
    <w:p w14:paraId="12383164">
      <w:pPr>
        <w:keepNext/>
        <w:keepLines/>
        <w:tabs>
          <w:tab w:val="left" w:pos="6669"/>
        </w:tabs>
        <w:adjustRightInd w:val="0"/>
        <w:snapToGrid w:val="0"/>
        <w:ind w:left="560" w:leftChars="200" w:firstLine="0" w:firstLineChars="0"/>
        <w:rPr>
          <w:rFonts w:eastAsia="仿宋_GB2312" w:cs="Times New Roman"/>
          <w:color w:val="auto"/>
          <w:sz w:val="32"/>
          <w:szCs w:val="32"/>
          <w:highlight w:val="none"/>
        </w:rPr>
      </w:pPr>
      <w:r>
        <w:rPr>
          <w:rFonts w:eastAsia="仿宋_GB2312" w:cs="Times New Roman"/>
          <w:color w:val="auto"/>
          <w:sz w:val="32"/>
          <w:szCs w:val="32"/>
          <w:highlight w:val="none"/>
        </w:rPr>
        <w:t>（二）新型城镇，多元发展</w:t>
      </w:r>
    </w:p>
    <w:p w14:paraId="5E5EF383">
      <w:pPr>
        <w:ind w:firstLine="640"/>
        <w:rPr>
          <w:rFonts w:eastAsia="仿宋_GB2312" w:cs="Times New Roman"/>
          <w:color w:val="auto"/>
          <w:sz w:val="32"/>
          <w:szCs w:val="28"/>
          <w:highlight w:val="none"/>
        </w:rPr>
      </w:pPr>
      <w:r>
        <w:rPr>
          <w:rStyle w:val="99"/>
          <w:rFonts w:ascii="Times New Roman" w:hAnsi="Times New Roman" w:eastAsia="仿宋_GB2312" w:cs="Times New Roman"/>
          <w:color w:val="auto"/>
          <w:sz w:val="32"/>
          <w:highlight w:val="none"/>
        </w:rPr>
        <w:t>重点发展</w:t>
      </w:r>
      <w:r>
        <w:rPr>
          <w:rStyle w:val="99"/>
          <w:rFonts w:hint="eastAsia" w:ascii="Times New Roman" w:hAnsi="Times New Roman" w:eastAsia="仿宋_GB2312" w:cs="Times New Roman"/>
          <w:color w:val="auto"/>
          <w:sz w:val="32"/>
          <w:highlight w:val="none"/>
        </w:rPr>
        <w:t>东河乡乡政府驻地</w:t>
      </w:r>
      <w:r>
        <w:rPr>
          <w:rStyle w:val="99"/>
          <w:rFonts w:ascii="Times New Roman" w:hAnsi="Times New Roman" w:eastAsia="仿宋_GB2312" w:cs="Times New Roman"/>
          <w:color w:val="auto"/>
          <w:sz w:val="32"/>
          <w:highlight w:val="none"/>
        </w:rPr>
        <w:t>，</w:t>
      </w:r>
      <w:r>
        <w:rPr>
          <w:rFonts w:eastAsia="仿宋_GB2312" w:cs="Times New Roman"/>
          <w:color w:val="auto"/>
          <w:sz w:val="32"/>
          <w:szCs w:val="28"/>
          <w:highlight w:val="none"/>
        </w:rPr>
        <w:t>将政府驻地作为推动东</w:t>
      </w:r>
      <w:r>
        <w:rPr>
          <w:rFonts w:eastAsia="仿宋_GB2312" w:cs="Times New Roman"/>
          <w:color w:val="auto"/>
          <w:sz w:val="32"/>
          <w:szCs w:val="28"/>
          <w:highlight w:val="none"/>
          <w:shd w:val="clear" w:color="auto" w:fill="FFFFFF"/>
        </w:rPr>
        <w:t>河乡新型城镇化</w:t>
      </w:r>
      <w:r>
        <w:rPr>
          <w:rFonts w:eastAsia="仿宋_GB2312" w:cs="Times New Roman"/>
          <w:color w:val="auto"/>
          <w:sz w:val="32"/>
          <w:szCs w:val="28"/>
          <w:highlight w:val="none"/>
        </w:rPr>
        <w:t>发展的重点，优化空间结构、完善设施配置，建设宜居宜业宜游的</w:t>
      </w:r>
      <w:r>
        <w:rPr>
          <w:rFonts w:hint="eastAsia" w:eastAsia="仿宋_GB2312" w:cs="Times New Roman"/>
          <w:color w:val="auto"/>
          <w:sz w:val="32"/>
          <w:szCs w:val="28"/>
          <w:highlight w:val="none"/>
          <w:lang w:val="en-US" w:eastAsia="zh-CN"/>
        </w:rPr>
        <w:t>乡</w:t>
      </w:r>
      <w:r>
        <w:rPr>
          <w:rFonts w:eastAsia="仿宋_GB2312" w:cs="Times New Roman"/>
          <w:color w:val="auto"/>
          <w:sz w:val="32"/>
          <w:szCs w:val="28"/>
          <w:highlight w:val="none"/>
        </w:rPr>
        <w:t>镇。</w:t>
      </w:r>
      <w:r>
        <w:rPr>
          <w:rStyle w:val="99"/>
          <w:rFonts w:ascii="Times New Roman" w:hAnsi="Times New Roman" w:eastAsia="仿宋_GB2312" w:cs="Times New Roman"/>
          <w:color w:val="auto"/>
          <w:sz w:val="32"/>
          <w:szCs w:val="28"/>
          <w:highlight w:val="none"/>
        </w:rPr>
        <w:t>城乡统筹发展，</w:t>
      </w:r>
      <w:r>
        <w:rPr>
          <w:rFonts w:eastAsia="仿宋_GB2312" w:cs="Times New Roman"/>
          <w:color w:val="auto"/>
          <w:sz w:val="32"/>
          <w:szCs w:val="28"/>
          <w:highlight w:val="none"/>
        </w:rPr>
        <w:t>加强乡</w:t>
      </w:r>
      <w:r>
        <w:rPr>
          <w:rFonts w:eastAsia="仿宋_GB2312" w:cs="Times New Roman"/>
          <w:color w:val="auto"/>
          <w:sz w:val="32"/>
          <w:szCs w:val="28"/>
          <w:highlight w:val="none"/>
          <w:shd w:val="clear" w:color="auto" w:fill="FFFFFF"/>
        </w:rPr>
        <w:t>域</w:t>
      </w:r>
      <w:r>
        <w:rPr>
          <w:rFonts w:eastAsia="仿宋_GB2312" w:cs="Times New Roman"/>
          <w:color w:val="auto"/>
          <w:sz w:val="32"/>
          <w:szCs w:val="28"/>
          <w:highlight w:val="none"/>
        </w:rPr>
        <w:t>基础设施建设，提升公共服务能力，增强产业的集聚动能，促进城乡经济、社会、生态的协调发展。</w:t>
      </w:r>
    </w:p>
    <w:p w14:paraId="5D596764">
      <w:pPr>
        <w:keepNext/>
        <w:keepLines/>
        <w:tabs>
          <w:tab w:val="left" w:pos="6669"/>
        </w:tabs>
        <w:adjustRightInd w:val="0"/>
        <w:snapToGrid w:val="0"/>
        <w:ind w:left="560" w:leftChars="200" w:firstLine="0" w:firstLineChars="0"/>
        <w:rPr>
          <w:rFonts w:eastAsia="仿宋_GB2312" w:cs="Times New Roman"/>
          <w:color w:val="auto"/>
          <w:sz w:val="32"/>
          <w:szCs w:val="32"/>
          <w:highlight w:val="none"/>
        </w:rPr>
      </w:pPr>
      <w:r>
        <w:rPr>
          <w:rFonts w:eastAsia="仿宋_GB2312" w:cs="Times New Roman"/>
          <w:color w:val="auto"/>
          <w:sz w:val="32"/>
          <w:szCs w:val="32"/>
          <w:highlight w:val="none"/>
        </w:rPr>
        <w:t>（三）适当集聚，品质发展</w:t>
      </w:r>
    </w:p>
    <w:p w14:paraId="75B4CA61">
      <w:pPr>
        <w:pStyle w:val="55"/>
        <w:spacing w:line="600" w:lineRule="exact"/>
        <w:ind w:firstLine="640"/>
        <w:rPr>
          <w:color w:val="auto"/>
          <w:szCs w:val="28"/>
          <w:highlight w:val="none"/>
        </w:rPr>
      </w:pPr>
      <w:r>
        <w:rPr>
          <w:color w:val="auto"/>
          <w:szCs w:val="28"/>
          <w:highlight w:val="none"/>
        </w:rPr>
        <w:t>遵循人口收缩的客观规律，按照内涵提升、集约高效的发展要求，建立层次分明、主次有序、分工明确的镇村体系。做大做强乡政府驻地和中心村，积极引导乡村人口集聚，形成人、地、资源、产业集聚发展的态势。提升人居环境，提高村民生活品质，健全治理体系，实现物质富裕、精神富有、和谐乡村的统一。</w:t>
      </w:r>
    </w:p>
    <w:p w14:paraId="36466E04">
      <w:pPr>
        <w:ind w:firstLine="560"/>
        <w:rPr>
          <w:rFonts w:eastAsia="仿宋_GB2312" w:cs="Times New Roman"/>
          <w:color w:val="auto"/>
          <w:highlight w:val="none"/>
        </w:rPr>
      </w:pPr>
      <w:r>
        <w:rPr>
          <w:rFonts w:eastAsia="仿宋_GB2312" w:cs="Times New Roman"/>
          <w:color w:val="auto"/>
          <w:highlight w:val="none"/>
        </w:rPr>
        <w:br w:type="page"/>
      </w:r>
    </w:p>
    <w:p w14:paraId="02176A1A">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pPr>
      <w:bookmarkStart w:id="25" w:name="_Toc10980"/>
      <w:r>
        <w:rPr>
          <w:rFonts w:cs="Times New Roman"/>
          <w:bCs/>
          <w:color w:val="auto"/>
          <w:szCs w:val="36"/>
          <w:highlight w:val="none"/>
        </w:rPr>
        <w:t>构筑国土空间开发与保护新格局</w:t>
      </w:r>
      <w:bookmarkEnd w:id="25"/>
    </w:p>
    <w:p w14:paraId="416C75A4">
      <w:pPr>
        <w:pStyle w:val="3"/>
        <w:numPr>
          <w:ilvl w:val="0"/>
          <w:numId w:val="14"/>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26" w:name="_Toc2724"/>
      <w:r>
        <w:rPr>
          <w:rFonts w:ascii="Times New Roman" w:hAnsi="Times New Roman" w:cs="Times New Roman"/>
          <w:color w:val="auto"/>
          <w:szCs w:val="32"/>
          <w:highlight w:val="none"/>
        </w:rPr>
        <w:t>区域协调</w:t>
      </w:r>
      <w:bookmarkEnd w:id="26"/>
    </w:p>
    <w:p w14:paraId="14E3AFF9">
      <w:pPr>
        <w:pStyle w:val="4"/>
        <w:tabs>
          <w:tab w:val="clear" w:pos="0"/>
        </w:tabs>
        <w:spacing w:before="217" w:after="217"/>
        <w:rPr>
          <w:rFonts w:cs="Times New Roman"/>
          <w:color w:val="auto"/>
          <w:highlight w:val="none"/>
        </w:rPr>
      </w:pPr>
      <w:r>
        <w:rPr>
          <w:rFonts w:cs="Times New Roman"/>
          <w:color w:val="auto"/>
          <w:highlight w:val="none"/>
        </w:rPr>
        <w:t>区域协同，协调发展</w:t>
      </w:r>
    </w:p>
    <w:p w14:paraId="0BDB0A3A">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促进区域产业三产联动、融合发展、旅游合作。积极执行桦川县经济发展战略，挖掘东河乡农业和畜牧业增长潜力，与周边乡镇协同发展。</w:t>
      </w:r>
      <w:r>
        <w:rPr>
          <w:rFonts w:ascii="Times New Roman" w:hAnsi="Times New Roman" w:eastAsia="仿宋_GB2312" w:cs="Times New Roman"/>
          <w:color w:val="auto"/>
          <w:sz w:val="32"/>
          <w:szCs w:val="32"/>
          <w:highlight w:val="none"/>
        </w:rPr>
        <w:t>协同发展滨江旅游带，东起星火朝鲜族乡，经中心城区悦来镇、江川农场、瓦里霍</w:t>
      </w:r>
      <w:r>
        <w:rPr>
          <w:rFonts w:ascii="Times New Roman" w:hAnsi="Times New Roman" w:eastAsia="仿宋_GB2312" w:cs="Times New Roman"/>
          <w:color w:val="auto"/>
          <w:sz w:val="32"/>
          <w:szCs w:val="32"/>
          <w:highlight w:val="none"/>
          <w:shd w:val="clear" w:color="auto" w:fill="FFFFFF"/>
        </w:rPr>
        <w:t>吞</w:t>
      </w:r>
      <w:r>
        <w:rPr>
          <w:rFonts w:ascii="Times New Roman" w:hAnsi="Times New Roman" w:eastAsia="仿宋_GB2312" w:cs="Times New Roman"/>
          <w:color w:val="auto"/>
          <w:sz w:val="32"/>
          <w:szCs w:val="32"/>
          <w:highlight w:val="none"/>
        </w:rPr>
        <w:t>古城遗址</w:t>
      </w:r>
      <w:r>
        <w:rPr>
          <w:rFonts w:ascii="Times New Roman" w:hAnsi="Times New Roman" w:eastAsia="仿宋_GB2312" w:cs="Times New Roman"/>
          <w:color w:val="auto"/>
          <w:sz w:val="32"/>
          <w:szCs w:val="32"/>
          <w:highlight w:val="none"/>
          <w:shd w:val="clear" w:color="auto" w:fill="FFFFFF"/>
        </w:rPr>
        <w:t>至</w:t>
      </w:r>
      <w:r>
        <w:rPr>
          <w:rFonts w:ascii="Times New Roman" w:hAnsi="Times New Roman" w:eastAsia="仿宋_GB2312" w:cs="Times New Roman"/>
          <w:color w:val="auto"/>
          <w:sz w:val="32"/>
          <w:szCs w:val="32"/>
          <w:highlight w:val="none"/>
        </w:rPr>
        <w:t>车轱辘</w:t>
      </w:r>
      <w:r>
        <w:rPr>
          <w:rFonts w:ascii="Times New Roman" w:hAnsi="Times New Roman" w:eastAsia="仿宋_GB2312" w:cs="Times New Roman"/>
          <w:color w:val="auto"/>
          <w:sz w:val="32"/>
          <w:szCs w:val="32"/>
          <w:highlight w:val="none"/>
          <w:shd w:val="clear" w:color="auto" w:fill="FFFFFF"/>
        </w:rPr>
        <w:t>泡</w:t>
      </w:r>
      <w:r>
        <w:rPr>
          <w:rFonts w:ascii="Times New Roman" w:hAnsi="Times New Roman" w:eastAsia="仿宋_GB2312" w:cs="Times New Roman"/>
          <w:color w:val="auto"/>
          <w:sz w:val="32"/>
          <w:szCs w:val="32"/>
          <w:highlight w:val="none"/>
        </w:rPr>
        <w:t>湿地自然保护区，西至东河乡东升村，与县域内的主要旅游景点联系在一起。</w:t>
      </w:r>
    </w:p>
    <w:p w14:paraId="7F1CF67B">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highlight w:val="none"/>
        </w:rPr>
        <w:t>落实上位规划区域交通网络总体布局，从区域整体的互联互通出发，构建便捷的交通网络系统。推进谋划</w:t>
      </w:r>
      <w:r>
        <w:rPr>
          <w:rFonts w:ascii="Times New Roman" w:hAnsi="Times New Roman" w:eastAsia="仿宋_GB2312" w:cs="Times New Roman"/>
          <w:color w:val="auto"/>
          <w:sz w:val="32"/>
          <w:szCs w:val="28"/>
          <w:highlight w:val="none"/>
        </w:rPr>
        <w:t>省道S202（规划）建设，向南联系集贤县，向北联系绥滨县。完善全域内道路网和修缮破损严重的公路。</w:t>
      </w:r>
    </w:p>
    <w:p w14:paraId="51C8FB91">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落实桦川县“一心、一廊、三带”的生态安全格局要求，筑牢</w:t>
      </w:r>
      <w:r>
        <w:rPr>
          <w:rFonts w:ascii="Times New Roman" w:hAnsi="Times New Roman" w:eastAsia="仿宋_GB2312" w:cs="Times New Roman"/>
          <w:bCs/>
          <w:color w:val="auto"/>
          <w:sz w:val="32"/>
          <w:szCs w:val="32"/>
          <w:highlight w:val="none"/>
        </w:rPr>
        <w:t>北部松花江湿地保护区</w:t>
      </w:r>
      <w:r>
        <w:rPr>
          <w:rFonts w:ascii="Times New Roman" w:hAnsi="Times New Roman" w:eastAsia="仿宋_GB2312" w:cs="Times New Roman"/>
          <w:color w:val="auto"/>
          <w:sz w:val="32"/>
          <w:szCs w:val="32"/>
          <w:highlight w:val="none"/>
        </w:rPr>
        <w:t>，建立长期的</w:t>
      </w:r>
      <w:r>
        <w:rPr>
          <w:rFonts w:hint="eastAsia" w:ascii="Times New Roman" w:hAnsi="Times New Roman" w:eastAsia="仿宋_GB2312" w:cs="Times New Roman"/>
          <w:color w:val="auto"/>
          <w:sz w:val="32"/>
          <w:szCs w:val="32"/>
          <w:highlight w:val="none"/>
          <w:shd w:val="clear" w:color="auto" w:fill="FFFFFF"/>
        </w:rPr>
        <w:t>生态环境分区管控</w:t>
      </w:r>
      <w:r>
        <w:rPr>
          <w:rFonts w:ascii="Times New Roman" w:hAnsi="Times New Roman" w:eastAsia="仿宋_GB2312" w:cs="Times New Roman"/>
          <w:color w:val="auto"/>
          <w:sz w:val="32"/>
          <w:szCs w:val="32"/>
          <w:highlight w:val="none"/>
        </w:rPr>
        <w:t>机制，开展污染预警和环境联动执法，有步骤地推进各项生态修复和环境治理任务落实。</w:t>
      </w:r>
    </w:p>
    <w:p w14:paraId="687309F6">
      <w:pPr>
        <w:pStyle w:val="14"/>
        <w:ind w:firstLine="640"/>
        <w:rPr>
          <w:rFonts w:ascii="Times New Roman" w:hAnsi="Times New Roman" w:eastAsia="仿宋_GB2312"/>
          <w:color w:val="auto"/>
          <w:sz w:val="32"/>
          <w:highlight w:val="none"/>
        </w:rPr>
      </w:pPr>
      <w:r>
        <w:rPr>
          <w:rFonts w:ascii="Times New Roman" w:hAnsi="Times New Roman" w:eastAsia="仿宋_GB2312"/>
          <w:color w:val="auto"/>
          <w:sz w:val="32"/>
          <w:highlight w:val="none"/>
        </w:rPr>
        <w:t>实现区域设施共建共享，完善水</w:t>
      </w:r>
      <w:r>
        <w:rPr>
          <w:rFonts w:ascii="Times New Roman" w:hAnsi="Times New Roman" w:eastAsia="仿宋_GB2312"/>
          <w:color w:val="auto"/>
          <w:sz w:val="32"/>
          <w:szCs w:val="32"/>
          <w:highlight w:val="none"/>
        </w:rPr>
        <w:t>利</w:t>
      </w:r>
      <w:r>
        <w:rPr>
          <w:rFonts w:ascii="Times New Roman" w:hAnsi="Times New Roman" w:eastAsia="仿宋_GB2312"/>
          <w:color w:val="auto"/>
          <w:sz w:val="32"/>
          <w:highlight w:val="none"/>
        </w:rPr>
        <w:t>、</w:t>
      </w:r>
      <w:r>
        <w:rPr>
          <w:rFonts w:hint="eastAsia" w:ascii="Times New Roman" w:hAnsi="Times New Roman" w:eastAsia="仿宋_GB2312"/>
          <w:color w:val="auto"/>
          <w:sz w:val="32"/>
          <w:highlight w:val="none"/>
          <w:lang w:eastAsia="zh-CN"/>
        </w:rPr>
        <w:t>电</w:t>
      </w:r>
      <w:r>
        <w:rPr>
          <w:rFonts w:ascii="Times New Roman" w:hAnsi="Times New Roman" w:eastAsia="仿宋_GB2312"/>
          <w:color w:val="auto"/>
          <w:sz w:val="32"/>
          <w:szCs w:val="32"/>
          <w:highlight w:val="none"/>
        </w:rPr>
        <w:t>力</w:t>
      </w:r>
      <w:r>
        <w:rPr>
          <w:rFonts w:ascii="Times New Roman" w:hAnsi="Times New Roman" w:eastAsia="仿宋_GB2312"/>
          <w:color w:val="auto"/>
          <w:sz w:val="32"/>
          <w:highlight w:val="none"/>
        </w:rPr>
        <w:t>等基础设施管网系统，避免重复建设。</w:t>
      </w:r>
    </w:p>
    <w:p w14:paraId="45601674">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27" w:name="_Toc22104"/>
      <w:r>
        <w:rPr>
          <w:rFonts w:ascii="Times New Roman" w:hAnsi="Times New Roman" w:cs="Times New Roman"/>
          <w:color w:val="auto"/>
          <w:szCs w:val="32"/>
          <w:highlight w:val="none"/>
        </w:rPr>
        <w:t>落实主体功能区战略</w:t>
      </w:r>
      <w:bookmarkEnd w:id="27"/>
    </w:p>
    <w:p w14:paraId="312C028A">
      <w:pPr>
        <w:pStyle w:val="4"/>
        <w:tabs>
          <w:tab w:val="clear" w:pos="0"/>
        </w:tabs>
        <w:spacing w:before="217" w:after="217"/>
        <w:rPr>
          <w:rFonts w:cs="Times New Roman"/>
          <w:color w:val="auto"/>
          <w:highlight w:val="none"/>
        </w:rPr>
      </w:pPr>
      <w:r>
        <w:rPr>
          <w:rFonts w:cs="Times New Roman"/>
          <w:color w:val="auto"/>
          <w:highlight w:val="none"/>
        </w:rPr>
        <w:t>落实省、市、县主体功能区定位</w:t>
      </w:r>
    </w:p>
    <w:p w14:paraId="533873D0">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明确东河</w:t>
      </w:r>
      <w:r>
        <w:rPr>
          <w:rFonts w:ascii="Times New Roman" w:hAnsi="Times New Roman" w:eastAsia="仿宋_GB2312" w:cs="Times New Roman"/>
          <w:color w:val="auto"/>
          <w:sz w:val="32"/>
          <w:szCs w:val="28"/>
          <w:highlight w:val="none"/>
          <w:shd w:val="clear" w:color="auto" w:fill="FFFFFF"/>
        </w:rPr>
        <w:t>乡主体功能</w:t>
      </w:r>
      <w:r>
        <w:rPr>
          <w:rFonts w:ascii="Times New Roman" w:hAnsi="Times New Roman" w:eastAsia="仿宋_GB2312" w:cs="Times New Roman"/>
          <w:color w:val="auto"/>
          <w:sz w:val="32"/>
          <w:szCs w:val="28"/>
          <w:highlight w:val="none"/>
        </w:rPr>
        <w:t>定位，落实黑龙江省、佳木斯市、桦川县主体功能区战略要求，</w:t>
      </w:r>
      <w:r>
        <w:rPr>
          <w:rFonts w:ascii="Times New Roman" w:hAnsi="Times New Roman" w:eastAsia="仿宋_GB2312" w:cs="Times New Roman"/>
          <w:color w:val="auto"/>
          <w:sz w:val="32"/>
          <w:szCs w:val="28"/>
          <w:highlight w:val="none"/>
          <w:u w:val="none"/>
        </w:rPr>
        <w:t>确定东河乡为农产品主产区，</w:t>
      </w:r>
      <w:r>
        <w:rPr>
          <w:rFonts w:ascii="Times New Roman" w:hAnsi="Times New Roman" w:eastAsia="仿宋_GB2312" w:cs="Times New Roman"/>
          <w:color w:val="auto"/>
          <w:sz w:val="32"/>
          <w:szCs w:val="28"/>
          <w:highlight w:val="none"/>
        </w:rPr>
        <w:t>严格保护农产品主产区的耕地、永久基本农田和生态空间。鼓励开展土地复垦整治，对于城</w:t>
      </w:r>
      <w:r>
        <w:rPr>
          <w:rFonts w:hint="eastAsia" w:ascii="Times New Roman" w:hAnsi="Times New Roman" w:eastAsia="仿宋_GB2312" w:cs="Times New Roman"/>
          <w:color w:val="auto"/>
          <w:sz w:val="32"/>
          <w:szCs w:val="28"/>
          <w:highlight w:val="none"/>
          <w:lang w:val="en-US" w:eastAsia="zh-CN"/>
        </w:rPr>
        <w:t>乡</w:t>
      </w:r>
      <w:r>
        <w:rPr>
          <w:rFonts w:ascii="Times New Roman" w:hAnsi="Times New Roman" w:eastAsia="仿宋_GB2312" w:cs="Times New Roman"/>
          <w:color w:val="auto"/>
          <w:sz w:val="32"/>
          <w:szCs w:val="28"/>
          <w:highlight w:val="none"/>
        </w:rPr>
        <w:t>空间腾退置换出的建设用地，符合条件的优先转化为农业空间或生态空间。结合资源承载能力优先满足县城和中心镇建设用地需求，加大“点状”布局用地支持力度，严格控制开发强度和城乡建设用地增量。</w:t>
      </w:r>
    </w:p>
    <w:p w14:paraId="3AE25576">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28" w:name="_Toc30676"/>
      <w:r>
        <w:rPr>
          <w:rFonts w:ascii="Times New Roman" w:hAnsi="Times New Roman" w:cs="Times New Roman"/>
          <w:color w:val="auto"/>
          <w:szCs w:val="32"/>
          <w:highlight w:val="none"/>
        </w:rPr>
        <w:t>优化国土空间开发保护格局</w:t>
      </w:r>
      <w:bookmarkEnd w:id="28"/>
    </w:p>
    <w:p w14:paraId="43F8F6E5">
      <w:pPr>
        <w:pStyle w:val="4"/>
        <w:tabs>
          <w:tab w:val="clear" w:pos="0"/>
        </w:tabs>
        <w:spacing w:before="217" w:after="217"/>
        <w:rPr>
          <w:rFonts w:cs="Times New Roman"/>
          <w:color w:val="auto"/>
          <w:highlight w:val="none"/>
        </w:rPr>
      </w:pPr>
      <w:r>
        <w:rPr>
          <w:rFonts w:hint="eastAsia" w:cs="Times New Roman"/>
          <w:color w:val="auto"/>
          <w:highlight w:val="none"/>
        </w:rPr>
        <w:t>国土空间发展格局</w:t>
      </w:r>
    </w:p>
    <w:p w14:paraId="6F704EB1">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构建“一屏一区、一主两副、一核三节点”</w:t>
      </w:r>
      <w:r>
        <w:rPr>
          <w:rFonts w:ascii="Times New Roman" w:hAnsi="Times New Roman" w:eastAsia="仿宋_GB2312" w:cs="Times New Roman"/>
          <w:color w:val="auto"/>
          <w:sz w:val="32"/>
          <w:szCs w:val="32"/>
          <w:highlight w:val="none"/>
          <w:shd w:val="clear" w:color="auto" w:fill="FFFFFF"/>
        </w:rPr>
        <w:t>乡域</w:t>
      </w:r>
      <w:r>
        <w:rPr>
          <w:rFonts w:ascii="Times New Roman" w:hAnsi="Times New Roman" w:eastAsia="仿宋_GB2312" w:cs="Times New Roman"/>
          <w:color w:val="auto"/>
          <w:sz w:val="32"/>
          <w:szCs w:val="32"/>
          <w:highlight w:val="none"/>
        </w:rPr>
        <w:t>国土空间开发保护总体格局。</w:t>
      </w:r>
    </w:p>
    <w:p w14:paraId="52ED8655">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一屏：</w:t>
      </w:r>
      <w:r>
        <w:rPr>
          <w:rFonts w:ascii="Times New Roman" w:hAnsi="Times New Roman" w:eastAsia="仿宋_GB2312" w:cs="Times New Roman"/>
          <w:color w:val="auto"/>
          <w:sz w:val="32"/>
          <w:szCs w:val="32"/>
          <w:highlight w:val="none"/>
          <w:shd w:val="clear" w:color="auto" w:fill="FFFFFF"/>
        </w:rPr>
        <w:t>指乡域</w:t>
      </w:r>
      <w:r>
        <w:rPr>
          <w:rFonts w:ascii="Times New Roman" w:hAnsi="Times New Roman" w:eastAsia="仿宋_GB2312" w:cs="Times New Roman"/>
          <w:color w:val="auto"/>
          <w:sz w:val="32"/>
          <w:szCs w:val="32"/>
          <w:highlight w:val="none"/>
        </w:rPr>
        <w:t>北部滨江湿地生态保护屏障。作为桦川县“一心、一廊、三带”生态安全格局中“一</w:t>
      </w:r>
      <w:r>
        <w:rPr>
          <w:rFonts w:ascii="Times New Roman" w:hAnsi="Times New Roman" w:eastAsia="仿宋_GB2312" w:cs="Times New Roman"/>
          <w:color w:val="auto"/>
          <w:sz w:val="32"/>
          <w:szCs w:val="32"/>
          <w:highlight w:val="none"/>
          <w:shd w:val="clear" w:color="auto" w:fill="FFFFFF"/>
        </w:rPr>
        <w:t>廊</w:t>
      </w:r>
      <w:r>
        <w:rPr>
          <w:rFonts w:ascii="Times New Roman" w:hAnsi="Times New Roman" w:eastAsia="仿宋_GB2312" w:cs="Times New Roman"/>
          <w:color w:val="auto"/>
          <w:sz w:val="32"/>
          <w:szCs w:val="32"/>
          <w:highlight w:val="none"/>
        </w:rPr>
        <w:t>”的重要组成部分，规划应发挥北部松花江湿地保护区的生态作用，加强生态修复和空间的植被种植，充分发挥廊道的护蓝、增绿、通风等作用，打造北部生态屏障。</w:t>
      </w:r>
    </w:p>
    <w:p w14:paraId="033315EB">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一区：指依托乡域内农业发展基础优势形成的现代农业发展区。</w:t>
      </w:r>
    </w:p>
    <w:p w14:paraId="07A320EA">
      <w:pPr>
        <w:widowControl/>
        <w:ind w:firstLine="640"/>
        <w:jc w:val="left"/>
        <w:rPr>
          <w:rFonts w:eastAsia="仿宋_GB2312" w:cs="Times New Roman"/>
          <w:color w:val="auto"/>
          <w:sz w:val="32"/>
          <w:szCs w:val="32"/>
          <w:highlight w:val="none"/>
        </w:rPr>
      </w:pPr>
      <w:r>
        <w:rPr>
          <w:rFonts w:eastAsia="仿宋_GB2312" w:cs="Times New Roman"/>
          <w:color w:val="auto"/>
          <w:sz w:val="32"/>
          <w:szCs w:val="32"/>
          <w:highlight w:val="none"/>
        </w:rPr>
        <w:t>一</w:t>
      </w:r>
      <w:r>
        <w:rPr>
          <w:rFonts w:eastAsia="仿宋_GB2312" w:cs="Times New Roman"/>
          <w:color w:val="auto"/>
          <w:sz w:val="32"/>
          <w:szCs w:val="32"/>
          <w:highlight w:val="none"/>
          <w:shd w:val="clear" w:color="auto" w:fill="FFFFFF"/>
        </w:rPr>
        <w:t>主</w:t>
      </w:r>
      <w:r>
        <w:rPr>
          <w:rFonts w:eastAsia="仿宋_GB2312" w:cs="Times New Roman"/>
          <w:color w:val="auto"/>
          <w:sz w:val="32"/>
          <w:szCs w:val="32"/>
          <w:highlight w:val="none"/>
        </w:rPr>
        <w:t>：指沿国道G102形成的城乡发展主轴。发挥</w:t>
      </w:r>
      <w:r>
        <w:rPr>
          <w:rFonts w:eastAsia="仿宋_GB2312" w:cs="Times New Roman"/>
          <w:color w:val="auto"/>
          <w:kern w:val="0"/>
          <w:sz w:val="31"/>
          <w:szCs w:val="31"/>
          <w:highlight w:val="none"/>
        </w:rPr>
        <w:t>交通优势，</w:t>
      </w:r>
      <w:r>
        <w:rPr>
          <w:rFonts w:eastAsia="仿宋_GB2312" w:cs="Times New Roman"/>
          <w:color w:val="auto"/>
          <w:sz w:val="32"/>
          <w:szCs w:val="32"/>
          <w:highlight w:val="none"/>
        </w:rPr>
        <w:t>向西可至桦川县城、佳木斯市区，向东可至富锦市，构建起支撑全</w:t>
      </w:r>
      <w:r>
        <w:rPr>
          <w:rFonts w:eastAsia="仿宋_GB2312" w:cs="Times New Roman"/>
          <w:color w:val="auto"/>
          <w:sz w:val="32"/>
          <w:szCs w:val="32"/>
          <w:highlight w:val="none"/>
          <w:shd w:val="clear" w:color="auto" w:fill="FFFFFF"/>
        </w:rPr>
        <w:t>域镇</w:t>
      </w:r>
      <w:r>
        <w:rPr>
          <w:rFonts w:eastAsia="仿宋_GB2312" w:cs="Times New Roman"/>
          <w:color w:val="auto"/>
          <w:sz w:val="32"/>
          <w:szCs w:val="32"/>
          <w:highlight w:val="none"/>
        </w:rPr>
        <w:t>村空间发展的主轴线。</w:t>
      </w:r>
    </w:p>
    <w:p w14:paraId="23452DAC">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两副：指</w:t>
      </w:r>
      <w:r>
        <w:rPr>
          <w:rFonts w:ascii="Times New Roman" w:hAnsi="Times New Roman" w:eastAsia="仿宋_GB2312" w:cs="Times New Roman"/>
          <w:color w:val="auto"/>
          <w:sz w:val="32"/>
          <w:szCs w:val="32"/>
          <w:highlight w:val="none"/>
          <w:shd w:val="clear" w:color="auto" w:fill="FFFFFF"/>
        </w:rPr>
        <w:t>沿</w:t>
      </w:r>
      <w:r>
        <w:rPr>
          <w:rFonts w:ascii="Times New Roman" w:hAnsi="Times New Roman" w:eastAsia="仿宋_GB2312" w:cs="Times New Roman"/>
          <w:color w:val="auto"/>
          <w:sz w:val="32"/>
          <w:szCs w:val="32"/>
          <w:highlight w:val="none"/>
        </w:rPr>
        <w:t>兴安—</w:t>
      </w:r>
      <w:r>
        <w:rPr>
          <w:rFonts w:ascii="Times New Roman" w:hAnsi="Times New Roman" w:eastAsia="仿宋_GB2312" w:cs="Times New Roman"/>
          <w:color w:val="auto"/>
          <w:sz w:val="32"/>
          <w:szCs w:val="32"/>
          <w:highlight w:val="none"/>
          <w:shd w:val="clear" w:color="auto" w:fill="FFFFFF"/>
        </w:rPr>
        <w:t>九阳</w:t>
      </w:r>
      <w:r>
        <w:rPr>
          <w:rFonts w:ascii="Times New Roman" w:hAnsi="Times New Roman" w:eastAsia="仿宋_GB2312" w:cs="Times New Roman"/>
          <w:color w:val="auto"/>
          <w:sz w:val="32"/>
          <w:szCs w:val="32"/>
          <w:highlight w:val="none"/>
        </w:rPr>
        <w:t>—兴国、东河—东升2条</w:t>
      </w:r>
      <w:r>
        <w:rPr>
          <w:rFonts w:ascii="Times New Roman" w:hAnsi="Times New Roman" w:eastAsia="仿宋_GB2312" w:cs="Times New Roman"/>
          <w:color w:val="auto"/>
          <w:sz w:val="32"/>
          <w:szCs w:val="32"/>
          <w:highlight w:val="none"/>
          <w:shd w:val="clear" w:color="auto" w:fill="FFFFFF"/>
        </w:rPr>
        <w:t>乡内</w:t>
      </w:r>
      <w:r>
        <w:rPr>
          <w:rFonts w:ascii="Times New Roman" w:hAnsi="Times New Roman" w:eastAsia="仿宋_GB2312" w:cs="Times New Roman"/>
          <w:color w:val="auto"/>
          <w:sz w:val="32"/>
          <w:szCs w:val="32"/>
          <w:highlight w:val="none"/>
        </w:rPr>
        <w:t>公路形成的乡村发展副轴。两条轴线联系了</w:t>
      </w:r>
      <w:r>
        <w:rPr>
          <w:rFonts w:hint="eastAsia" w:ascii="Times New Roman" w:hAnsi="Times New Roman" w:eastAsia="仿宋_GB2312" w:cs="Times New Roman"/>
          <w:color w:val="auto"/>
          <w:sz w:val="32"/>
          <w:szCs w:val="32"/>
          <w:highlight w:val="none"/>
        </w:rPr>
        <w:t>东河乡乡政府驻地</w:t>
      </w:r>
      <w:r>
        <w:rPr>
          <w:rFonts w:ascii="Times New Roman" w:hAnsi="Times New Roman" w:eastAsia="仿宋_GB2312" w:cs="Times New Roman"/>
          <w:color w:val="auto"/>
          <w:sz w:val="32"/>
          <w:szCs w:val="32"/>
          <w:highlight w:val="none"/>
        </w:rPr>
        <w:t>和乡域内大部村庄，构建起支撑全</w:t>
      </w:r>
      <w:r>
        <w:rPr>
          <w:rFonts w:ascii="Times New Roman" w:hAnsi="Times New Roman" w:eastAsia="仿宋_GB2312" w:cs="Times New Roman"/>
          <w:color w:val="auto"/>
          <w:sz w:val="32"/>
          <w:szCs w:val="32"/>
          <w:highlight w:val="none"/>
          <w:shd w:val="clear" w:color="auto" w:fill="FFFFFF"/>
        </w:rPr>
        <w:t>域镇</w:t>
      </w:r>
      <w:r>
        <w:rPr>
          <w:rFonts w:ascii="Times New Roman" w:hAnsi="Times New Roman" w:eastAsia="仿宋_GB2312" w:cs="Times New Roman"/>
          <w:color w:val="auto"/>
          <w:sz w:val="32"/>
          <w:szCs w:val="32"/>
          <w:highlight w:val="none"/>
        </w:rPr>
        <w:t>村空间发展的副轴线。</w:t>
      </w:r>
    </w:p>
    <w:p w14:paraId="092D3D6A">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一核三节点：</w:t>
      </w:r>
      <w:r>
        <w:rPr>
          <w:rFonts w:ascii="Times New Roman" w:hAnsi="Times New Roman" w:eastAsia="仿宋_GB2312" w:cs="Times New Roman"/>
          <w:color w:val="auto"/>
          <w:sz w:val="32"/>
          <w:szCs w:val="32"/>
          <w:highlight w:val="none"/>
          <w:shd w:val="clear" w:color="auto" w:fill="FFFFFF"/>
        </w:rPr>
        <w:t>指</w:t>
      </w:r>
      <w:r>
        <w:rPr>
          <w:rFonts w:ascii="Times New Roman" w:hAnsi="Times New Roman" w:eastAsia="仿宋_GB2312" w:cs="Times New Roman"/>
          <w:color w:val="auto"/>
          <w:sz w:val="32"/>
          <w:szCs w:val="32"/>
          <w:highlight w:val="none"/>
        </w:rPr>
        <w:t>围绕</w:t>
      </w:r>
      <w:r>
        <w:rPr>
          <w:rFonts w:hint="eastAsia" w:ascii="Times New Roman" w:hAnsi="Times New Roman" w:eastAsia="仿宋_GB2312" w:cs="Times New Roman"/>
          <w:color w:val="auto"/>
          <w:sz w:val="32"/>
          <w:szCs w:val="32"/>
          <w:highlight w:val="none"/>
        </w:rPr>
        <w:t>东河乡乡政府驻地</w:t>
      </w:r>
      <w:r>
        <w:rPr>
          <w:rFonts w:ascii="Times New Roman" w:hAnsi="Times New Roman" w:eastAsia="仿宋_GB2312" w:cs="Times New Roman"/>
          <w:color w:val="auto"/>
          <w:sz w:val="32"/>
          <w:szCs w:val="32"/>
          <w:highlight w:val="none"/>
        </w:rPr>
        <w:t>打造的全域发展服务核心以及围绕3个中心村打造的村级服务节点。做大做强乡政府驻地，形成引领全乡的高质量发展极核，促进东</w:t>
      </w:r>
      <w:r>
        <w:rPr>
          <w:rFonts w:ascii="Times New Roman" w:hAnsi="Times New Roman" w:eastAsia="仿宋_GB2312" w:cs="Times New Roman"/>
          <w:color w:val="auto"/>
          <w:sz w:val="32"/>
          <w:szCs w:val="32"/>
          <w:highlight w:val="none"/>
          <w:shd w:val="clear" w:color="auto" w:fill="FFFFFF"/>
        </w:rPr>
        <w:t>河乡公共服务体系</w:t>
      </w:r>
      <w:r>
        <w:rPr>
          <w:rFonts w:ascii="Times New Roman" w:hAnsi="Times New Roman" w:eastAsia="仿宋_GB2312" w:cs="Times New Roman"/>
          <w:color w:val="auto"/>
          <w:sz w:val="32"/>
          <w:szCs w:val="32"/>
          <w:highlight w:val="none"/>
        </w:rPr>
        <w:t>健康发展。</w:t>
      </w:r>
    </w:p>
    <w:p w14:paraId="6EE058DF">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29" w:name="_Toc30024"/>
      <w:r>
        <w:rPr>
          <w:rFonts w:ascii="Times New Roman" w:hAnsi="Times New Roman" w:cs="Times New Roman"/>
          <w:color w:val="auto"/>
          <w:szCs w:val="32"/>
          <w:highlight w:val="none"/>
        </w:rPr>
        <w:t>规划分区</w:t>
      </w:r>
      <w:bookmarkEnd w:id="29"/>
    </w:p>
    <w:p w14:paraId="36F54251">
      <w:pPr>
        <w:pStyle w:val="4"/>
        <w:tabs>
          <w:tab w:val="clear" w:pos="0"/>
        </w:tabs>
        <w:spacing w:before="217" w:after="217"/>
        <w:rPr>
          <w:rFonts w:cs="Times New Roman"/>
          <w:color w:val="auto"/>
          <w:highlight w:val="none"/>
        </w:rPr>
      </w:pPr>
      <w:r>
        <w:rPr>
          <w:rFonts w:cs="Times New Roman"/>
          <w:color w:val="auto"/>
          <w:highlight w:val="none"/>
        </w:rPr>
        <w:t>优化规划分区</w:t>
      </w:r>
    </w:p>
    <w:p w14:paraId="757444A3">
      <w:pPr>
        <w:widowControl w:val="0"/>
        <w:spacing w:line="600" w:lineRule="exact"/>
        <w:ind w:firstLine="640" w:firstLineChars="200"/>
        <w:jc w:val="both"/>
        <w:rPr>
          <w:rFonts w:eastAsia="仿宋_GB2312" w:cs="Times New Roman"/>
          <w:color w:val="auto"/>
          <w:sz w:val="32"/>
          <w:szCs w:val="28"/>
          <w:highlight w:val="none"/>
        </w:rPr>
      </w:pPr>
      <w:r>
        <w:rPr>
          <w:rFonts w:hint="eastAsia" w:ascii="Times New Roman" w:hAnsi="Times New Roman" w:eastAsia="仿宋_GB2312" w:cs="Times New Roman"/>
          <w:color w:val="auto"/>
          <w:kern w:val="2"/>
          <w:sz w:val="32"/>
          <w:szCs w:val="24"/>
          <w:lang w:val="en-US" w:eastAsia="zh-CN" w:bidi="ar-SA"/>
        </w:rPr>
        <w:t>以国土空间的保护与保留、开发与利用两大功能为导向，</w:t>
      </w:r>
      <w:r>
        <w:rPr>
          <w:rFonts w:hint="eastAsia" w:ascii="仿宋_GB2312" w:hAnsi="仿宋_GB2312" w:eastAsia="仿宋_GB2312" w:cs="仿宋_GB2312"/>
          <w:color w:val="auto"/>
          <w:kern w:val="2"/>
          <w:sz w:val="32"/>
          <w:szCs w:val="28"/>
          <w:highlight w:val="none"/>
          <w:lang w:val="en-US" w:eastAsia="zh-CN" w:bidi="ar-SA"/>
        </w:rPr>
        <w:t>东河乡</w:t>
      </w:r>
      <w:r>
        <w:rPr>
          <w:rFonts w:hint="eastAsia" w:ascii="Times New Roman" w:hAnsi="Times New Roman" w:eastAsia="仿宋_GB2312" w:cs="Times New Roman"/>
          <w:color w:val="auto"/>
          <w:kern w:val="2"/>
          <w:sz w:val="32"/>
          <w:szCs w:val="24"/>
          <w:lang w:val="en-US" w:eastAsia="zh-CN" w:bidi="ar-SA"/>
        </w:rPr>
        <w:t>规划分区分为</w:t>
      </w:r>
      <w:r>
        <w:rPr>
          <w:rFonts w:hint="eastAsia" w:eastAsia="仿宋_GB2312" w:cs="Times New Roman"/>
          <w:color w:val="auto"/>
          <w:kern w:val="2"/>
          <w:sz w:val="32"/>
          <w:szCs w:val="24"/>
          <w:lang w:val="en-US" w:eastAsia="zh-CN" w:bidi="ar-SA"/>
        </w:rPr>
        <w:t>6</w:t>
      </w:r>
      <w:r>
        <w:rPr>
          <w:rFonts w:hint="eastAsia" w:ascii="Times New Roman" w:hAnsi="Times New Roman" w:eastAsia="仿宋_GB2312" w:cs="Times New Roman"/>
          <w:color w:val="auto"/>
          <w:kern w:val="2"/>
          <w:sz w:val="32"/>
          <w:szCs w:val="24"/>
          <w:lang w:val="en-US" w:eastAsia="zh-CN" w:bidi="ar-SA"/>
        </w:rPr>
        <w:t>个一级规划分区。</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6811"/>
      </w:tblGrid>
      <w:tr w14:paraId="3E2F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2"/>
            <w:tcBorders>
              <w:tl2br w:val="nil"/>
              <w:tr2bl w:val="nil"/>
            </w:tcBorders>
            <w:shd w:val="clear" w:color="auto" w:fill="auto"/>
            <w:vAlign w:val="center"/>
          </w:tcPr>
          <w:p w14:paraId="39B5482A">
            <w:pPr>
              <w:spacing w:line="240" w:lineRule="auto"/>
              <w:ind w:firstLine="600"/>
              <w:jc w:val="center"/>
              <w:rPr>
                <w:rFonts w:eastAsia="仿宋_GB2312" w:cs="Times New Roman"/>
                <w:color w:val="auto"/>
                <w:kern w:val="0"/>
                <w:szCs w:val="32"/>
                <w:highlight w:val="none"/>
              </w:rPr>
            </w:pPr>
            <w:bookmarkStart w:id="136" w:name="_GoBack"/>
            <w:r>
              <w:rPr>
                <w:rFonts w:eastAsia="黑体" w:cs="Times New Roman"/>
                <w:color w:val="auto"/>
                <w:sz w:val="30"/>
                <w:szCs w:val="30"/>
                <w:highlight w:val="none"/>
              </w:rPr>
              <w:t>专栏</w:t>
            </w:r>
            <w:bookmarkEnd w:id="136"/>
            <w:r>
              <w:rPr>
                <w:rFonts w:hint="eastAsia" w:eastAsia="黑体" w:cs="Times New Roman"/>
                <w:color w:val="auto"/>
                <w:sz w:val="30"/>
                <w:szCs w:val="30"/>
                <w:highlight w:val="none"/>
                <w:lang w:val="en-US" w:eastAsia="zh-CN"/>
              </w:rPr>
              <w:t>1</w:t>
            </w:r>
            <w:r>
              <w:rPr>
                <w:rFonts w:eastAsia="黑体" w:cs="Times New Roman"/>
                <w:color w:val="auto"/>
                <w:sz w:val="30"/>
                <w:szCs w:val="30"/>
                <w:highlight w:val="none"/>
              </w:rPr>
              <w:t>：规划用途分区及管控规则</w:t>
            </w:r>
          </w:p>
        </w:tc>
      </w:tr>
      <w:tr w14:paraId="452A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04" w:type="pct"/>
            <w:tcBorders>
              <w:tl2br w:val="nil"/>
              <w:tr2bl w:val="nil"/>
            </w:tcBorders>
            <w:shd w:val="clear" w:color="auto" w:fill="auto"/>
            <w:vAlign w:val="center"/>
          </w:tcPr>
          <w:p w14:paraId="3BC1A591">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类型</w:t>
            </w:r>
          </w:p>
        </w:tc>
        <w:tc>
          <w:tcPr>
            <w:tcW w:w="3995" w:type="pct"/>
            <w:tcBorders>
              <w:tl2br w:val="nil"/>
              <w:tr2bl w:val="nil"/>
            </w:tcBorders>
            <w:shd w:val="clear" w:color="auto" w:fill="auto"/>
            <w:vAlign w:val="center"/>
          </w:tcPr>
          <w:p w14:paraId="1EF5EDA2">
            <w:pPr>
              <w:autoSpaceDE w:val="0"/>
              <w:autoSpaceDN w:val="0"/>
              <w:spacing w:line="240" w:lineRule="auto"/>
              <w:ind w:firstLine="0" w:firstLineChars="0"/>
              <w:jc w:val="center"/>
              <w:rPr>
                <w:rFonts w:cs="Times New Roman"/>
                <w:color w:val="auto"/>
                <w:sz w:val="24"/>
                <w:highlight w:val="none"/>
              </w:rPr>
            </w:pPr>
            <w:r>
              <w:rPr>
                <w:rFonts w:eastAsia="仿宋_GB2312" w:cs="Times New Roman"/>
                <w:color w:val="auto"/>
                <w:sz w:val="24"/>
                <w:highlight w:val="none"/>
              </w:rPr>
              <w:t>管控要求</w:t>
            </w:r>
          </w:p>
        </w:tc>
      </w:tr>
      <w:tr w14:paraId="236A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71161EC7">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生态保护区</w:t>
            </w:r>
          </w:p>
        </w:tc>
        <w:tc>
          <w:tcPr>
            <w:tcW w:w="3995" w:type="pct"/>
            <w:tcBorders>
              <w:tl2br w:val="nil"/>
              <w:tr2bl w:val="nil"/>
            </w:tcBorders>
            <w:shd w:val="clear" w:color="auto" w:fill="auto"/>
            <w:vAlign w:val="center"/>
          </w:tcPr>
          <w:p w14:paraId="1A9ED82A">
            <w:pPr>
              <w:widowControl/>
              <w:spacing w:line="240" w:lineRule="auto"/>
              <w:ind w:firstLine="480"/>
              <w:jc w:val="left"/>
              <w:rPr>
                <w:rFonts w:eastAsia="仿宋_GB2312" w:cs="Times New Roman"/>
                <w:color w:val="auto"/>
                <w:kern w:val="0"/>
                <w:sz w:val="24"/>
                <w:highlight w:val="none"/>
              </w:rPr>
            </w:pPr>
            <w:r>
              <w:rPr>
                <w:rFonts w:eastAsia="仿宋_GB2312" w:cs="Times New Roman"/>
                <w:color w:val="auto"/>
                <w:kern w:val="0"/>
                <w:sz w:val="24"/>
                <w:highlight w:val="none"/>
              </w:rPr>
              <w:t>应以严格保护、禁止开发区域进行管理，实行最严格的准入制度，严禁任何不符合主体功能定位的开发活动，任何单位和个人不得擅自占用或改变原国土用途。区内原有的林场、工矿等用途区域应严格控制建设行为扩展，并应根据实际发展需要逐步引导退出。</w:t>
            </w:r>
          </w:p>
        </w:tc>
      </w:tr>
      <w:tr w14:paraId="3191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5BFF6260">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生态控制区</w:t>
            </w:r>
          </w:p>
        </w:tc>
        <w:tc>
          <w:tcPr>
            <w:tcW w:w="3995" w:type="pct"/>
            <w:tcBorders>
              <w:tl2br w:val="nil"/>
              <w:tr2bl w:val="nil"/>
            </w:tcBorders>
            <w:shd w:val="clear" w:color="auto" w:fill="auto"/>
            <w:vAlign w:val="center"/>
          </w:tcPr>
          <w:p w14:paraId="2B046779">
            <w:pPr>
              <w:widowControl/>
              <w:spacing w:line="240" w:lineRule="auto"/>
              <w:ind w:firstLine="480"/>
              <w:jc w:val="left"/>
              <w:rPr>
                <w:rFonts w:eastAsia="仿宋_GB2312" w:cs="Times New Roman"/>
                <w:color w:val="auto"/>
                <w:kern w:val="0"/>
                <w:sz w:val="24"/>
                <w:highlight w:val="none"/>
              </w:rPr>
            </w:pPr>
            <w:r>
              <w:rPr>
                <w:rFonts w:eastAsia="仿宋_GB2312" w:cs="Times New Roman"/>
                <w:color w:val="auto"/>
                <w:kern w:val="0"/>
                <w:sz w:val="24"/>
                <w:highlight w:val="none"/>
              </w:rPr>
              <w:t>本区域采取“名录管理+约束指标+分区准入”相结合的方式细化管理规定，以保护为主，按照限制开发的要求进行管理，允许在不降低生态功能、不破坏自然生态系统、符合准入条件的前提下适度开发利用。</w:t>
            </w:r>
          </w:p>
        </w:tc>
      </w:tr>
      <w:tr w14:paraId="3BBD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2233CFCE">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农田保护区</w:t>
            </w:r>
          </w:p>
        </w:tc>
        <w:tc>
          <w:tcPr>
            <w:tcW w:w="3995" w:type="pct"/>
            <w:tcBorders>
              <w:tl2br w:val="nil"/>
              <w:tr2bl w:val="nil"/>
            </w:tcBorders>
            <w:shd w:val="clear" w:color="auto" w:fill="auto"/>
            <w:vAlign w:val="center"/>
          </w:tcPr>
          <w:p w14:paraId="475EB9E4">
            <w:pPr>
              <w:widowControl/>
              <w:spacing w:line="240" w:lineRule="auto"/>
              <w:ind w:firstLine="480"/>
              <w:jc w:val="left"/>
              <w:rPr>
                <w:rFonts w:eastAsia="仿宋_GB2312" w:cs="Times New Roman"/>
                <w:color w:val="auto"/>
                <w:kern w:val="0"/>
                <w:sz w:val="24"/>
                <w:highlight w:val="none"/>
              </w:rPr>
            </w:pPr>
            <w:r>
              <w:rPr>
                <w:rFonts w:eastAsia="仿宋_GB2312" w:cs="Times New Roman"/>
                <w:color w:val="auto"/>
                <w:kern w:val="0"/>
                <w:sz w:val="24"/>
                <w:highlight w:val="none"/>
              </w:rPr>
              <w:t>本区域按照永久基本农田保护的相关法律法规进行管理，区内从严管控非农建设占用永久基本农田，鼓励开展高标准农田建设和土地整治，提高永久基本农田质量。</w:t>
            </w:r>
          </w:p>
        </w:tc>
      </w:tr>
      <w:tr w14:paraId="07D9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321F53CD">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城镇发展区</w:t>
            </w:r>
          </w:p>
        </w:tc>
        <w:tc>
          <w:tcPr>
            <w:tcW w:w="3995" w:type="pct"/>
            <w:tcBorders>
              <w:tl2br w:val="nil"/>
              <w:tr2bl w:val="nil"/>
            </w:tcBorders>
            <w:shd w:val="clear" w:color="auto" w:fill="auto"/>
            <w:vAlign w:val="center"/>
          </w:tcPr>
          <w:p w14:paraId="3A782251">
            <w:pPr>
              <w:widowControl/>
              <w:spacing w:line="240" w:lineRule="auto"/>
              <w:ind w:firstLine="480"/>
              <w:jc w:val="left"/>
              <w:rPr>
                <w:rFonts w:eastAsia="仿宋_GB2312" w:cs="Times New Roman"/>
                <w:color w:val="auto"/>
                <w:kern w:val="0"/>
                <w:sz w:val="24"/>
                <w:highlight w:val="none"/>
              </w:rPr>
            </w:pPr>
            <w:r>
              <w:rPr>
                <w:rFonts w:eastAsia="仿宋_GB2312" w:cs="Times New Roman"/>
                <w:color w:val="auto"/>
                <w:kern w:val="0"/>
                <w:sz w:val="24"/>
                <w:highlight w:val="none"/>
              </w:rPr>
              <w:t>区内实行“详细规划+规划许可”的管理方式。</w:t>
            </w:r>
          </w:p>
        </w:tc>
      </w:tr>
      <w:tr w14:paraId="46BC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4A7E8E8F">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乡村发展区</w:t>
            </w:r>
          </w:p>
        </w:tc>
        <w:tc>
          <w:tcPr>
            <w:tcW w:w="3995" w:type="pct"/>
            <w:tcBorders>
              <w:tl2br w:val="nil"/>
              <w:tr2bl w:val="nil"/>
            </w:tcBorders>
            <w:shd w:val="clear" w:color="auto" w:fill="auto"/>
            <w:vAlign w:val="center"/>
          </w:tcPr>
          <w:p w14:paraId="66A26BFF">
            <w:pPr>
              <w:widowControl/>
              <w:spacing w:line="240" w:lineRule="auto"/>
              <w:ind w:firstLine="480"/>
              <w:jc w:val="left"/>
              <w:rPr>
                <w:rFonts w:eastAsia="仿宋_GB2312" w:cs="Times New Roman"/>
                <w:color w:val="auto"/>
                <w:kern w:val="0"/>
                <w:sz w:val="24"/>
                <w:highlight w:val="none"/>
              </w:rPr>
            </w:pPr>
            <w:r>
              <w:rPr>
                <w:rFonts w:eastAsia="仿宋_GB2312" w:cs="Times New Roman"/>
                <w:color w:val="auto"/>
                <w:kern w:val="0"/>
                <w:sz w:val="24"/>
                <w:highlight w:val="none"/>
              </w:rPr>
              <w:t>以促进农业和乡村特色产业发展、改善农民生产生活条件为导向，统筹协调村庄建设、农田和生态保护。保障农业和乡村产业发展及其配套设施建设，以及为改善农村人居环境而进行的村庄建设与整治。严禁集中连片的城镇开发建设。</w:t>
            </w:r>
          </w:p>
          <w:p w14:paraId="03EC0B5F">
            <w:pPr>
              <w:widowControl/>
              <w:spacing w:line="240" w:lineRule="auto"/>
              <w:ind w:firstLine="480"/>
              <w:jc w:val="left"/>
              <w:rPr>
                <w:rFonts w:eastAsia="仿宋_GB2312" w:cs="Times New Roman"/>
                <w:color w:val="auto"/>
                <w:kern w:val="0"/>
                <w:sz w:val="24"/>
                <w:highlight w:val="none"/>
              </w:rPr>
            </w:pPr>
            <w:r>
              <w:rPr>
                <w:rFonts w:eastAsia="仿宋_GB2312" w:cs="Times New Roman"/>
                <w:color w:val="auto"/>
                <w:kern w:val="0"/>
                <w:sz w:val="24"/>
                <w:highlight w:val="none"/>
              </w:rPr>
              <w:t>其中，林业发展</w:t>
            </w:r>
            <w:r>
              <w:rPr>
                <w:rFonts w:hint="eastAsia" w:eastAsia="仿宋_GB2312" w:cs="Times New Roman"/>
                <w:color w:val="auto"/>
                <w:kern w:val="0"/>
                <w:sz w:val="24"/>
                <w:highlight w:val="none"/>
              </w:rPr>
              <w:t>区</w:t>
            </w:r>
            <w:r>
              <w:rPr>
                <w:rFonts w:eastAsia="仿宋_GB2312" w:cs="Times New Roman"/>
                <w:color w:val="auto"/>
                <w:kern w:val="0"/>
                <w:sz w:val="24"/>
                <w:highlight w:val="none"/>
              </w:rPr>
              <w:t>鼓励依据国土空间规划及其他相关规划，实施生态修复工程，提升生态环境质量。从严控制商业性经营设施建设用地准入，严禁未经审批毁林开垦和使用林地等涉林违法违规行为，严格限制采石取土等用地准入，限制勘查、开采矿藏和其他项目用地准入。</w:t>
            </w:r>
          </w:p>
        </w:tc>
      </w:tr>
      <w:tr w14:paraId="7122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1FFA5F2C">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矿产能源发展区</w:t>
            </w:r>
          </w:p>
        </w:tc>
        <w:tc>
          <w:tcPr>
            <w:tcW w:w="3995" w:type="pct"/>
            <w:tcBorders>
              <w:tl2br w:val="nil"/>
              <w:tr2bl w:val="nil"/>
            </w:tcBorders>
            <w:shd w:val="clear" w:color="auto" w:fill="auto"/>
            <w:vAlign w:val="center"/>
          </w:tcPr>
          <w:p w14:paraId="53F84CDA">
            <w:pPr>
              <w:widowControl/>
              <w:spacing w:line="240" w:lineRule="auto"/>
              <w:ind w:firstLine="480"/>
              <w:jc w:val="left"/>
              <w:rPr>
                <w:rFonts w:eastAsia="仿宋_GB2312" w:cs="Times New Roman"/>
                <w:color w:val="auto"/>
                <w:kern w:val="0"/>
                <w:sz w:val="24"/>
                <w:highlight w:val="none"/>
              </w:rPr>
            </w:pPr>
            <w:r>
              <w:rPr>
                <w:rFonts w:eastAsia="仿宋_GB2312" w:cs="Times New Roman"/>
                <w:color w:val="auto"/>
                <w:kern w:val="0"/>
                <w:sz w:val="24"/>
                <w:highlight w:val="none"/>
              </w:rPr>
              <w:t>对矿产资源开发进行合理布局，严格矿产资源开采规划准入管理，严禁在水源保护区、自然保护地等环境敏感区、重要生态功能保护区内开发利用矿产资源。建立和完善绿色矿业发展机制，最大限度地减少矿产能源开发对生态环境的影响，现有矿区在开采期内按绿色矿山标准实行开采，开采期结束后应由矿山企业采取生态修复手段恢复矿区地质环境。</w:t>
            </w:r>
          </w:p>
        </w:tc>
      </w:tr>
    </w:tbl>
    <w:p w14:paraId="3655DF59">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30" w:name="_Toc18470"/>
      <w:r>
        <w:rPr>
          <w:rFonts w:ascii="Times New Roman" w:hAnsi="Times New Roman" w:cs="Times New Roman"/>
          <w:color w:val="auto"/>
          <w:szCs w:val="32"/>
          <w:highlight w:val="none"/>
        </w:rPr>
        <w:t>用地结构调整</w:t>
      </w:r>
      <w:bookmarkEnd w:id="30"/>
    </w:p>
    <w:p w14:paraId="41589A22">
      <w:pPr>
        <w:pStyle w:val="4"/>
        <w:tabs>
          <w:tab w:val="clear" w:pos="0"/>
        </w:tabs>
        <w:spacing w:before="217" w:after="217"/>
        <w:rPr>
          <w:rFonts w:cs="Times New Roman"/>
          <w:color w:val="auto"/>
          <w:highlight w:val="none"/>
        </w:rPr>
      </w:pPr>
      <w:r>
        <w:rPr>
          <w:rFonts w:cs="Times New Roman"/>
          <w:color w:val="auto"/>
          <w:highlight w:val="none"/>
        </w:rPr>
        <w:t>农用地结构调整</w:t>
      </w:r>
    </w:p>
    <w:p w14:paraId="6692D0FD">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严守耕地红线，推行耕地生</w:t>
      </w:r>
      <w:r>
        <w:rPr>
          <w:rFonts w:hint="eastAsia" w:ascii="Times New Roman" w:hAnsi="Times New Roman" w:eastAsia="仿宋_GB2312" w:cs="Times New Roman"/>
          <w:color w:val="auto"/>
          <w:sz w:val="32"/>
          <w:szCs w:val="28"/>
          <w:highlight w:val="none"/>
        </w:rPr>
        <w:t>态化</w:t>
      </w:r>
      <w:r>
        <w:rPr>
          <w:rFonts w:ascii="Times New Roman" w:hAnsi="Times New Roman" w:eastAsia="仿宋_GB2312" w:cs="Times New Roman"/>
          <w:color w:val="auto"/>
          <w:sz w:val="32"/>
          <w:szCs w:val="28"/>
          <w:highlight w:val="none"/>
        </w:rPr>
        <w:t>，确保农业空间稳定性。优先保障粮食安全，在黑土侵蚀、农业不适宜耕作、湿地退化地区、水土流失地区、不稳定耕地区域实行退耕还林还草还湿，实现农业可持续发展。</w:t>
      </w:r>
    </w:p>
    <w:p w14:paraId="786B3CB9">
      <w:pPr>
        <w:pStyle w:val="4"/>
        <w:tabs>
          <w:tab w:val="clear" w:pos="0"/>
        </w:tabs>
        <w:spacing w:before="217" w:after="217"/>
        <w:rPr>
          <w:rFonts w:cs="Times New Roman"/>
          <w:color w:val="auto"/>
          <w:highlight w:val="none"/>
        </w:rPr>
      </w:pPr>
      <w:r>
        <w:rPr>
          <w:rFonts w:cs="Times New Roman"/>
          <w:color w:val="auto"/>
          <w:highlight w:val="none"/>
        </w:rPr>
        <w:t>建设用地结构调整</w:t>
      </w:r>
    </w:p>
    <w:p w14:paraId="48D313E3">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严控建设用地总规模，提高土地集约节约度，高效利用建设用地。按照“框定总量、限定容量、盘活存量、做优增量，提高质量”的思路，合理调整建设用地结构，通过空心村用地整治、城乡增减挂钩等措施集约高效利用城乡建设用地，加快废弃工矿用地整理，加快闲置用地及批而未用土地处置。优先保障国家、省级重点项目及民生项目建设，实现城乡建设用地增长。</w:t>
      </w:r>
    </w:p>
    <w:p w14:paraId="0BAAE211">
      <w:pPr>
        <w:pStyle w:val="4"/>
        <w:tabs>
          <w:tab w:val="clear" w:pos="0"/>
        </w:tabs>
        <w:spacing w:before="217" w:after="217"/>
        <w:rPr>
          <w:rFonts w:cs="Times New Roman"/>
          <w:color w:val="auto"/>
          <w:highlight w:val="none"/>
        </w:rPr>
      </w:pPr>
      <w:r>
        <w:rPr>
          <w:rFonts w:cs="Times New Roman"/>
          <w:color w:val="auto"/>
          <w:highlight w:val="none"/>
        </w:rPr>
        <w:t>其他用地结构调整</w:t>
      </w:r>
    </w:p>
    <w:p w14:paraId="305E954D">
      <w:pPr>
        <w:pStyle w:val="36"/>
        <w:ind w:firstLine="640"/>
        <w:rPr>
          <w:rFonts w:ascii="Times New Roman" w:hAnsi="Times New Roman" w:eastAsia="仿宋_GB2312" w:cs="Times New Roman"/>
          <w:color w:val="auto"/>
          <w:sz w:val="32"/>
          <w:szCs w:val="28"/>
          <w:highlight w:val="none"/>
        </w:rPr>
      </w:pPr>
      <w:bookmarkStart w:id="31" w:name="_Toc72936502"/>
      <w:bookmarkStart w:id="32" w:name="_Toc72936511"/>
      <w:r>
        <w:rPr>
          <w:rFonts w:ascii="Times New Roman" w:hAnsi="Times New Roman" w:eastAsia="仿宋_GB2312" w:cs="Times New Roman"/>
          <w:color w:val="auto"/>
          <w:sz w:val="32"/>
          <w:szCs w:val="28"/>
          <w:highlight w:val="none"/>
        </w:rPr>
        <w:t>提升全域生态价值，优先满足生态用地。保护森林、河流、水库、湿地等重要生态功能用地，优化生态用地结构，拓展蓝绿空间，提升生态服务功能。</w:t>
      </w:r>
    </w:p>
    <w:bookmarkEnd w:id="31"/>
    <w:bookmarkEnd w:id="32"/>
    <w:p w14:paraId="77580E01">
      <w:pPr>
        <w:ind w:firstLine="640"/>
        <w:rPr>
          <w:rFonts w:eastAsia="仿宋_GB2312" w:cs="Times New Roman"/>
          <w:color w:val="auto"/>
          <w:sz w:val="32"/>
          <w:szCs w:val="28"/>
          <w:highlight w:val="none"/>
        </w:rPr>
      </w:pPr>
      <w:r>
        <w:rPr>
          <w:rFonts w:eastAsia="仿宋_GB2312" w:cs="Times New Roman"/>
          <w:color w:val="auto"/>
          <w:sz w:val="32"/>
          <w:szCs w:val="28"/>
          <w:highlight w:val="none"/>
        </w:rPr>
        <w:br w:type="page"/>
      </w:r>
    </w:p>
    <w:p w14:paraId="23073AA0">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pPr>
      <w:bookmarkStart w:id="33" w:name="_Toc23309"/>
      <w:bookmarkStart w:id="34" w:name="_Toc22107"/>
      <w:r>
        <w:rPr>
          <w:rFonts w:hint="eastAsia" w:ascii="Times New Roman" w:hAnsi="Times New Roman" w:eastAsia="方正小标宋简体" w:cs="Times New Roman"/>
          <w:color w:val="auto"/>
          <w:kern w:val="44"/>
          <w:sz w:val="36"/>
          <w:szCs w:val="36"/>
          <w:highlight w:val="none"/>
          <w:lang w:val="en-US" w:eastAsia="zh-CN" w:bidi="ar-SA"/>
        </w:rPr>
        <w:t>空间布局优化</w:t>
      </w:r>
      <w:bookmarkEnd w:id="33"/>
    </w:p>
    <w:p w14:paraId="1E2BB49A">
      <w:pPr>
        <w:pStyle w:val="3"/>
        <w:numPr>
          <w:ilvl w:val="0"/>
          <w:numId w:val="15"/>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35" w:name="_Toc141431243"/>
      <w:bookmarkStart w:id="36" w:name="_Toc8908"/>
      <w:bookmarkStart w:id="37" w:name="_Toc30783"/>
      <w:bookmarkStart w:id="38" w:name="_Hlk175289020"/>
      <w:bookmarkStart w:id="39" w:name="_Toc141538963"/>
      <w:r>
        <w:rPr>
          <w:rFonts w:ascii="Times New Roman" w:hAnsi="Times New Roman" w:cs="Times New Roman"/>
          <w:color w:val="auto"/>
          <w:szCs w:val="32"/>
          <w:highlight w:val="none"/>
        </w:rPr>
        <w:t>构建现代农业空间</w:t>
      </w:r>
      <w:bookmarkEnd w:id="35"/>
      <w:bookmarkEnd w:id="36"/>
      <w:bookmarkEnd w:id="37"/>
    </w:p>
    <w:bookmarkEnd w:id="38"/>
    <w:p w14:paraId="2F847ABF">
      <w:pPr>
        <w:pStyle w:val="4"/>
        <w:tabs>
          <w:tab w:val="clear" w:pos="0"/>
        </w:tabs>
        <w:spacing w:before="217" w:after="217"/>
        <w:rPr>
          <w:rFonts w:cs="Times New Roman"/>
          <w:color w:val="auto"/>
          <w:highlight w:val="none"/>
        </w:rPr>
      </w:pPr>
      <w:r>
        <w:rPr>
          <w:rFonts w:cs="Times New Roman"/>
          <w:color w:val="auto"/>
          <w:highlight w:val="none"/>
        </w:rPr>
        <w:t>农业总体格局</w:t>
      </w:r>
    </w:p>
    <w:p w14:paraId="26DA4D03">
      <w:pPr>
        <w:pStyle w:val="14"/>
        <w:overflowPunct w:val="0"/>
        <w:ind w:firstLine="640"/>
        <w:rPr>
          <w:rFonts w:ascii="Times New Roman" w:hAnsi="Times New Roman" w:eastAsia="仿宋_GB2312"/>
          <w:color w:val="auto"/>
          <w:sz w:val="32"/>
          <w:szCs w:val="28"/>
          <w:highlight w:val="none"/>
        </w:rPr>
      </w:pPr>
      <w:bookmarkStart w:id="40" w:name="_Hlk175289113"/>
      <w:r>
        <w:rPr>
          <w:rFonts w:ascii="Times New Roman" w:hAnsi="Times New Roman" w:eastAsia="仿宋_GB2312"/>
          <w:color w:val="auto"/>
          <w:sz w:val="32"/>
          <w:szCs w:val="28"/>
          <w:highlight w:val="none"/>
        </w:rPr>
        <w:t>落实三江平原国家农产品主产区功能定位要求，保障国家粮食安全；树立大食物观，保障优质水稻、玉米、大豆和畜禽产品供给，拓展农产品多样化生产空间，支撑农业规模化、优质化、特色化、科技化发展，构建“一心、一轴、两区”的农业空间格局。</w:t>
      </w:r>
    </w:p>
    <w:p w14:paraId="31D977DF">
      <w:pPr>
        <w:pStyle w:val="14"/>
        <w:overflowPunct w:val="0"/>
        <w:ind w:firstLine="640"/>
        <w:rPr>
          <w:rFonts w:ascii="Times New Roman" w:hAnsi="Times New Roman" w:eastAsia="仿宋_GB2312"/>
          <w:color w:val="auto"/>
          <w:sz w:val="32"/>
          <w:szCs w:val="28"/>
          <w:highlight w:val="none"/>
        </w:rPr>
      </w:pPr>
      <w:r>
        <w:rPr>
          <w:rFonts w:ascii="Times New Roman" w:hAnsi="Times New Roman" w:eastAsia="仿宋_GB2312"/>
          <w:color w:val="auto"/>
          <w:sz w:val="32"/>
          <w:szCs w:val="28"/>
          <w:highlight w:val="none"/>
        </w:rPr>
        <w:t>“一心”依托于乡政府驻地打造农业服务核心。</w:t>
      </w:r>
    </w:p>
    <w:p w14:paraId="1168CC8E">
      <w:pPr>
        <w:pStyle w:val="14"/>
        <w:overflowPunct w:val="0"/>
        <w:ind w:firstLine="640"/>
        <w:rPr>
          <w:rFonts w:ascii="Times New Roman" w:hAnsi="Times New Roman" w:eastAsia="仿宋_GB2312"/>
          <w:color w:val="auto"/>
          <w:sz w:val="32"/>
          <w:szCs w:val="28"/>
          <w:highlight w:val="none"/>
        </w:rPr>
      </w:pPr>
      <w:r>
        <w:rPr>
          <w:rFonts w:ascii="Times New Roman" w:hAnsi="Times New Roman" w:eastAsia="仿宋_GB2312"/>
          <w:color w:val="auto"/>
          <w:sz w:val="32"/>
          <w:szCs w:val="28"/>
          <w:highlight w:val="none"/>
        </w:rPr>
        <w:t>“一轴”指</w:t>
      </w:r>
      <w:r>
        <w:rPr>
          <w:rFonts w:ascii="Times New Roman" w:hAnsi="Times New Roman" w:eastAsia="仿宋_GB2312"/>
          <w:color w:val="auto"/>
          <w:sz w:val="32"/>
          <w:szCs w:val="28"/>
          <w:highlight w:val="none"/>
          <w:shd w:val="clear" w:color="auto" w:fill="FFFFFF"/>
        </w:rPr>
        <w:t>沿</w:t>
      </w:r>
      <w:r>
        <w:rPr>
          <w:rFonts w:ascii="Times New Roman" w:hAnsi="Times New Roman" w:eastAsia="仿宋_GB2312"/>
          <w:color w:val="auto"/>
          <w:sz w:val="32"/>
          <w:szCs w:val="28"/>
          <w:highlight w:val="none"/>
        </w:rPr>
        <w:t>京抚公路东西向的农业发展</w:t>
      </w:r>
      <w:r>
        <w:rPr>
          <w:rFonts w:ascii="Times New Roman" w:hAnsi="Times New Roman" w:eastAsia="仿宋_GB2312"/>
          <w:color w:val="auto"/>
          <w:sz w:val="32"/>
          <w:szCs w:val="28"/>
          <w:highlight w:val="none"/>
          <w:shd w:val="clear" w:color="auto" w:fill="FFFFFF"/>
        </w:rPr>
        <w:t>轴</w:t>
      </w:r>
      <w:r>
        <w:rPr>
          <w:rFonts w:ascii="Times New Roman" w:hAnsi="Times New Roman" w:eastAsia="仿宋_GB2312"/>
          <w:color w:val="auto"/>
          <w:sz w:val="32"/>
          <w:szCs w:val="28"/>
          <w:highlight w:val="none"/>
        </w:rPr>
        <w:t>。</w:t>
      </w:r>
    </w:p>
    <w:p w14:paraId="33CC24A7">
      <w:pPr>
        <w:pStyle w:val="14"/>
        <w:overflowPunct w:val="0"/>
        <w:ind w:firstLine="640"/>
        <w:rPr>
          <w:rFonts w:ascii="Times New Roman" w:hAnsi="Times New Roman" w:eastAsia="仿宋_GB2312"/>
          <w:color w:val="auto"/>
          <w:sz w:val="32"/>
          <w:szCs w:val="28"/>
          <w:highlight w:val="none"/>
        </w:rPr>
      </w:pPr>
      <w:r>
        <w:rPr>
          <w:rFonts w:ascii="Times New Roman" w:hAnsi="Times New Roman" w:eastAsia="仿宋_GB2312"/>
          <w:color w:val="auto"/>
          <w:sz w:val="32"/>
          <w:szCs w:val="28"/>
          <w:highlight w:val="none"/>
        </w:rPr>
        <w:t>“两区”</w:t>
      </w:r>
      <w:r>
        <w:rPr>
          <w:rFonts w:ascii="Times New Roman" w:hAnsi="Times New Roman" w:eastAsia="仿宋_GB2312"/>
          <w:color w:val="auto"/>
          <w:sz w:val="32"/>
          <w:szCs w:val="28"/>
          <w:highlight w:val="none"/>
          <w:shd w:val="clear" w:color="auto" w:fill="FFFFFF"/>
        </w:rPr>
        <w:t>指</w:t>
      </w:r>
      <w:r>
        <w:rPr>
          <w:rFonts w:ascii="Times New Roman" w:hAnsi="Times New Roman" w:eastAsia="仿宋_GB2312"/>
          <w:color w:val="auto"/>
          <w:sz w:val="32"/>
          <w:szCs w:val="28"/>
          <w:highlight w:val="none"/>
        </w:rPr>
        <w:t>北部滨水生态农业区和南部大地现代农业区。滨水生态农业区位于松花江南岸，水资源丰富，是</w:t>
      </w:r>
      <w:r>
        <w:rPr>
          <w:rFonts w:ascii="Times New Roman" w:hAnsi="Times New Roman" w:eastAsia="仿宋_GB2312"/>
          <w:color w:val="auto"/>
          <w:sz w:val="32"/>
          <w:szCs w:val="28"/>
          <w:highlight w:val="none"/>
          <w:shd w:val="clear" w:color="auto" w:fill="FFFFFF"/>
        </w:rPr>
        <w:t>乡域</w:t>
      </w:r>
      <w:r>
        <w:rPr>
          <w:rFonts w:ascii="Times New Roman" w:hAnsi="Times New Roman" w:eastAsia="仿宋_GB2312"/>
          <w:color w:val="auto"/>
          <w:sz w:val="32"/>
          <w:szCs w:val="28"/>
          <w:highlight w:val="none"/>
        </w:rPr>
        <w:t>水田主要集中耕作区域。大地现代农业区以大面积的平原耕地为基底，通过改善农作物耕作环境，促进规模化、现代化的农业发展，同时鼓励发展特色农作物种植、畜禽规模化养殖产业。区域相互依托成为全乡国土空间开发与开放的主体架构。</w:t>
      </w:r>
    </w:p>
    <w:bookmarkEnd w:id="39"/>
    <w:bookmarkEnd w:id="40"/>
    <w:p w14:paraId="0955CAA6">
      <w:pPr>
        <w:pStyle w:val="4"/>
        <w:tabs>
          <w:tab w:val="clear" w:pos="0"/>
        </w:tabs>
        <w:spacing w:before="217" w:after="217"/>
        <w:rPr>
          <w:rFonts w:cs="Times New Roman"/>
          <w:color w:val="auto"/>
          <w:highlight w:val="none"/>
        </w:rPr>
      </w:pPr>
      <w:r>
        <w:rPr>
          <w:rFonts w:cs="Times New Roman"/>
          <w:color w:val="auto"/>
          <w:highlight w:val="none"/>
        </w:rPr>
        <w:t>严保耕地和落实永久基本农田红线</w:t>
      </w:r>
    </w:p>
    <w:p w14:paraId="4AF4EB71">
      <w:pPr>
        <w:pStyle w:val="55"/>
        <w:spacing w:line="600" w:lineRule="exact"/>
        <w:ind w:firstLine="640"/>
        <w:rPr>
          <w:color w:val="auto"/>
          <w:szCs w:val="36"/>
          <w:highlight w:val="none"/>
          <w:u w:val="single"/>
        </w:rPr>
      </w:pPr>
      <w:bookmarkStart w:id="41" w:name="_Hlk175287152"/>
      <w:r>
        <w:rPr>
          <w:color w:val="auto"/>
          <w:szCs w:val="24"/>
          <w:highlight w:val="none"/>
        </w:rPr>
        <w:t>落实耕地数量、质量、生态“三位一体”保护，</w:t>
      </w:r>
      <w:r>
        <w:rPr>
          <w:color w:val="auto"/>
          <w:szCs w:val="36"/>
          <w:highlight w:val="none"/>
          <w:u w:val="single"/>
        </w:rPr>
        <w:t>落实县级规划确定的耕地和永久基本农田保护界线，以现状稳定耕地为基础，优先将优质耕地划为永久基本农田。</w:t>
      </w:r>
    </w:p>
    <w:bookmarkEnd w:id="41"/>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0"/>
        <w:gridCol w:w="5602"/>
      </w:tblGrid>
      <w:tr w14:paraId="3827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522" w:type="dxa"/>
            <w:gridSpan w:val="2"/>
            <w:vAlign w:val="center"/>
          </w:tcPr>
          <w:p w14:paraId="549255B0">
            <w:pPr>
              <w:widowControl/>
              <w:spacing w:line="240" w:lineRule="auto"/>
              <w:ind w:firstLine="600"/>
              <w:jc w:val="center"/>
              <w:rPr>
                <w:rFonts w:eastAsia="仿宋_GB2312" w:cs="Times New Roman"/>
                <w:color w:val="auto"/>
                <w:kern w:val="0"/>
                <w:sz w:val="24"/>
                <w:highlight w:val="none"/>
              </w:rPr>
            </w:pPr>
            <w:bookmarkStart w:id="42" w:name="_Hlk175290736"/>
            <w:r>
              <w:rPr>
                <w:rFonts w:eastAsia="黑体" w:cs="Times New Roman"/>
                <w:color w:val="auto"/>
                <w:sz w:val="30"/>
                <w:szCs w:val="30"/>
                <w:highlight w:val="none"/>
              </w:rPr>
              <w:t>专栏</w:t>
            </w:r>
            <w:r>
              <w:rPr>
                <w:rFonts w:hint="eastAsia" w:eastAsia="黑体" w:cs="Times New Roman"/>
                <w:color w:val="auto"/>
                <w:sz w:val="30"/>
                <w:szCs w:val="30"/>
                <w:highlight w:val="none"/>
                <w:lang w:val="en-US" w:eastAsia="zh-CN"/>
              </w:rPr>
              <w:t>2</w:t>
            </w:r>
            <w:r>
              <w:rPr>
                <w:rFonts w:eastAsia="黑体" w:cs="Times New Roman"/>
                <w:color w:val="auto"/>
                <w:sz w:val="30"/>
                <w:szCs w:val="30"/>
                <w:highlight w:val="none"/>
              </w:rPr>
              <w:t>：管控原则与保护措施</w:t>
            </w:r>
          </w:p>
        </w:tc>
      </w:tr>
      <w:tr w14:paraId="4230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920" w:type="dxa"/>
            <w:vAlign w:val="center"/>
          </w:tcPr>
          <w:p w14:paraId="759C06AC">
            <w:pPr>
              <w:widowControl/>
              <w:spacing w:line="240" w:lineRule="auto"/>
              <w:ind w:firstLine="480"/>
              <w:jc w:val="center"/>
              <w:rPr>
                <w:rFonts w:eastAsia="仿宋_GB2312" w:cs="Times New Roman"/>
                <w:color w:val="auto"/>
                <w:kern w:val="0"/>
                <w:sz w:val="24"/>
                <w:highlight w:val="none"/>
              </w:rPr>
            </w:pPr>
            <w:r>
              <w:rPr>
                <w:rFonts w:eastAsia="仿宋_GB2312" w:cs="Times New Roman"/>
                <w:color w:val="auto"/>
                <w:kern w:val="0"/>
                <w:sz w:val="24"/>
                <w:highlight w:val="none"/>
              </w:rPr>
              <w:t>管控原则</w:t>
            </w:r>
          </w:p>
        </w:tc>
        <w:tc>
          <w:tcPr>
            <w:tcW w:w="5602" w:type="dxa"/>
            <w:vAlign w:val="center"/>
          </w:tcPr>
          <w:p w14:paraId="740A9F15">
            <w:pPr>
              <w:widowControl/>
              <w:spacing w:line="240" w:lineRule="auto"/>
              <w:ind w:firstLine="480"/>
              <w:jc w:val="center"/>
              <w:rPr>
                <w:rFonts w:eastAsia="仿宋_GB2312" w:cs="Times New Roman"/>
                <w:color w:val="auto"/>
                <w:kern w:val="0"/>
                <w:sz w:val="24"/>
                <w:highlight w:val="none"/>
              </w:rPr>
            </w:pPr>
            <w:r>
              <w:rPr>
                <w:rFonts w:eastAsia="仿宋_GB2312" w:cs="Times New Roman"/>
                <w:color w:val="auto"/>
                <w:kern w:val="0"/>
                <w:sz w:val="24"/>
                <w:highlight w:val="none"/>
              </w:rPr>
              <w:t>保护措施</w:t>
            </w:r>
          </w:p>
        </w:tc>
      </w:tr>
      <w:tr w14:paraId="46BA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0" w:type="dxa"/>
            <w:vAlign w:val="center"/>
          </w:tcPr>
          <w:p w14:paraId="4BE2C522">
            <w:pPr>
              <w:widowControl/>
              <w:spacing w:line="240" w:lineRule="auto"/>
              <w:ind w:firstLine="480"/>
              <w:rPr>
                <w:rFonts w:eastAsia="仿宋_GB2312" w:cs="Times New Roman"/>
                <w:color w:val="auto"/>
                <w:kern w:val="0"/>
                <w:sz w:val="24"/>
                <w:highlight w:val="none"/>
              </w:rPr>
            </w:pPr>
            <w:r>
              <w:rPr>
                <w:rFonts w:eastAsia="仿宋_GB2312" w:cs="Times New Roman"/>
                <w:color w:val="auto"/>
                <w:kern w:val="0"/>
                <w:sz w:val="24"/>
                <w:highlight w:val="none"/>
              </w:rPr>
              <w:t>从严管控非农建设占用永久基本农田，永久基本农田一经划定，任何单位和个人不得擅自占用或者擅自改变用途，严禁通过擅自调整规划规避占用永久基本农田的审批，严禁未经审批违法违规占用。</w:t>
            </w:r>
          </w:p>
          <w:p w14:paraId="0EAC3640">
            <w:pPr>
              <w:widowControl/>
              <w:spacing w:line="240" w:lineRule="auto"/>
              <w:ind w:firstLine="480"/>
              <w:rPr>
                <w:rFonts w:eastAsia="仿宋_GB2312" w:cs="Times New Roman"/>
                <w:color w:val="auto"/>
                <w:kern w:val="0"/>
                <w:sz w:val="24"/>
                <w:highlight w:val="none"/>
              </w:rPr>
            </w:pPr>
          </w:p>
        </w:tc>
        <w:tc>
          <w:tcPr>
            <w:tcW w:w="5602" w:type="dxa"/>
            <w:vAlign w:val="center"/>
          </w:tcPr>
          <w:p w14:paraId="5E62C993">
            <w:pPr>
              <w:widowControl/>
              <w:spacing w:line="240" w:lineRule="auto"/>
              <w:ind w:firstLine="480"/>
              <w:rPr>
                <w:rFonts w:eastAsia="仿宋_GB2312" w:cs="Times New Roman"/>
                <w:color w:val="auto"/>
                <w:kern w:val="0"/>
                <w:sz w:val="24"/>
                <w:highlight w:val="none"/>
              </w:rPr>
            </w:pPr>
            <w:r>
              <w:rPr>
                <w:rFonts w:eastAsia="仿宋_GB2312" w:cs="Times New Roman"/>
                <w:color w:val="auto"/>
                <w:kern w:val="0"/>
                <w:sz w:val="24"/>
                <w:highlight w:val="none"/>
              </w:rPr>
              <w:t>坚决防止永久基本农田“非农化”，永久基本农田必须坚持农地农用，禁止破坏永久基本农田活动，禁止占用永久基本农田植树造林，禁止闲置、撂荒永久基本农田，禁止以设施农用地为名乱占永久基本农田，合理引导利用永久基本农田进行农业结构调整，规范临时用地、设施农用地占用永久基本农田管理。坚决禁止永久基本农田、高标准农田“非粮化”，分类明确耕地用途，严格落实耕地利用优先序，耕地主要用于粮食和棉、油、糖、蔬菜等农产品及饲草饲料生产，永久基本农田重点用于粮食生产，高标准农田原则上全部用于粮食生产。引导新发展林果业上山上坡，鼓励利用“四荒”资源，不与粮争地。</w:t>
            </w:r>
          </w:p>
        </w:tc>
      </w:tr>
      <w:bookmarkEnd w:id="42"/>
    </w:tbl>
    <w:p w14:paraId="439C7721">
      <w:pPr>
        <w:pStyle w:val="4"/>
        <w:tabs>
          <w:tab w:val="clear" w:pos="0"/>
        </w:tabs>
        <w:spacing w:before="217" w:after="217"/>
        <w:rPr>
          <w:rFonts w:cs="Times New Roman"/>
          <w:color w:val="auto"/>
          <w:highlight w:val="none"/>
        </w:rPr>
      </w:pPr>
      <w:r>
        <w:rPr>
          <w:rFonts w:cs="Times New Roman"/>
          <w:color w:val="auto"/>
          <w:highlight w:val="none"/>
        </w:rPr>
        <w:t>推进黑土耕地保护利用</w:t>
      </w:r>
    </w:p>
    <w:p w14:paraId="0A954C63">
      <w:pPr>
        <w:pStyle w:val="55"/>
        <w:spacing w:line="600" w:lineRule="exact"/>
        <w:ind w:firstLine="640"/>
        <w:rPr>
          <w:color w:val="auto"/>
          <w:szCs w:val="36"/>
          <w:highlight w:val="none"/>
        </w:rPr>
      </w:pPr>
      <w:bookmarkStart w:id="43" w:name="_Hlk175287317"/>
      <w:r>
        <w:rPr>
          <w:color w:val="auto"/>
          <w:szCs w:val="36"/>
          <w:highlight w:val="none"/>
        </w:rPr>
        <w:t>黑土地是黑龙江省的特色资源之一，将黑土耕地所在区域的优质农田划入永久基本农田保护区和粮食生产功能区等重点区域，提高黑土耕地保护和建设力度。采取工程、生物和耕作措施相结合，治理黑土区水土流失。</w:t>
      </w:r>
    </w:p>
    <w:p w14:paraId="4D60748F">
      <w:pPr>
        <w:pStyle w:val="55"/>
        <w:spacing w:line="600" w:lineRule="exact"/>
        <w:ind w:firstLine="640"/>
        <w:rPr>
          <w:color w:val="auto"/>
          <w:szCs w:val="36"/>
          <w:highlight w:val="none"/>
        </w:rPr>
      </w:pPr>
      <w:r>
        <w:rPr>
          <w:color w:val="auto"/>
          <w:szCs w:val="36"/>
          <w:highlight w:val="none"/>
        </w:rPr>
        <w:t>完善土地调查监测体系和耕地质量监测网络，建立卫星遥感+耕地质量检测物联网+土壤取样化验等技术组合应用模式，对耕地蓄水保墒、有机质含量、土壤侵蚀、土壤生物性状和稳产高产能力等耕地质量指标进行实时监测。充分挖掘黑土耕地潜力，支持黑土表土剥离再利用计划，推进黑土区土地复垦工程，规范引导耕地后备资源适度生态化开发利用，鼓励开展黑土地生态修复和综合治理。</w:t>
      </w:r>
    </w:p>
    <w:bookmarkEnd w:id="43"/>
    <w:p w14:paraId="539E42CB">
      <w:pPr>
        <w:pStyle w:val="4"/>
        <w:tabs>
          <w:tab w:val="clear" w:pos="0"/>
        </w:tabs>
        <w:spacing w:before="217" w:after="217"/>
        <w:rPr>
          <w:rFonts w:cs="Times New Roman"/>
          <w:color w:val="auto"/>
          <w:highlight w:val="none"/>
        </w:rPr>
      </w:pPr>
      <w:r>
        <w:rPr>
          <w:rFonts w:cs="Times New Roman"/>
          <w:color w:val="auto"/>
          <w:highlight w:val="none"/>
        </w:rPr>
        <w:t>拓展农产品生产空间</w:t>
      </w:r>
    </w:p>
    <w:p w14:paraId="685FE3A4">
      <w:pPr>
        <w:pStyle w:val="14"/>
        <w:overflowPunct w:val="0"/>
        <w:ind w:firstLine="640"/>
        <w:rPr>
          <w:rFonts w:ascii="Times New Roman" w:hAnsi="Times New Roman" w:eastAsia="仿宋_GB2312"/>
          <w:color w:val="auto"/>
          <w:sz w:val="32"/>
          <w:szCs w:val="32"/>
          <w:highlight w:val="none"/>
        </w:rPr>
      </w:pPr>
      <w:bookmarkStart w:id="44" w:name="_Hlk175288494"/>
      <w:r>
        <w:rPr>
          <w:rFonts w:ascii="Times New Roman" w:hAnsi="Times New Roman" w:eastAsia="仿宋_GB2312"/>
          <w:color w:val="auto"/>
          <w:sz w:val="32"/>
          <w:szCs w:val="32"/>
          <w:highlight w:val="none"/>
        </w:rPr>
        <w:t>种植空间。加快推进粮食产能建设，稳定发展现有种植结构，坚持稳定面积、调整结构和提高单产并重。推进特色种植向规模化、集约化、标准化方向发展。同时做好生态退耕工作，积极落实粮食生产功能区和重要农产品生产保护区的高标准农田建设工作。</w:t>
      </w:r>
    </w:p>
    <w:p w14:paraId="2143B8F1">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养殖空间。以“优供给、强安全、保生态”为目标，以集约化、规模化、标准化养殖为方向，稳步提升畜牧业综合生产能力。逐渐发展壮大生猪、肉牛、家禽等养殖，进一步优化畜禽品种结构，构建协同发展、相互促进的畜牧产业格局。</w:t>
      </w:r>
      <w:bookmarkStart w:id="45" w:name="_Toc81291240"/>
      <w:bookmarkStart w:id="46" w:name="_Toc89871132"/>
      <w:bookmarkStart w:id="47" w:name="_Toc73522742"/>
    </w:p>
    <w:p w14:paraId="49380265">
      <w:pPr>
        <w:pStyle w:val="55"/>
        <w:ind w:firstLine="640"/>
        <w:rPr>
          <w:color w:val="auto"/>
          <w:szCs w:val="36"/>
          <w:highlight w:val="none"/>
        </w:rPr>
      </w:pPr>
      <w:r>
        <w:rPr>
          <w:color w:val="auto"/>
          <w:szCs w:val="36"/>
          <w:highlight w:val="none"/>
        </w:rPr>
        <w:t>特色农业空间</w:t>
      </w:r>
      <w:bookmarkEnd w:id="45"/>
      <w:bookmarkEnd w:id="46"/>
      <w:bookmarkEnd w:id="47"/>
      <w:r>
        <w:rPr>
          <w:color w:val="auto"/>
          <w:szCs w:val="36"/>
          <w:highlight w:val="none"/>
        </w:rPr>
        <w:t>。坚持用工业化理念发展农业，围绕鲜食玉米、南瓜、马铃薯等高值高效经济作物种植带动庭院经济种植。</w:t>
      </w:r>
    </w:p>
    <w:bookmarkEnd w:id="44"/>
    <w:p w14:paraId="5847E789">
      <w:pPr>
        <w:pStyle w:val="3"/>
        <w:numPr>
          <w:ilvl w:val="0"/>
          <w:numId w:val="16"/>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48" w:name="_Toc141538967"/>
      <w:bookmarkStart w:id="49" w:name="_Toc21154"/>
      <w:bookmarkStart w:id="50" w:name="_Toc30119"/>
      <w:bookmarkStart w:id="51" w:name="_Toc15303"/>
      <w:r>
        <w:rPr>
          <w:rFonts w:ascii="Times New Roman" w:hAnsi="Times New Roman" w:cs="Times New Roman"/>
          <w:color w:val="auto"/>
          <w:szCs w:val="32"/>
          <w:highlight w:val="none"/>
        </w:rPr>
        <w:t>构建生态安全格局</w:t>
      </w:r>
      <w:bookmarkEnd w:id="48"/>
      <w:bookmarkEnd w:id="49"/>
      <w:bookmarkEnd w:id="50"/>
    </w:p>
    <w:p w14:paraId="42B54787">
      <w:pPr>
        <w:pStyle w:val="4"/>
        <w:tabs>
          <w:tab w:val="clear" w:pos="0"/>
        </w:tabs>
        <w:spacing w:before="217" w:after="217"/>
        <w:rPr>
          <w:rFonts w:cs="Times New Roman"/>
          <w:color w:val="auto"/>
          <w:highlight w:val="none"/>
        </w:rPr>
      </w:pPr>
      <w:r>
        <w:rPr>
          <w:rFonts w:cs="Times New Roman"/>
          <w:color w:val="auto"/>
          <w:highlight w:val="none"/>
        </w:rPr>
        <w:t>生态空间格局</w:t>
      </w:r>
    </w:p>
    <w:p w14:paraId="08AA1082">
      <w:pPr>
        <w:ind w:firstLine="640"/>
        <w:rPr>
          <w:rFonts w:eastAsia="仿宋_GB2312" w:cs="Times New Roman"/>
          <w:color w:val="auto"/>
          <w:sz w:val="32"/>
          <w:szCs w:val="32"/>
          <w:highlight w:val="none"/>
        </w:rPr>
      </w:pPr>
      <w:bookmarkStart w:id="52" w:name="_Hlk175290060"/>
      <w:r>
        <w:rPr>
          <w:rFonts w:eastAsia="仿宋_GB2312" w:cs="Times New Roman"/>
          <w:color w:val="auto"/>
          <w:sz w:val="32"/>
          <w:szCs w:val="32"/>
          <w:highlight w:val="none"/>
        </w:rPr>
        <w:t>落实桦川县“一心、一廊、三带”的生态安全格局要求，筑牢</w:t>
      </w:r>
      <w:r>
        <w:rPr>
          <w:rFonts w:eastAsia="仿宋_GB2312" w:cs="Times New Roman"/>
          <w:bCs/>
          <w:color w:val="auto"/>
          <w:sz w:val="32"/>
          <w:szCs w:val="32"/>
          <w:highlight w:val="none"/>
        </w:rPr>
        <w:t>北部松花江湿地保护区</w:t>
      </w:r>
      <w:r>
        <w:rPr>
          <w:rFonts w:eastAsia="仿宋_GB2312" w:cs="Times New Roman"/>
          <w:color w:val="auto"/>
          <w:sz w:val="32"/>
          <w:szCs w:val="32"/>
          <w:highlight w:val="none"/>
        </w:rPr>
        <w:t>。东河乡构建“一屏一带”的生态系统保护格局，维持生态系统功能稳定的基底，提升全域</w:t>
      </w:r>
      <w:r>
        <w:rPr>
          <w:rFonts w:hint="eastAsia" w:eastAsia="仿宋_GB2312" w:cs="Times New Roman"/>
          <w:color w:val="auto"/>
          <w:sz w:val="32"/>
          <w:szCs w:val="32"/>
          <w:highlight w:val="none"/>
        </w:rPr>
        <w:t>生态系统碳汇能力</w:t>
      </w:r>
      <w:r>
        <w:rPr>
          <w:rFonts w:eastAsia="仿宋_GB2312" w:cs="Times New Roman"/>
          <w:color w:val="auto"/>
          <w:sz w:val="32"/>
          <w:szCs w:val="32"/>
          <w:highlight w:val="none"/>
        </w:rPr>
        <w:t>。</w:t>
      </w:r>
    </w:p>
    <w:p w14:paraId="063CD837">
      <w:pPr>
        <w:pStyle w:val="49"/>
        <w:ind w:firstLine="640"/>
        <w:rPr>
          <w:rFonts w:eastAsia="仿宋_GB2312" w:cs="Times New Roman"/>
          <w:bCs/>
          <w:color w:val="auto"/>
          <w:sz w:val="32"/>
          <w:szCs w:val="32"/>
          <w:highlight w:val="none"/>
        </w:rPr>
      </w:pPr>
      <w:r>
        <w:rPr>
          <w:rFonts w:eastAsia="仿宋_GB2312" w:cs="Times New Roman"/>
          <w:color w:val="auto"/>
          <w:sz w:val="32"/>
          <w:szCs w:val="32"/>
          <w:highlight w:val="none"/>
        </w:rPr>
        <w:t>一屏：</w:t>
      </w:r>
      <w:r>
        <w:rPr>
          <w:rFonts w:eastAsia="仿宋_GB2312" w:cs="Times New Roman"/>
          <w:color w:val="auto"/>
          <w:sz w:val="32"/>
          <w:szCs w:val="32"/>
          <w:highlight w:val="none"/>
          <w:shd w:val="clear" w:color="auto" w:fill="FFFFFF"/>
        </w:rPr>
        <w:t>指</w:t>
      </w:r>
      <w:r>
        <w:rPr>
          <w:rFonts w:eastAsia="仿宋_GB2312" w:cs="Times New Roman"/>
          <w:color w:val="auto"/>
          <w:sz w:val="32"/>
          <w:szCs w:val="32"/>
          <w:highlight w:val="none"/>
        </w:rPr>
        <w:t>穿过东河乡</w:t>
      </w:r>
      <w:r>
        <w:rPr>
          <w:rFonts w:eastAsia="仿宋_GB2312" w:cs="Times New Roman"/>
          <w:bCs/>
          <w:color w:val="auto"/>
          <w:sz w:val="32"/>
          <w:szCs w:val="32"/>
          <w:highlight w:val="none"/>
        </w:rPr>
        <w:t>北部松花江湿地保护区生态屏障</w:t>
      </w:r>
      <w:r>
        <w:rPr>
          <w:rFonts w:eastAsia="仿宋_GB2312" w:cs="Times New Roman"/>
          <w:color w:val="auto"/>
          <w:sz w:val="32"/>
          <w:szCs w:val="32"/>
          <w:highlight w:val="none"/>
        </w:rPr>
        <w:t>。规划应发挥湿地的</w:t>
      </w:r>
      <w:r>
        <w:rPr>
          <w:rFonts w:eastAsia="仿宋_GB2312" w:cs="Times New Roman"/>
          <w:bCs/>
          <w:color w:val="auto"/>
          <w:sz w:val="32"/>
          <w:szCs w:val="32"/>
          <w:highlight w:val="none"/>
        </w:rPr>
        <w:t>生态作用，保护湿地内丰富的自然和物种资源，保持良好的生态环境。</w:t>
      </w:r>
    </w:p>
    <w:p w14:paraId="48E9FB31">
      <w:pPr>
        <w:pStyle w:val="49"/>
        <w:ind w:firstLine="640"/>
        <w:rPr>
          <w:rFonts w:eastAsia="仿宋_GB2312" w:cs="Times New Roman"/>
          <w:bCs/>
          <w:color w:val="auto"/>
          <w:sz w:val="32"/>
          <w:szCs w:val="32"/>
          <w:highlight w:val="none"/>
        </w:rPr>
      </w:pPr>
      <w:r>
        <w:rPr>
          <w:rFonts w:eastAsia="仿宋_GB2312" w:cs="Times New Roman"/>
          <w:color w:val="auto"/>
          <w:sz w:val="32"/>
          <w:szCs w:val="32"/>
          <w:highlight w:val="none"/>
        </w:rPr>
        <w:t>一带：指沿国道G102形成的道路生态绿带。</w:t>
      </w:r>
      <w:bookmarkEnd w:id="52"/>
      <w:r>
        <w:rPr>
          <w:rFonts w:eastAsia="仿宋_GB2312" w:cs="Times New Roman"/>
          <w:color w:val="auto"/>
          <w:sz w:val="32"/>
          <w:szCs w:val="32"/>
          <w:highlight w:val="none"/>
        </w:rPr>
        <w:t>按规定种植维护防护林，</w:t>
      </w:r>
      <w:r>
        <w:rPr>
          <w:rFonts w:eastAsia="仿宋_GB2312" w:cs="Times New Roman"/>
          <w:bCs/>
          <w:color w:val="auto"/>
          <w:sz w:val="32"/>
          <w:szCs w:val="32"/>
          <w:highlight w:val="none"/>
        </w:rPr>
        <w:t>发挥廊道的增绿、通风等作用。</w:t>
      </w:r>
    </w:p>
    <w:p w14:paraId="43838371">
      <w:pPr>
        <w:pStyle w:val="4"/>
        <w:tabs>
          <w:tab w:val="clear" w:pos="0"/>
        </w:tabs>
        <w:spacing w:before="217" w:after="217"/>
        <w:rPr>
          <w:rFonts w:cs="Times New Roman"/>
          <w:color w:val="auto"/>
          <w:highlight w:val="none"/>
        </w:rPr>
      </w:pPr>
      <w:r>
        <w:rPr>
          <w:rFonts w:cs="Times New Roman"/>
          <w:color w:val="auto"/>
          <w:highlight w:val="none"/>
        </w:rPr>
        <w:t>自然保护地空间和保护要求</w:t>
      </w:r>
    </w:p>
    <w:p w14:paraId="1CB9ECDC">
      <w:pPr>
        <w:widowControl/>
        <w:ind w:firstLine="640"/>
        <w:jc w:val="left"/>
        <w:rPr>
          <w:rFonts w:eastAsia="仿宋_GB2312" w:cs="Times New Roman"/>
          <w:bCs/>
          <w:color w:val="auto"/>
          <w:sz w:val="32"/>
          <w:szCs w:val="32"/>
          <w:highlight w:val="none"/>
        </w:rPr>
      </w:pPr>
      <w:r>
        <w:rPr>
          <w:rFonts w:eastAsia="仿宋_GB2312" w:cs="Times New Roman"/>
          <w:bCs/>
          <w:color w:val="auto"/>
          <w:sz w:val="32"/>
          <w:szCs w:val="32"/>
          <w:highlight w:val="none"/>
        </w:rPr>
        <w:t>1.自然保护地分布</w:t>
      </w:r>
    </w:p>
    <w:p w14:paraId="18CEE199">
      <w:pPr>
        <w:widowControl/>
        <w:ind w:firstLine="640"/>
        <w:rPr>
          <w:rFonts w:cs="Times New Roman"/>
          <w:color w:val="auto"/>
          <w:highlight w:val="none"/>
        </w:rPr>
      </w:pPr>
      <w:r>
        <w:rPr>
          <w:rFonts w:eastAsia="仿宋_GB2312" w:cs="Times New Roman"/>
          <w:bCs/>
          <w:color w:val="auto"/>
          <w:sz w:val="32"/>
          <w:szCs w:val="32"/>
          <w:highlight w:val="none"/>
          <w:u w:val="single"/>
        </w:rPr>
        <w:t>黑龙江桦川湿地省级自然保护区部分位于</w:t>
      </w:r>
      <w:r>
        <w:rPr>
          <w:rFonts w:hint="eastAsia" w:eastAsia="仿宋_GB2312" w:cs="Times New Roman"/>
          <w:bCs/>
          <w:color w:val="auto"/>
          <w:sz w:val="32"/>
          <w:szCs w:val="32"/>
          <w:highlight w:val="none"/>
          <w:u w:val="single"/>
        </w:rPr>
        <w:t>东河乡乡域</w:t>
      </w:r>
      <w:r>
        <w:rPr>
          <w:rFonts w:eastAsia="仿宋_GB2312" w:cs="Times New Roman"/>
          <w:bCs/>
          <w:color w:val="auto"/>
          <w:sz w:val="32"/>
          <w:szCs w:val="32"/>
          <w:highlight w:val="none"/>
          <w:u w:val="single"/>
        </w:rPr>
        <w:t>北部，松花江南岸</w:t>
      </w:r>
      <w:r>
        <w:rPr>
          <w:rFonts w:eastAsia="仿宋_GB2312" w:cs="Times New Roman"/>
          <w:color w:val="auto"/>
          <w:kern w:val="0"/>
          <w:sz w:val="31"/>
          <w:szCs w:val="31"/>
          <w:highlight w:val="none"/>
          <w:u w:val="single"/>
        </w:rPr>
        <w:t>，全部纳入生态保护红线。</w:t>
      </w:r>
    </w:p>
    <w:p w14:paraId="6FE291F9">
      <w:pPr>
        <w:pStyle w:val="49"/>
        <w:ind w:firstLine="640"/>
        <w:rPr>
          <w:rFonts w:eastAsia="仿宋_GB2312" w:cs="Times New Roman"/>
          <w:bCs/>
          <w:color w:val="auto"/>
          <w:sz w:val="32"/>
          <w:szCs w:val="32"/>
          <w:highlight w:val="none"/>
        </w:rPr>
      </w:pPr>
      <w:r>
        <w:rPr>
          <w:rFonts w:eastAsia="仿宋_GB2312" w:cs="Times New Roman"/>
          <w:bCs/>
          <w:color w:val="auto"/>
          <w:sz w:val="32"/>
          <w:szCs w:val="32"/>
          <w:highlight w:val="none"/>
        </w:rPr>
        <w:t>2.自然保护地管理要求</w:t>
      </w:r>
    </w:p>
    <w:p w14:paraId="0401F7D1">
      <w:pPr>
        <w:pStyle w:val="49"/>
        <w:ind w:firstLine="640"/>
        <w:rPr>
          <w:rFonts w:eastAsia="仿宋_GB2312" w:cs="Times New Roman"/>
          <w:bCs/>
          <w:color w:val="auto"/>
          <w:sz w:val="32"/>
          <w:szCs w:val="32"/>
          <w:highlight w:val="none"/>
        </w:rPr>
      </w:pPr>
      <w:r>
        <w:rPr>
          <w:rFonts w:eastAsia="仿宋_GB2312" w:cs="Times New Roman"/>
          <w:bCs/>
          <w:color w:val="auto"/>
          <w:sz w:val="32"/>
          <w:szCs w:val="32"/>
          <w:highlight w:val="none"/>
        </w:rPr>
        <w:t xml:space="preserve">自然保护区原则上核心保护区内禁止人为活动，一般控制区内限制人为活动。根据主体功能区与保护需要，依法依规对自然保护地内的耕地实施退田还林还草还湖还湿。 </w:t>
      </w:r>
    </w:p>
    <w:p w14:paraId="0C3A5752">
      <w:pPr>
        <w:pStyle w:val="4"/>
        <w:tabs>
          <w:tab w:val="clear" w:pos="0"/>
        </w:tabs>
        <w:spacing w:before="217" w:after="217"/>
        <w:rPr>
          <w:rFonts w:cs="Times New Roman"/>
          <w:color w:val="auto"/>
          <w:highlight w:val="none"/>
        </w:rPr>
      </w:pPr>
      <w:r>
        <w:rPr>
          <w:rFonts w:cs="Times New Roman"/>
          <w:color w:val="auto"/>
          <w:highlight w:val="none"/>
        </w:rPr>
        <w:t>水资源保护与利用</w:t>
      </w:r>
    </w:p>
    <w:p w14:paraId="11DE8D66">
      <w:pPr>
        <w:pStyle w:val="14"/>
        <w:overflowPunct w:val="0"/>
        <w:ind w:firstLine="640"/>
        <w:rPr>
          <w:rFonts w:ascii="Times New Roman" w:hAnsi="Times New Roman" w:eastAsia="仿宋_GB2312"/>
          <w:color w:val="auto"/>
          <w:sz w:val="32"/>
          <w:highlight w:val="none"/>
        </w:rPr>
      </w:pPr>
      <w:bookmarkStart w:id="53" w:name="_Hlk175290147"/>
      <w:r>
        <w:rPr>
          <w:rFonts w:ascii="Times New Roman" w:hAnsi="Times New Roman" w:eastAsia="仿宋_GB2312"/>
          <w:color w:val="auto"/>
          <w:sz w:val="32"/>
          <w:highlight w:val="none"/>
        </w:rPr>
        <w:t>坚持以水定城、以水定地、以水定人、以水定产的总体思路，实施最严格的水资源管理制度，严格用水总量、用水效率、水功能限制纳污三条红线，落实水资源消耗总量与强度双控，坚决抑制不合理用水需求。至2035年，完成上级下达任务，严格控制全域用水总量。</w:t>
      </w:r>
    </w:p>
    <w:p w14:paraId="3DCEF85F">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highlight w:val="none"/>
        </w:rPr>
        <w:t>保障水源地安全。划定并严格保护乡镇级集中式饮用水水源</w:t>
      </w:r>
      <w:r>
        <w:rPr>
          <w:rFonts w:ascii="Times New Roman" w:hAnsi="Times New Roman" w:eastAsia="仿宋_GB2312"/>
          <w:color w:val="auto"/>
          <w:sz w:val="32"/>
          <w:szCs w:val="32"/>
          <w:highlight w:val="none"/>
        </w:rPr>
        <w:t>保护区。至2035年，全域集中式饮用水水源水质达到或优于</w:t>
      </w:r>
      <w:r>
        <w:rPr>
          <w:rFonts w:hint="eastAsia" w:ascii="Times New Roman" w:hAnsi="Times New Roman" w:eastAsia="仿宋_GB2312"/>
          <w:color w:val="auto"/>
          <w:sz w:val="32"/>
          <w:szCs w:val="32"/>
          <w:highlight w:val="none"/>
          <w:shd w:val="clear" w:color="auto" w:fill="FFFFFF"/>
        </w:rPr>
        <w:t>Ⅲ</w:t>
      </w:r>
      <w:r>
        <w:rPr>
          <w:rFonts w:ascii="Times New Roman" w:hAnsi="Times New Roman" w:eastAsia="仿宋_GB2312"/>
          <w:color w:val="auto"/>
          <w:sz w:val="32"/>
          <w:szCs w:val="32"/>
          <w:highlight w:val="none"/>
        </w:rPr>
        <w:t>类比例达到100%。</w:t>
      </w:r>
    </w:p>
    <w:p w14:paraId="76E08AB9">
      <w:pPr>
        <w:pStyle w:val="4"/>
        <w:tabs>
          <w:tab w:val="clear" w:pos="0"/>
        </w:tabs>
        <w:spacing w:before="217" w:after="217"/>
        <w:rPr>
          <w:rFonts w:cs="Times New Roman"/>
          <w:color w:val="auto"/>
          <w:highlight w:val="none"/>
        </w:rPr>
      </w:pPr>
      <w:r>
        <w:rPr>
          <w:rFonts w:cs="Times New Roman"/>
          <w:color w:val="auto"/>
          <w:highlight w:val="none"/>
        </w:rPr>
        <w:t>湿地资源保护与利用</w:t>
      </w:r>
    </w:p>
    <w:p w14:paraId="388910DA">
      <w:pPr>
        <w:pStyle w:val="49"/>
        <w:ind w:firstLine="640"/>
        <w:rPr>
          <w:rFonts w:eastAsia="仿宋_GB2312" w:cs="Times New Roman"/>
          <w:color w:val="auto"/>
          <w:kern w:val="0"/>
          <w:sz w:val="30"/>
          <w:szCs w:val="30"/>
          <w:highlight w:val="none"/>
        </w:rPr>
      </w:pPr>
      <w:r>
        <w:rPr>
          <w:rFonts w:eastAsia="仿宋_GB2312" w:cs="Times New Roman"/>
          <w:color w:val="auto"/>
          <w:sz w:val="32"/>
          <w:szCs w:val="32"/>
          <w:highlight w:val="none"/>
        </w:rPr>
        <w:t>严格实施湿地总量控制。落实县级湿地生态保护红线，统筹协调湿地保护与利用，严格落实湿地</w:t>
      </w:r>
      <w:r>
        <w:rPr>
          <w:rFonts w:eastAsia="仿宋_GB2312" w:cs="Times New Roman"/>
          <w:color w:val="auto"/>
          <w:sz w:val="32"/>
          <w:szCs w:val="32"/>
          <w:highlight w:val="none"/>
          <w:shd w:val="clear" w:color="auto" w:fill="FFFFFF"/>
        </w:rPr>
        <w:t>占补</w:t>
      </w:r>
      <w:r>
        <w:rPr>
          <w:rFonts w:eastAsia="仿宋_GB2312" w:cs="Times New Roman"/>
          <w:color w:val="auto"/>
          <w:sz w:val="32"/>
          <w:szCs w:val="32"/>
          <w:highlight w:val="none"/>
        </w:rPr>
        <w:t>方案和负面清单管理，禁止擅自征收、占用重要湿地以及自然湿地等水源涵养空间，已侵占的限期予以恢复，禁止</w:t>
      </w:r>
      <w:r>
        <w:rPr>
          <w:rFonts w:eastAsia="仿宋_GB2312" w:cs="Times New Roman"/>
          <w:color w:val="auto"/>
          <w:sz w:val="32"/>
          <w:szCs w:val="32"/>
          <w:highlight w:val="none"/>
          <w:shd w:val="clear" w:color="auto" w:fill="FFFFFF"/>
        </w:rPr>
        <w:t>开</w:t>
      </w:r>
      <w:r>
        <w:rPr>
          <w:rFonts w:eastAsia="仿宋_GB2312" w:cs="Times New Roman"/>
          <w:color w:val="auto"/>
          <w:sz w:val="32"/>
          <w:szCs w:val="32"/>
          <w:highlight w:val="none"/>
        </w:rPr>
        <w:t>（围）垦、填埋、排干湿地，永久性截断湿地水源，</w:t>
      </w:r>
      <w:r>
        <w:rPr>
          <w:rFonts w:eastAsia="仿宋_GB2312" w:cs="Times New Roman"/>
          <w:color w:val="auto"/>
          <w:sz w:val="32"/>
          <w:szCs w:val="32"/>
          <w:highlight w:val="none"/>
          <w:shd w:val="clear" w:color="auto" w:fill="FFFFFF"/>
        </w:rPr>
        <w:t>向</w:t>
      </w:r>
      <w:r>
        <w:rPr>
          <w:rFonts w:eastAsia="仿宋_GB2312" w:cs="Times New Roman"/>
          <w:color w:val="auto"/>
          <w:sz w:val="32"/>
          <w:szCs w:val="32"/>
          <w:highlight w:val="none"/>
        </w:rPr>
        <w:t>湿地超标排放污染物等破坏湿地行为。</w:t>
      </w:r>
    </w:p>
    <w:bookmarkEnd w:id="53"/>
    <w:p w14:paraId="26B94D15">
      <w:pPr>
        <w:pStyle w:val="4"/>
        <w:tabs>
          <w:tab w:val="clear" w:pos="0"/>
        </w:tabs>
        <w:spacing w:before="217" w:after="217"/>
        <w:rPr>
          <w:rFonts w:cs="Times New Roman"/>
          <w:color w:val="auto"/>
          <w:highlight w:val="none"/>
        </w:rPr>
      </w:pPr>
      <w:r>
        <w:rPr>
          <w:rFonts w:cs="Times New Roman"/>
          <w:color w:val="auto"/>
          <w:highlight w:val="none"/>
        </w:rPr>
        <w:t>森林资源保护与利用</w:t>
      </w:r>
    </w:p>
    <w:p w14:paraId="6B7C92BA">
      <w:pPr>
        <w:pStyle w:val="14"/>
        <w:overflowPunct w:val="0"/>
        <w:ind w:firstLine="640"/>
        <w:rPr>
          <w:rFonts w:ascii="Times New Roman" w:hAnsi="Times New Roman" w:eastAsia="仿宋_GB2312"/>
          <w:color w:val="auto"/>
          <w:sz w:val="32"/>
          <w:highlight w:val="none"/>
        </w:rPr>
      </w:pPr>
      <w:bookmarkStart w:id="54" w:name="_Hlk175290328"/>
      <w:r>
        <w:rPr>
          <w:rFonts w:ascii="Times New Roman" w:hAnsi="Times New Roman" w:eastAsia="仿宋_GB2312"/>
          <w:color w:val="auto"/>
          <w:sz w:val="32"/>
          <w:highlight w:val="none"/>
        </w:rPr>
        <w:t>严格控制林地转为建设用地，加强乡</w:t>
      </w:r>
      <w:r>
        <w:rPr>
          <w:rFonts w:ascii="Times New Roman" w:hAnsi="Times New Roman" w:eastAsia="仿宋_GB2312"/>
          <w:color w:val="auto"/>
          <w:sz w:val="32"/>
          <w:highlight w:val="none"/>
          <w:shd w:val="clear" w:color="auto" w:fill="FFFFFF"/>
        </w:rPr>
        <w:t>域</w:t>
      </w:r>
      <w:r>
        <w:rPr>
          <w:rFonts w:ascii="Times New Roman" w:hAnsi="Times New Roman" w:eastAsia="仿宋_GB2312"/>
          <w:color w:val="auto"/>
          <w:sz w:val="32"/>
          <w:highlight w:val="none"/>
        </w:rPr>
        <w:t>林业资源管理，禁止毁林开垦。规划期内稳步推进提升林地面积，落实县级造林绿化目标。</w:t>
      </w:r>
    </w:p>
    <w:p w14:paraId="0D403D61">
      <w:pPr>
        <w:pStyle w:val="14"/>
        <w:overflowPunct w:val="0"/>
        <w:ind w:firstLine="640"/>
        <w:rPr>
          <w:rFonts w:ascii="Times New Roman" w:hAnsi="Times New Roman" w:eastAsia="仿宋_GB2312"/>
          <w:color w:val="auto"/>
          <w:sz w:val="32"/>
          <w:highlight w:val="none"/>
        </w:rPr>
      </w:pPr>
      <w:r>
        <w:rPr>
          <w:rFonts w:ascii="Times New Roman" w:hAnsi="Times New Roman" w:eastAsia="仿宋_GB2312"/>
          <w:color w:val="auto"/>
          <w:sz w:val="32"/>
          <w:szCs w:val="32"/>
          <w:highlight w:val="none"/>
        </w:rPr>
        <w:t>加强森林资源管护。</w:t>
      </w:r>
      <w:r>
        <w:rPr>
          <w:rFonts w:ascii="Times New Roman" w:hAnsi="Times New Roman" w:eastAsia="仿宋_GB2312"/>
          <w:color w:val="auto"/>
          <w:sz w:val="32"/>
          <w:highlight w:val="none"/>
        </w:rPr>
        <w:t>坚持森林保护优先、保护与利用兼顾的原则。</w:t>
      </w:r>
      <w:r>
        <w:rPr>
          <w:rFonts w:ascii="Times New Roman" w:hAnsi="Times New Roman" w:eastAsia="仿宋_GB2312"/>
          <w:color w:val="auto"/>
          <w:sz w:val="32"/>
          <w:szCs w:val="32"/>
          <w:highlight w:val="none"/>
        </w:rPr>
        <w:t>强化林地利用管理，严禁盗伐滥伐林木行为，严格执行森林采伐限额，继续执行全面停止天然林商业性采伐制度等措施。</w:t>
      </w:r>
    </w:p>
    <w:p w14:paraId="6068D196">
      <w:pPr>
        <w:pStyle w:val="14"/>
        <w:overflowPunct w:val="0"/>
        <w:ind w:firstLine="640"/>
        <w:rPr>
          <w:rFonts w:ascii="Times New Roman" w:hAnsi="Times New Roman" w:eastAsia="仿宋_GB2312"/>
          <w:color w:val="auto"/>
          <w:sz w:val="32"/>
          <w:highlight w:val="none"/>
        </w:rPr>
      </w:pPr>
      <w:r>
        <w:rPr>
          <w:rFonts w:ascii="Times New Roman" w:hAnsi="Times New Roman" w:eastAsia="仿宋_GB2312"/>
          <w:color w:val="auto"/>
          <w:sz w:val="32"/>
          <w:highlight w:val="none"/>
        </w:rPr>
        <w:t>严格实施林地用途管制。在不破坏地表植被、不影响生物多样性保护前提下，允许有限利用林地适度发展生态旅游、休闲康养、研学基地和营地、自然教育、特色种植养殖等绿色产业。各类建设必须占用林地时，必须按相关要求做好林地使用补偿措施，做到资金专户储存、专款专用、严肃财经纪律等。</w:t>
      </w:r>
    </w:p>
    <w:bookmarkEnd w:id="54"/>
    <w:p w14:paraId="592455BF">
      <w:pPr>
        <w:pStyle w:val="4"/>
        <w:tabs>
          <w:tab w:val="clear" w:pos="0"/>
        </w:tabs>
        <w:spacing w:before="217" w:after="217"/>
        <w:rPr>
          <w:rFonts w:cs="Times New Roman"/>
          <w:color w:val="auto"/>
          <w:highlight w:val="none"/>
        </w:rPr>
      </w:pPr>
      <w:r>
        <w:rPr>
          <w:rFonts w:cs="Times New Roman"/>
          <w:color w:val="auto"/>
          <w:highlight w:val="none"/>
        </w:rPr>
        <w:t>草地资源保护与利用</w:t>
      </w:r>
    </w:p>
    <w:p w14:paraId="7009B13B">
      <w:pPr>
        <w:pStyle w:val="49"/>
        <w:ind w:firstLine="640"/>
        <w:rPr>
          <w:rFonts w:eastAsia="仿宋_GB2312" w:cs="Times New Roman"/>
          <w:color w:val="auto"/>
          <w:sz w:val="32"/>
          <w:highlight w:val="none"/>
        </w:rPr>
      </w:pPr>
      <w:bookmarkStart w:id="55" w:name="_Hlk175290457"/>
      <w:r>
        <w:rPr>
          <w:rFonts w:eastAsia="仿宋_GB2312" w:cs="Times New Roman"/>
          <w:color w:val="auto"/>
          <w:sz w:val="32"/>
          <w:szCs w:val="32"/>
          <w:highlight w:val="none"/>
        </w:rPr>
        <w:t>严格划定基本草原边界，落实封禁沙化土地保护区管理要求，加强草原用途管制。</w:t>
      </w:r>
    </w:p>
    <w:p w14:paraId="13DFF6E5">
      <w:pPr>
        <w:pStyle w:val="14"/>
        <w:overflowPunct w:val="0"/>
        <w:ind w:firstLine="640"/>
        <w:rPr>
          <w:rFonts w:eastAsia="仿宋_GB2312" w:cs="Times New Roman"/>
          <w:color w:val="auto"/>
          <w:sz w:val="32"/>
          <w:highlight w:val="none"/>
        </w:rPr>
      </w:pPr>
      <w:r>
        <w:rPr>
          <w:rFonts w:ascii="Times New Roman" w:hAnsi="Times New Roman" w:eastAsia="仿宋_GB2312"/>
          <w:color w:val="auto"/>
          <w:sz w:val="32"/>
          <w:highlight w:val="none"/>
        </w:rPr>
        <w:t>加大草地资源保护。防止天然、人工牧草地因耕地开垦、城市扩张、修路开矿等而被破坏。实施更加严格</w:t>
      </w:r>
      <w:r>
        <w:rPr>
          <w:rFonts w:hint="eastAsia" w:ascii="Times New Roman" w:hAnsi="Times New Roman" w:eastAsia="仿宋_GB2312"/>
          <w:color w:val="auto"/>
          <w:sz w:val="32"/>
          <w:highlight w:val="none"/>
        </w:rPr>
        <w:t>地</w:t>
      </w:r>
      <w:r>
        <w:rPr>
          <w:rFonts w:ascii="Times New Roman" w:hAnsi="Times New Roman" w:eastAsia="仿宋_GB2312"/>
          <w:color w:val="auto"/>
          <w:sz w:val="32"/>
          <w:highlight w:val="none"/>
        </w:rPr>
        <w:t>保护和管理，确保基本草原面积不减少、质量不下降、用途不改变。严厉打击、坚决遏制各类非法挤占草原生态空间、乱开滥垦草原等行为。加强矿藏开采、工程建设等征占用草原审核审批管理，强化源头管控和事中事后监管。完善落实禁牧休牧和草畜平衡制度，依法查处超载过牧和禁牧休牧期违规放牧行为。</w:t>
      </w:r>
      <w:r>
        <w:rPr>
          <w:rFonts w:eastAsia="仿宋_GB2312" w:cs="Times New Roman"/>
          <w:color w:val="auto"/>
          <w:sz w:val="32"/>
          <w:highlight w:val="none"/>
        </w:rPr>
        <w:t>加快推进天然、人工牧草地恢复。</w:t>
      </w:r>
    </w:p>
    <w:bookmarkEnd w:id="55"/>
    <w:p w14:paraId="6635393B">
      <w:pPr>
        <w:pStyle w:val="4"/>
        <w:tabs>
          <w:tab w:val="clear" w:pos="0"/>
        </w:tabs>
        <w:spacing w:before="217" w:after="217"/>
        <w:rPr>
          <w:rFonts w:cs="Times New Roman"/>
          <w:color w:val="auto"/>
          <w:highlight w:val="none"/>
        </w:rPr>
      </w:pPr>
      <w:r>
        <w:rPr>
          <w:rFonts w:cs="Times New Roman"/>
          <w:color w:val="auto"/>
          <w:highlight w:val="none"/>
        </w:rPr>
        <w:t>矿产资源保护与利用</w:t>
      </w:r>
    </w:p>
    <w:p w14:paraId="2FC0F2D6">
      <w:pPr>
        <w:pStyle w:val="24"/>
        <w:ind w:firstLine="640"/>
        <w:rPr>
          <w:rFonts w:ascii="Times New Roman" w:hAnsi="Times New Roman"/>
          <w:color w:val="auto"/>
          <w:sz w:val="32"/>
          <w:szCs w:val="32"/>
          <w:highlight w:val="none"/>
        </w:rPr>
      </w:pPr>
      <w:r>
        <w:rPr>
          <w:rFonts w:ascii="Times New Roman" w:hAnsi="Times New Roman"/>
          <w:color w:val="auto"/>
          <w:sz w:val="32"/>
          <w:szCs w:val="32"/>
          <w:highlight w:val="none"/>
        </w:rPr>
        <w:t>矿产资源供给与保障能力进一步提升；矿产资源开发利用结构和布局进一步优化；主要矿产资源节约集约利用水平有效提升；矿产资源领域治理体系和治理能力得到进一步完善；矿业产业与经济社会、生态文明协调发展的新格局基本建成。</w:t>
      </w:r>
    </w:p>
    <w:p w14:paraId="0D8D1073">
      <w:pPr>
        <w:pStyle w:val="4"/>
        <w:tabs>
          <w:tab w:val="clear" w:pos="0"/>
        </w:tabs>
        <w:spacing w:before="217" w:after="217"/>
        <w:rPr>
          <w:rFonts w:cs="Times New Roman"/>
          <w:color w:val="auto"/>
          <w:highlight w:val="none"/>
        </w:rPr>
      </w:pPr>
      <w:r>
        <w:rPr>
          <w:rFonts w:cs="Times New Roman"/>
          <w:color w:val="auto"/>
          <w:highlight w:val="none"/>
        </w:rPr>
        <w:t>绿色矿山建设</w:t>
      </w:r>
    </w:p>
    <w:p w14:paraId="28A42ED5">
      <w:pPr>
        <w:ind w:firstLine="560"/>
        <w:rPr>
          <w:rFonts w:eastAsia="仿宋_GB2312" w:cs="Times New Roman"/>
          <w:color w:val="auto"/>
          <w:highlight w:val="none"/>
        </w:rPr>
      </w:pPr>
      <w:r>
        <w:rPr>
          <w:rFonts w:eastAsia="仿宋_GB2312" w:cs="Times New Roman"/>
          <w:color w:val="auto"/>
          <w:sz w:val="32"/>
          <w:szCs w:val="32"/>
          <w:highlight w:val="none"/>
        </w:rPr>
        <w:t>围绕桦川县域矿产资源勘查开发区域布局，推进绿色矿山建设，实行清洁生产，消除污染，美化环境。</w:t>
      </w:r>
    </w:p>
    <w:bookmarkEnd w:id="51"/>
    <w:p w14:paraId="491D4AEE">
      <w:pPr>
        <w:pStyle w:val="3"/>
        <w:numPr>
          <w:ilvl w:val="0"/>
          <w:numId w:val="16"/>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56" w:name="_Toc14950"/>
      <w:r>
        <w:rPr>
          <w:rFonts w:ascii="Times New Roman" w:hAnsi="Times New Roman" w:eastAsia="黑体" w:cs="Times New Roman"/>
          <w:color w:val="auto"/>
          <w:kern w:val="2"/>
          <w:sz w:val="32"/>
          <w:szCs w:val="24"/>
          <w:highlight w:val="none"/>
          <w:lang w:val="en-US" w:eastAsia="zh-CN" w:bidi="ar-SA"/>
        </w:rPr>
        <w:t>优化城</w:t>
      </w:r>
      <w:r>
        <w:rPr>
          <w:rFonts w:hint="eastAsia" w:ascii="Times New Roman" w:hAnsi="Times New Roman" w:eastAsia="黑体" w:cs="Times New Roman"/>
          <w:color w:val="auto"/>
          <w:kern w:val="2"/>
          <w:sz w:val="32"/>
          <w:szCs w:val="24"/>
          <w:highlight w:val="none"/>
          <w:lang w:val="en-US" w:eastAsia="zh-CN" w:bidi="ar-SA"/>
        </w:rPr>
        <w:t>乡</w:t>
      </w:r>
      <w:r>
        <w:rPr>
          <w:rFonts w:ascii="Times New Roman" w:hAnsi="Times New Roman" w:eastAsia="黑体" w:cs="Times New Roman"/>
          <w:color w:val="auto"/>
          <w:kern w:val="2"/>
          <w:sz w:val="32"/>
          <w:szCs w:val="24"/>
          <w:highlight w:val="none"/>
          <w:lang w:val="en-US" w:eastAsia="zh-CN" w:bidi="ar-SA"/>
        </w:rPr>
        <w:t>发展空间</w:t>
      </w:r>
      <w:bookmarkEnd w:id="56"/>
    </w:p>
    <w:p w14:paraId="5AF3382C">
      <w:pPr>
        <w:pStyle w:val="4"/>
        <w:tabs>
          <w:tab w:val="clear" w:pos="0"/>
        </w:tabs>
        <w:spacing w:before="217" w:after="217"/>
        <w:rPr>
          <w:rFonts w:cs="Times New Roman"/>
          <w:color w:val="auto"/>
          <w:highlight w:val="none"/>
        </w:rPr>
      </w:pPr>
      <w:r>
        <w:rPr>
          <w:rFonts w:cs="Times New Roman"/>
          <w:color w:val="auto"/>
          <w:highlight w:val="none"/>
        </w:rPr>
        <w:t>乡镇人口规模预测</w:t>
      </w:r>
    </w:p>
    <w:p w14:paraId="61D7B94D">
      <w:pPr>
        <w:ind w:firstLine="640"/>
        <w:rPr>
          <w:rFonts w:eastAsia="仿宋_GB2312" w:cs="Times New Roman"/>
          <w:color w:val="auto"/>
          <w:sz w:val="32"/>
          <w:szCs w:val="36"/>
          <w:highlight w:val="none"/>
        </w:rPr>
      </w:pPr>
      <w:bookmarkStart w:id="57" w:name="_Hlk175290622"/>
      <w:r>
        <w:rPr>
          <w:rFonts w:eastAsia="仿宋_GB2312" w:cs="Times New Roman"/>
          <w:color w:val="auto"/>
          <w:sz w:val="32"/>
          <w:szCs w:val="36"/>
          <w:highlight w:val="none"/>
        </w:rPr>
        <w:t>综合考虑东河乡人口发展历程和社会经济发展状况，东河乡户籍人口和常住人口均处于逐年减少的态势。</w:t>
      </w:r>
    </w:p>
    <w:p w14:paraId="7EC04FB7">
      <w:pPr>
        <w:ind w:firstLine="640"/>
        <w:rPr>
          <w:rFonts w:eastAsia="仿宋_GB2312" w:cs="Times New Roman"/>
          <w:color w:val="auto"/>
          <w:sz w:val="32"/>
          <w:szCs w:val="36"/>
          <w:highlight w:val="none"/>
        </w:rPr>
      </w:pPr>
      <w:r>
        <w:rPr>
          <w:rFonts w:hint="eastAsia" w:eastAsia="仿宋_GB2312" w:cs="Times New Roman"/>
          <w:color w:val="auto"/>
          <w:sz w:val="32"/>
          <w:szCs w:val="36"/>
          <w:highlight w:val="none"/>
        </w:rPr>
        <w:t>截至</w:t>
      </w:r>
      <w:r>
        <w:rPr>
          <w:rFonts w:eastAsia="仿宋_GB2312" w:cs="Times New Roman"/>
          <w:color w:val="auto"/>
          <w:sz w:val="32"/>
          <w:szCs w:val="36"/>
          <w:highlight w:val="none"/>
        </w:rPr>
        <w:t>2020年末，东河乡全域常住人口394</w:t>
      </w:r>
      <w:r>
        <w:rPr>
          <w:rFonts w:hint="eastAsia" w:eastAsia="仿宋_GB2312" w:cs="Times New Roman"/>
          <w:color w:val="auto"/>
          <w:sz w:val="32"/>
          <w:szCs w:val="36"/>
          <w:highlight w:val="none"/>
          <w:lang w:val="en-US" w:eastAsia="zh-CN"/>
        </w:rPr>
        <w:t>9</w:t>
      </w:r>
      <w:r>
        <w:rPr>
          <w:rFonts w:eastAsia="仿宋_GB2312" w:cs="Times New Roman"/>
          <w:color w:val="auto"/>
          <w:sz w:val="32"/>
          <w:szCs w:val="36"/>
          <w:highlight w:val="none"/>
        </w:rPr>
        <w:t>人，预计到2025年</w:t>
      </w:r>
      <w:r>
        <w:rPr>
          <w:rFonts w:eastAsia="仿宋_GB2312" w:cs="Times New Roman"/>
          <w:color w:val="auto"/>
          <w:sz w:val="32"/>
          <w:szCs w:val="36"/>
          <w:highlight w:val="none"/>
          <w:shd w:val="clear" w:color="auto" w:fill="FFFFFF"/>
        </w:rPr>
        <w:t>乡域</w:t>
      </w:r>
      <w:r>
        <w:rPr>
          <w:rFonts w:eastAsia="仿宋_GB2312" w:cs="Times New Roman"/>
          <w:color w:val="auto"/>
          <w:sz w:val="32"/>
          <w:szCs w:val="36"/>
          <w:highlight w:val="none"/>
        </w:rPr>
        <w:t>常住人口约为3960人，到2035年</w:t>
      </w:r>
      <w:r>
        <w:rPr>
          <w:rFonts w:eastAsia="仿宋_GB2312" w:cs="Times New Roman"/>
          <w:color w:val="auto"/>
          <w:sz w:val="32"/>
          <w:szCs w:val="36"/>
          <w:highlight w:val="none"/>
          <w:shd w:val="clear" w:color="auto" w:fill="FFFFFF"/>
        </w:rPr>
        <w:t>乡域</w:t>
      </w:r>
      <w:r>
        <w:rPr>
          <w:rFonts w:eastAsia="仿宋_GB2312" w:cs="Times New Roman"/>
          <w:color w:val="auto"/>
          <w:sz w:val="32"/>
          <w:szCs w:val="36"/>
          <w:highlight w:val="none"/>
        </w:rPr>
        <w:t>常住人口约为4000人。</w:t>
      </w:r>
    </w:p>
    <w:p w14:paraId="0D3D76FA">
      <w:pPr>
        <w:ind w:firstLine="640"/>
        <w:rPr>
          <w:rFonts w:eastAsia="仿宋_GB2312" w:cs="Times New Roman"/>
          <w:color w:val="auto"/>
          <w:sz w:val="32"/>
          <w:szCs w:val="36"/>
          <w:highlight w:val="none"/>
        </w:rPr>
      </w:pPr>
      <w:r>
        <w:rPr>
          <w:rFonts w:hint="eastAsia" w:eastAsia="仿宋_GB2312" w:cs="Times New Roman"/>
          <w:color w:val="auto"/>
          <w:sz w:val="32"/>
          <w:szCs w:val="36"/>
          <w:highlight w:val="none"/>
        </w:rPr>
        <w:t>截至</w:t>
      </w:r>
      <w:r>
        <w:rPr>
          <w:rFonts w:eastAsia="仿宋_GB2312" w:cs="Times New Roman"/>
          <w:color w:val="auto"/>
          <w:sz w:val="32"/>
          <w:szCs w:val="36"/>
          <w:highlight w:val="none"/>
        </w:rPr>
        <w:t>2020年末，</w:t>
      </w:r>
      <w:r>
        <w:rPr>
          <w:rFonts w:hint="eastAsia" w:eastAsia="仿宋_GB2312" w:cs="Times New Roman"/>
          <w:color w:val="auto"/>
          <w:sz w:val="32"/>
          <w:szCs w:val="36"/>
          <w:highlight w:val="none"/>
        </w:rPr>
        <w:t>东河乡乡政府驻地</w:t>
      </w:r>
      <w:r>
        <w:rPr>
          <w:rFonts w:eastAsia="仿宋_GB2312" w:cs="Times New Roman"/>
          <w:color w:val="auto"/>
          <w:sz w:val="32"/>
          <w:szCs w:val="36"/>
          <w:highlight w:val="none"/>
        </w:rPr>
        <w:t>常住人口为1436人，预计到2025年乡政府驻地常住人口约为1450人，到2035年乡政府驻地常住人口约为1500人。</w:t>
      </w:r>
    </w:p>
    <w:bookmarkEnd w:id="57"/>
    <w:p w14:paraId="5EAC1273">
      <w:pPr>
        <w:pStyle w:val="4"/>
        <w:tabs>
          <w:tab w:val="clear" w:pos="0"/>
        </w:tabs>
        <w:spacing w:before="217" w:after="217"/>
        <w:rPr>
          <w:rFonts w:cs="Times New Roman"/>
          <w:color w:val="auto"/>
          <w:highlight w:val="none"/>
        </w:rPr>
      </w:pPr>
      <w:r>
        <w:rPr>
          <w:rFonts w:cs="Times New Roman"/>
          <w:color w:val="auto"/>
          <w:highlight w:val="none"/>
        </w:rPr>
        <w:t>城镇化率预测</w:t>
      </w:r>
    </w:p>
    <w:p w14:paraId="123555FF">
      <w:pPr>
        <w:widowControl/>
        <w:ind w:firstLine="640"/>
        <w:rPr>
          <w:rFonts w:eastAsia="仿宋_GB2312" w:cs="Times New Roman"/>
          <w:color w:val="auto"/>
          <w:sz w:val="32"/>
          <w:szCs w:val="36"/>
          <w:highlight w:val="none"/>
        </w:rPr>
      </w:pPr>
      <w:bookmarkStart w:id="58" w:name="_Hlk175290655"/>
      <w:r>
        <w:rPr>
          <w:rFonts w:hint="eastAsia" w:eastAsia="仿宋_GB2312" w:cs="Times New Roman"/>
          <w:color w:val="auto"/>
          <w:sz w:val="32"/>
          <w:szCs w:val="36"/>
          <w:highlight w:val="none"/>
        </w:rPr>
        <w:t>截至</w:t>
      </w:r>
      <w:r>
        <w:rPr>
          <w:rFonts w:eastAsia="仿宋_GB2312" w:cs="Times New Roman"/>
          <w:color w:val="auto"/>
          <w:sz w:val="32"/>
          <w:szCs w:val="36"/>
          <w:highlight w:val="none"/>
        </w:rPr>
        <w:t>2020年末，东河乡全域城镇常住人口为1436人，常住人口城镇化率为36.39%。</w:t>
      </w:r>
    </w:p>
    <w:p w14:paraId="24E73B0B">
      <w:pPr>
        <w:widowControl/>
        <w:ind w:firstLine="640"/>
        <w:rPr>
          <w:rFonts w:eastAsia="仿宋_GB2312" w:cs="Times New Roman"/>
          <w:color w:val="auto"/>
          <w:sz w:val="32"/>
          <w:szCs w:val="36"/>
          <w:highlight w:val="none"/>
        </w:rPr>
      </w:pPr>
      <w:r>
        <w:rPr>
          <w:rFonts w:eastAsia="仿宋_GB2312" w:cs="Times New Roman"/>
          <w:color w:val="auto"/>
          <w:sz w:val="32"/>
          <w:szCs w:val="36"/>
          <w:highlight w:val="none"/>
        </w:rPr>
        <w:t>按照桦川县城镇化发展的规律，在未来一段时间内发展速度会保持稳步提高。预测到2025年东河乡城镇化率36.61%，到2035年城镇化率37.5%</w:t>
      </w:r>
      <w:bookmarkEnd w:id="58"/>
      <w:r>
        <w:rPr>
          <w:rFonts w:eastAsia="仿宋_GB2312" w:cs="Times New Roman"/>
          <w:color w:val="auto"/>
          <w:sz w:val="32"/>
          <w:szCs w:val="36"/>
          <w:highlight w:val="none"/>
        </w:rPr>
        <w:t>。</w:t>
      </w:r>
    </w:p>
    <w:p w14:paraId="6871FAA9">
      <w:pPr>
        <w:pStyle w:val="4"/>
        <w:tabs>
          <w:tab w:val="clear" w:pos="0"/>
        </w:tabs>
        <w:spacing w:before="217" w:after="217"/>
        <w:rPr>
          <w:rFonts w:cs="Times New Roman"/>
          <w:color w:val="auto"/>
          <w:highlight w:val="none"/>
        </w:rPr>
      </w:pPr>
      <w:r>
        <w:rPr>
          <w:rFonts w:cs="Times New Roman"/>
          <w:color w:val="auto"/>
          <w:highlight w:val="none"/>
        </w:rPr>
        <w:t>构建镇村等级体系</w:t>
      </w:r>
    </w:p>
    <w:p w14:paraId="71CAA3D2">
      <w:pPr>
        <w:ind w:firstLine="640"/>
        <w:rPr>
          <w:rFonts w:eastAsia="仿宋_GB2312" w:cs="Times New Roman"/>
          <w:color w:val="auto"/>
          <w:sz w:val="32"/>
          <w:szCs w:val="36"/>
          <w:highlight w:val="none"/>
          <w:u w:val="single"/>
        </w:rPr>
      </w:pPr>
      <w:bookmarkStart w:id="59" w:name="_Hlk175290692"/>
      <w:r>
        <w:rPr>
          <w:rFonts w:eastAsia="仿宋_GB2312" w:cs="Times New Roman"/>
          <w:color w:val="auto"/>
          <w:sz w:val="32"/>
          <w:szCs w:val="36"/>
          <w:highlight w:val="none"/>
        </w:rPr>
        <w:t>综合考虑乡镇当地人口规模、经济职能等因素，同时结合乡村振兴战略要求，在村庄分类调整的基础上规划形成乡政府驻地、中心村和基层村三级镇村等级体系：</w:t>
      </w:r>
      <w:bookmarkEnd w:id="59"/>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9"/>
        <w:gridCol w:w="5900"/>
      </w:tblGrid>
      <w:tr w14:paraId="0DFB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vAlign w:val="center"/>
          </w:tcPr>
          <w:p w14:paraId="264C2A50">
            <w:pPr>
              <w:spacing w:line="240" w:lineRule="auto"/>
              <w:ind w:left="561" w:firstLine="0" w:firstLineChars="0"/>
              <w:jc w:val="center"/>
              <w:rPr>
                <w:rFonts w:eastAsia="仿宋_GB2312" w:cs="Times New Roman"/>
                <w:color w:val="auto"/>
                <w:sz w:val="21"/>
                <w:szCs w:val="21"/>
                <w:highlight w:val="none"/>
              </w:rPr>
            </w:pPr>
            <w:bookmarkStart w:id="60" w:name="_Hlk175290805"/>
            <w:r>
              <w:rPr>
                <w:rFonts w:eastAsia="黑体" w:cs="Times New Roman"/>
                <w:color w:val="auto"/>
                <w:sz w:val="30"/>
                <w:szCs w:val="30"/>
                <w:highlight w:val="none"/>
              </w:rPr>
              <w:t>专栏</w:t>
            </w:r>
            <w:r>
              <w:rPr>
                <w:rFonts w:hint="eastAsia" w:eastAsia="黑体" w:cs="Times New Roman"/>
                <w:color w:val="auto"/>
                <w:sz w:val="30"/>
                <w:szCs w:val="30"/>
                <w:highlight w:val="none"/>
                <w:lang w:val="en-US" w:eastAsia="zh-CN"/>
              </w:rPr>
              <w:t>3</w:t>
            </w:r>
            <w:r>
              <w:rPr>
                <w:rFonts w:eastAsia="黑体" w:cs="Times New Roman"/>
                <w:color w:val="auto"/>
                <w:sz w:val="30"/>
                <w:szCs w:val="30"/>
                <w:highlight w:val="none"/>
              </w:rPr>
              <w:t>：镇村等级体系一览表</w:t>
            </w:r>
          </w:p>
        </w:tc>
      </w:tr>
      <w:bookmarkEnd w:id="60"/>
      <w:tr w14:paraId="7380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37" w:type="pct"/>
            <w:vAlign w:val="center"/>
          </w:tcPr>
          <w:p w14:paraId="6A53AE9D">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等级</w:t>
            </w:r>
          </w:p>
        </w:tc>
        <w:tc>
          <w:tcPr>
            <w:tcW w:w="3462" w:type="pct"/>
            <w:vAlign w:val="center"/>
          </w:tcPr>
          <w:p w14:paraId="3872F6AE">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名称</w:t>
            </w:r>
          </w:p>
        </w:tc>
      </w:tr>
      <w:tr w14:paraId="7CD2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37" w:type="pct"/>
            <w:vAlign w:val="center"/>
          </w:tcPr>
          <w:p w14:paraId="5BC49928">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乡政府驻地（1个）</w:t>
            </w:r>
          </w:p>
        </w:tc>
        <w:tc>
          <w:tcPr>
            <w:tcW w:w="3462" w:type="pct"/>
            <w:vAlign w:val="center"/>
          </w:tcPr>
          <w:p w14:paraId="240123FD">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shd w:val="clear" w:color="auto" w:fill="FFFFFF"/>
              </w:rPr>
              <w:t>九</w:t>
            </w:r>
            <w:r>
              <w:rPr>
                <w:rFonts w:eastAsia="仿宋_GB2312" w:cs="Times New Roman"/>
                <w:color w:val="auto"/>
                <w:sz w:val="24"/>
                <w:highlight w:val="none"/>
              </w:rPr>
              <w:t>阳村</w:t>
            </w:r>
          </w:p>
        </w:tc>
      </w:tr>
      <w:tr w14:paraId="67F2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37" w:type="pct"/>
            <w:vAlign w:val="center"/>
          </w:tcPr>
          <w:p w14:paraId="64863458">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中心村</w:t>
            </w:r>
            <w:r>
              <w:rPr>
                <w:rFonts w:hint="eastAsia" w:eastAsia="仿宋_GB2312" w:cs="Times New Roman"/>
                <w:color w:val="auto"/>
                <w:sz w:val="24"/>
                <w:highlight w:val="none"/>
              </w:rPr>
              <w:t>（</w:t>
            </w:r>
            <w:r>
              <w:rPr>
                <w:rFonts w:eastAsia="仿宋_GB2312" w:cs="Times New Roman"/>
                <w:color w:val="auto"/>
                <w:sz w:val="24"/>
                <w:highlight w:val="none"/>
              </w:rPr>
              <w:t>3个</w:t>
            </w:r>
            <w:r>
              <w:rPr>
                <w:rFonts w:hint="eastAsia" w:eastAsia="仿宋_GB2312" w:cs="Times New Roman"/>
                <w:color w:val="auto"/>
                <w:sz w:val="24"/>
                <w:highlight w:val="none"/>
              </w:rPr>
              <w:t>）</w:t>
            </w:r>
          </w:p>
        </w:tc>
        <w:tc>
          <w:tcPr>
            <w:tcW w:w="3462" w:type="pct"/>
            <w:vAlign w:val="center"/>
          </w:tcPr>
          <w:p w14:paraId="091C284F">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兴安村、东方红村、兴国村</w:t>
            </w:r>
          </w:p>
        </w:tc>
      </w:tr>
      <w:tr w14:paraId="4D4C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exact"/>
        </w:trPr>
        <w:tc>
          <w:tcPr>
            <w:tcW w:w="1537" w:type="pct"/>
            <w:vAlign w:val="center"/>
          </w:tcPr>
          <w:p w14:paraId="7FFF7570">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基层村（5个）</w:t>
            </w:r>
          </w:p>
        </w:tc>
        <w:tc>
          <w:tcPr>
            <w:tcW w:w="3462" w:type="pct"/>
            <w:vAlign w:val="center"/>
          </w:tcPr>
          <w:p w14:paraId="42248B56">
            <w:pPr>
              <w:spacing w:line="240" w:lineRule="auto"/>
              <w:ind w:firstLine="0" w:firstLineChars="0"/>
              <w:jc w:val="center"/>
              <w:rPr>
                <w:rFonts w:eastAsia="仿宋_GB2312" w:cs="Times New Roman"/>
                <w:color w:val="auto"/>
                <w:sz w:val="24"/>
                <w:highlight w:val="none"/>
              </w:rPr>
            </w:pPr>
            <w:r>
              <w:rPr>
                <w:rFonts w:eastAsia="仿宋_GB2312" w:cs="Times New Roman"/>
                <w:color w:val="auto"/>
                <w:sz w:val="24"/>
                <w:highlight w:val="none"/>
              </w:rPr>
              <w:t>东河村、东宏村、东升村、东方红马场、东方红农业良种场</w:t>
            </w:r>
          </w:p>
        </w:tc>
      </w:tr>
    </w:tbl>
    <w:p w14:paraId="15BDE89C">
      <w:pPr>
        <w:pStyle w:val="4"/>
        <w:tabs>
          <w:tab w:val="clear" w:pos="0"/>
        </w:tabs>
        <w:spacing w:before="217" w:after="217"/>
        <w:rPr>
          <w:rFonts w:cs="Times New Roman"/>
          <w:color w:val="auto"/>
          <w:highlight w:val="none"/>
        </w:rPr>
      </w:pPr>
      <w:bookmarkStart w:id="61" w:name="_Hlk175291143"/>
      <w:bookmarkStart w:id="62" w:name="_Toc18078"/>
      <w:r>
        <w:rPr>
          <w:rFonts w:cs="Times New Roman"/>
          <w:color w:val="auto"/>
          <w:highlight w:val="none"/>
        </w:rPr>
        <w:t>构建产业体系</w:t>
      </w:r>
    </w:p>
    <w:p w14:paraId="347073F4">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依托东河乡自身产业特征，规划形成“3+1+1”产业体系。包括3个支柱产业，1个辅助产业和1个特色产业。</w:t>
      </w:r>
    </w:p>
    <w:p w14:paraId="4F1C7063">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“3”：即现代农业种植产业、畜禽养殖产业、农副产品加工业。</w:t>
      </w:r>
    </w:p>
    <w:p w14:paraId="5502EA11">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“1”：即仓储物流产业。</w:t>
      </w:r>
    </w:p>
    <w:p w14:paraId="00486366">
      <w:pPr>
        <w:pStyle w:val="14"/>
        <w:ind w:firstLine="640"/>
        <w:rPr>
          <w:rFonts w:ascii="Times New Roman" w:hAnsi="Times New Roman" w:eastAsia="仿宋_GB2312"/>
          <w:color w:val="auto"/>
          <w:highlight w:val="none"/>
        </w:rPr>
      </w:pPr>
      <w:r>
        <w:rPr>
          <w:rFonts w:ascii="Times New Roman" w:hAnsi="Times New Roman" w:eastAsia="仿宋_GB2312"/>
          <w:color w:val="auto"/>
          <w:sz w:val="32"/>
          <w:szCs w:val="28"/>
          <w:highlight w:val="none"/>
        </w:rPr>
        <w:t>“1”：即生态休闲旅游产业。</w:t>
      </w:r>
    </w:p>
    <w:bookmarkEnd w:id="61"/>
    <w:p w14:paraId="6E961C2D">
      <w:pPr>
        <w:pStyle w:val="4"/>
        <w:tabs>
          <w:tab w:val="clear" w:pos="0"/>
        </w:tabs>
        <w:spacing w:before="217" w:after="217"/>
        <w:rPr>
          <w:rFonts w:cs="Times New Roman"/>
          <w:color w:val="auto"/>
          <w:highlight w:val="none"/>
        </w:rPr>
      </w:pPr>
      <w:r>
        <w:rPr>
          <w:rFonts w:cs="Times New Roman"/>
          <w:color w:val="auto"/>
          <w:highlight w:val="none"/>
        </w:rPr>
        <w:t>优化产业空间布局</w:t>
      </w:r>
    </w:p>
    <w:bookmarkEnd w:id="34"/>
    <w:bookmarkEnd w:id="62"/>
    <w:p w14:paraId="6AFDFC22">
      <w:pPr>
        <w:pStyle w:val="36"/>
        <w:ind w:firstLine="640"/>
        <w:rPr>
          <w:rFonts w:ascii="Times New Roman" w:hAnsi="Times New Roman" w:eastAsia="仿宋_GB2312" w:cs="Times New Roman"/>
          <w:color w:val="auto"/>
          <w:sz w:val="32"/>
          <w:szCs w:val="28"/>
          <w:highlight w:val="none"/>
        </w:rPr>
      </w:pPr>
      <w:bookmarkStart w:id="63" w:name="_Toc19044"/>
      <w:bookmarkStart w:id="64" w:name="_Toc9510"/>
      <w:r>
        <w:rPr>
          <w:rFonts w:ascii="Times New Roman" w:hAnsi="Times New Roman" w:eastAsia="仿宋_GB2312" w:cs="Times New Roman"/>
          <w:color w:val="auto"/>
          <w:sz w:val="32"/>
          <w:szCs w:val="28"/>
          <w:highlight w:val="none"/>
        </w:rPr>
        <w:t>通过挖掘提升现有产业资源，以一二三产融合为途径，对同</w:t>
      </w:r>
      <w:r>
        <w:rPr>
          <w:rFonts w:ascii="Times New Roman" w:hAnsi="Times New Roman" w:eastAsia="仿宋_GB2312" w:cs="Times New Roman"/>
          <w:color w:val="auto"/>
          <w:sz w:val="32"/>
          <w:szCs w:val="28"/>
          <w:highlight w:val="none"/>
          <w:shd w:val="clear" w:color="auto" w:fill="FFFFFF"/>
        </w:rPr>
        <w:t>质</w:t>
      </w:r>
      <w:r>
        <w:rPr>
          <w:rFonts w:ascii="Times New Roman" w:hAnsi="Times New Roman" w:eastAsia="仿宋_GB2312" w:cs="Times New Roman"/>
          <w:color w:val="auto"/>
          <w:sz w:val="32"/>
          <w:szCs w:val="28"/>
          <w:highlight w:val="none"/>
        </w:rPr>
        <w:t>要素进行整合综合发展，规划东河乡形成“一心、一轴、两区、多基地”的产业发展格局。</w:t>
      </w:r>
    </w:p>
    <w:p w14:paraId="174AF72D">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“一心”</w:t>
      </w:r>
      <w:r>
        <w:rPr>
          <w:rFonts w:ascii="Times New Roman" w:hAnsi="Times New Roman" w:eastAsia="仿宋_GB2312" w:cs="Times New Roman"/>
          <w:color w:val="auto"/>
          <w:sz w:val="32"/>
          <w:szCs w:val="28"/>
          <w:highlight w:val="none"/>
          <w:shd w:val="clear" w:color="auto" w:fill="FFFFFF"/>
        </w:rPr>
        <w:t>指</w:t>
      </w:r>
      <w:r>
        <w:rPr>
          <w:rFonts w:ascii="Times New Roman" w:hAnsi="Times New Roman" w:eastAsia="仿宋_GB2312" w:cs="Times New Roman"/>
          <w:color w:val="auto"/>
          <w:sz w:val="32"/>
          <w:szCs w:val="28"/>
          <w:highlight w:val="none"/>
        </w:rPr>
        <w:t>以</w:t>
      </w:r>
      <w:r>
        <w:rPr>
          <w:rFonts w:hint="eastAsia" w:ascii="Times New Roman" w:hAnsi="Times New Roman" w:eastAsia="仿宋_GB2312" w:cs="Times New Roman"/>
          <w:color w:val="auto"/>
          <w:sz w:val="32"/>
          <w:szCs w:val="28"/>
          <w:highlight w:val="none"/>
        </w:rPr>
        <w:t>东河乡乡政府驻地</w:t>
      </w:r>
      <w:r>
        <w:rPr>
          <w:rFonts w:ascii="Times New Roman" w:hAnsi="Times New Roman" w:eastAsia="仿宋_GB2312" w:cs="Times New Roman"/>
          <w:color w:val="auto"/>
          <w:sz w:val="32"/>
          <w:szCs w:val="28"/>
          <w:highlight w:val="none"/>
          <w:shd w:val="clear" w:color="auto" w:fill="FFFFFF"/>
        </w:rPr>
        <w:t>九</w:t>
      </w:r>
      <w:r>
        <w:rPr>
          <w:rFonts w:ascii="Times New Roman" w:hAnsi="Times New Roman" w:eastAsia="仿宋_GB2312" w:cs="Times New Roman"/>
          <w:color w:val="auto"/>
          <w:sz w:val="32"/>
          <w:szCs w:val="28"/>
          <w:highlight w:val="none"/>
        </w:rPr>
        <w:t>阳村为中心的产业集聚发展区。“一轴”指依托主要对外交通国道G102打造的产业发展轴。“两区”指依托全域产业特色和分布情况，形成的南部生态农业种植发展区和北部生态旅游种养发展区。“多基地”指综合全域内特色产业，打造多个</w:t>
      </w:r>
      <w:r>
        <w:rPr>
          <w:rFonts w:hint="eastAsia" w:ascii="Times New Roman" w:hAnsi="Times New Roman" w:eastAsia="仿宋_GB2312" w:cs="Times New Roman"/>
          <w:color w:val="auto"/>
          <w:sz w:val="32"/>
          <w:szCs w:val="28"/>
          <w:highlight w:val="none"/>
          <w:shd w:val="clear" w:color="auto" w:fill="FFFFFF"/>
        </w:rPr>
        <w:t>种植</w:t>
      </w:r>
      <w:r>
        <w:rPr>
          <w:rFonts w:ascii="Times New Roman" w:hAnsi="Times New Roman" w:eastAsia="仿宋_GB2312" w:cs="Times New Roman"/>
          <w:color w:val="auto"/>
          <w:sz w:val="32"/>
          <w:szCs w:val="28"/>
          <w:highlight w:val="none"/>
          <w:shd w:val="clear" w:color="auto" w:fill="FFFFFF"/>
        </w:rPr>
        <w:t>养殖</w:t>
      </w:r>
      <w:r>
        <w:rPr>
          <w:rFonts w:ascii="Times New Roman" w:hAnsi="Times New Roman" w:eastAsia="仿宋_GB2312" w:cs="Times New Roman"/>
          <w:color w:val="auto"/>
          <w:sz w:val="32"/>
          <w:szCs w:val="28"/>
          <w:highlight w:val="none"/>
        </w:rPr>
        <w:t>产业基地</w:t>
      </w:r>
      <w:r>
        <w:rPr>
          <w:rFonts w:ascii="Times New Roman" w:hAnsi="Times New Roman" w:eastAsia="仿宋_GB2312" w:cs="Times New Roman"/>
          <w:color w:val="auto"/>
          <w:sz w:val="32"/>
          <w:szCs w:val="32"/>
          <w:highlight w:val="none"/>
        </w:rPr>
        <w:t>。</w:t>
      </w:r>
    </w:p>
    <w:bookmarkEnd w:id="63"/>
    <w:bookmarkEnd w:id="64"/>
    <w:p w14:paraId="46650BD6">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pPr>
      <w:bookmarkStart w:id="65" w:name="_Toc16760"/>
      <w:bookmarkStart w:id="66" w:name="_Toc15542"/>
      <w:bookmarkStart w:id="67" w:name="_Toc1478"/>
      <w:bookmarkStart w:id="68" w:name="_Toc2762"/>
      <w:bookmarkStart w:id="69" w:name="_Toc28549"/>
      <w:r>
        <w:rPr>
          <w:rFonts w:cs="Times New Roman"/>
          <w:bCs/>
          <w:color w:val="auto"/>
          <w:szCs w:val="36"/>
          <w:highlight w:val="none"/>
        </w:rPr>
        <w:t>乡政府驻地用地布局</w:t>
      </w:r>
      <w:bookmarkEnd w:id="65"/>
    </w:p>
    <w:p w14:paraId="4F8F3AB8">
      <w:pPr>
        <w:pStyle w:val="3"/>
        <w:tabs>
          <w:tab w:val="clear" w:pos="2577"/>
          <w:tab w:val="clear" w:pos="2860"/>
        </w:tabs>
        <w:spacing w:beforeLines="50" w:afterLines="50" w:line="600" w:lineRule="atLeast"/>
        <w:rPr>
          <w:rFonts w:ascii="Times New Roman" w:hAnsi="Times New Roman" w:cs="Times New Roman"/>
          <w:color w:val="auto"/>
          <w:highlight w:val="none"/>
        </w:rPr>
      </w:pPr>
      <w:bookmarkStart w:id="70" w:name="_Toc5087"/>
      <w:bookmarkStart w:id="71" w:name="_Toc20157"/>
      <w:bookmarkStart w:id="72" w:name="_Toc18370"/>
      <w:r>
        <w:rPr>
          <w:rFonts w:ascii="Times New Roman" w:hAnsi="Times New Roman" w:cs="Times New Roman"/>
          <w:color w:val="auto"/>
          <w:highlight w:val="none"/>
        </w:rPr>
        <w:t>优化空间结构与用地布局</w:t>
      </w:r>
      <w:bookmarkEnd w:id="70"/>
      <w:bookmarkEnd w:id="71"/>
      <w:bookmarkEnd w:id="72"/>
    </w:p>
    <w:p w14:paraId="558D4C49">
      <w:pPr>
        <w:pStyle w:val="4"/>
        <w:tabs>
          <w:tab w:val="clear" w:pos="0"/>
        </w:tabs>
        <w:spacing w:before="217" w:after="217"/>
        <w:rPr>
          <w:rFonts w:cs="Times New Roman"/>
          <w:color w:val="auto"/>
          <w:highlight w:val="none"/>
        </w:rPr>
      </w:pPr>
      <w:r>
        <w:rPr>
          <w:rFonts w:cs="Times New Roman"/>
          <w:color w:val="auto"/>
          <w:highlight w:val="none"/>
        </w:rPr>
        <w:t>优化空间结构</w:t>
      </w:r>
    </w:p>
    <w:p w14:paraId="480AB933">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规划形成“一轴、两心、三区”的用地布局结构。</w:t>
      </w:r>
    </w:p>
    <w:p w14:paraId="15B5D87E">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“一轴”：</w:t>
      </w:r>
      <w:r>
        <w:rPr>
          <w:rFonts w:ascii="Times New Roman" w:hAnsi="Times New Roman" w:eastAsia="仿宋_GB2312"/>
          <w:bCs w:val="0"/>
          <w:color w:val="auto"/>
          <w:sz w:val="32"/>
          <w:szCs w:val="32"/>
          <w:highlight w:val="none"/>
          <w:shd w:val="clear" w:color="auto" w:fill="FFFFFF"/>
        </w:rPr>
        <w:t>指</w:t>
      </w:r>
      <w:r>
        <w:rPr>
          <w:rFonts w:ascii="Times New Roman" w:hAnsi="Times New Roman" w:eastAsia="仿宋_GB2312"/>
          <w:bCs w:val="0"/>
          <w:color w:val="auto"/>
          <w:sz w:val="32"/>
          <w:szCs w:val="32"/>
          <w:highlight w:val="none"/>
        </w:rPr>
        <w:t>城乡发展主轴——指以国道G102</w:t>
      </w:r>
      <w:r>
        <w:rPr>
          <w:rFonts w:ascii="Times New Roman" w:hAnsi="Times New Roman" w:eastAsia="仿宋_GB2312"/>
          <w:color w:val="auto"/>
          <w:sz w:val="32"/>
          <w:szCs w:val="32"/>
          <w:highlight w:val="none"/>
        </w:rPr>
        <w:t>京抚</w:t>
      </w:r>
      <w:r>
        <w:rPr>
          <w:rFonts w:ascii="Times New Roman" w:hAnsi="Times New Roman" w:eastAsia="仿宋_GB2312"/>
          <w:bCs w:val="0"/>
          <w:color w:val="auto"/>
          <w:sz w:val="32"/>
          <w:szCs w:val="32"/>
          <w:highlight w:val="none"/>
        </w:rPr>
        <w:t>公路为核心的东西向城乡发展轴。</w:t>
      </w:r>
    </w:p>
    <w:p w14:paraId="54CE4E36">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“两心”：其一是以西部乡政府所在地为中心的公共服务中心；其二是以村委会为中心的村民活动中心。</w:t>
      </w:r>
    </w:p>
    <w:p w14:paraId="0DCFFEBE">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“三区”：</w:t>
      </w:r>
      <w:r>
        <w:rPr>
          <w:rFonts w:ascii="Times New Roman" w:hAnsi="Times New Roman" w:eastAsia="仿宋_GB2312"/>
          <w:bCs w:val="0"/>
          <w:color w:val="auto"/>
          <w:sz w:val="32"/>
          <w:szCs w:val="32"/>
          <w:highlight w:val="none"/>
          <w:shd w:val="clear" w:color="auto" w:fill="FFFFFF"/>
        </w:rPr>
        <w:t>指</w:t>
      </w:r>
      <w:r>
        <w:rPr>
          <w:rFonts w:ascii="Times New Roman" w:hAnsi="Times New Roman" w:eastAsia="仿宋_GB2312"/>
          <w:bCs w:val="0"/>
          <w:color w:val="auto"/>
          <w:sz w:val="32"/>
          <w:szCs w:val="32"/>
          <w:highlight w:val="none"/>
        </w:rPr>
        <w:t>北部田园生活区、南部休闲商贸区，东部产业物流区。</w:t>
      </w:r>
    </w:p>
    <w:p w14:paraId="2FB7ED31">
      <w:pPr>
        <w:pStyle w:val="3"/>
        <w:tabs>
          <w:tab w:val="clear" w:pos="2577"/>
          <w:tab w:val="clear" w:pos="2860"/>
        </w:tabs>
        <w:spacing w:beforeLines="50" w:afterLines="50" w:line="600" w:lineRule="atLeast"/>
        <w:rPr>
          <w:rFonts w:ascii="Times New Roman" w:hAnsi="Times New Roman" w:cs="Times New Roman"/>
          <w:color w:val="auto"/>
          <w:highlight w:val="none"/>
        </w:rPr>
      </w:pPr>
      <w:bookmarkStart w:id="73" w:name="_Toc20499"/>
      <w:bookmarkStart w:id="74" w:name="_Toc3915"/>
      <w:bookmarkStart w:id="75" w:name="_Toc25293"/>
      <w:bookmarkStart w:id="76" w:name="_Toc107904351"/>
      <w:bookmarkStart w:id="77" w:name="_Toc20098"/>
      <w:bookmarkStart w:id="78" w:name="_Toc18296"/>
      <w:bookmarkStart w:id="79" w:name="_Toc32745"/>
      <w:bookmarkStart w:id="80" w:name="_Toc15312"/>
      <w:bookmarkStart w:id="81" w:name="_Toc17458"/>
      <w:bookmarkStart w:id="82" w:name="_Toc97277980"/>
      <w:bookmarkStart w:id="83" w:name="_Toc1836"/>
      <w:bookmarkStart w:id="84" w:name="_Toc22588"/>
      <w:r>
        <w:rPr>
          <w:rFonts w:ascii="Times New Roman" w:hAnsi="Times New Roman" w:cs="Times New Roman"/>
          <w:color w:val="auto"/>
          <w:highlight w:val="none"/>
        </w:rPr>
        <w:t>居住空间布局</w:t>
      </w:r>
      <w:bookmarkEnd w:id="73"/>
    </w:p>
    <w:p w14:paraId="199B9B32">
      <w:pPr>
        <w:pStyle w:val="4"/>
        <w:tabs>
          <w:tab w:val="clear" w:pos="0"/>
        </w:tabs>
        <w:spacing w:before="217" w:after="217"/>
        <w:rPr>
          <w:rFonts w:cs="Times New Roman"/>
          <w:color w:val="auto"/>
          <w:highlight w:val="none"/>
        </w:rPr>
      </w:pPr>
      <w:r>
        <w:rPr>
          <w:rFonts w:cs="Times New Roman"/>
          <w:color w:val="auto"/>
          <w:highlight w:val="none"/>
        </w:rPr>
        <w:t xml:space="preserve">住房保障 </w:t>
      </w:r>
    </w:p>
    <w:p w14:paraId="30DB0412">
      <w:pPr>
        <w:widowControl/>
        <w:ind w:firstLine="640"/>
        <w:jc w:val="left"/>
        <w:rPr>
          <w:rFonts w:eastAsia="仿宋_GB2312" w:cs="Times New Roman"/>
          <w:color w:val="auto"/>
          <w:sz w:val="32"/>
          <w:szCs w:val="32"/>
          <w:highlight w:val="none"/>
        </w:rPr>
      </w:pPr>
      <w:r>
        <w:rPr>
          <w:rFonts w:eastAsia="仿宋_GB2312" w:cs="Times New Roman"/>
          <w:color w:val="auto"/>
          <w:kern w:val="0"/>
          <w:sz w:val="32"/>
          <w:szCs w:val="32"/>
          <w:highlight w:val="none"/>
        </w:rPr>
        <w:t>提高土地节约集约利用水平，运用市场机制盘活存量土地和低效用地，做好土地储备和整理工作。统筹安排危房改造、人居环境整治等各项建设。严格控制高层高密度住宅建设。</w:t>
      </w:r>
    </w:p>
    <w:p w14:paraId="77F372F2">
      <w:pPr>
        <w:pStyle w:val="4"/>
        <w:tabs>
          <w:tab w:val="clear" w:pos="0"/>
        </w:tabs>
        <w:spacing w:before="217" w:after="217"/>
        <w:rPr>
          <w:rFonts w:cs="Times New Roman"/>
          <w:color w:val="auto"/>
          <w:highlight w:val="none"/>
        </w:rPr>
      </w:pPr>
      <w:r>
        <w:rPr>
          <w:rFonts w:cs="Times New Roman"/>
          <w:color w:val="auto"/>
          <w:highlight w:val="none"/>
        </w:rPr>
        <w:t xml:space="preserve">居住用地布局 </w:t>
      </w:r>
    </w:p>
    <w:p w14:paraId="2D60A505">
      <w:pPr>
        <w:widowControl/>
        <w:ind w:firstLine="640"/>
        <w:jc w:val="left"/>
        <w:rPr>
          <w:rFonts w:eastAsia="仿宋_GB2312" w:cs="Times New Roman"/>
          <w:color w:val="auto"/>
          <w:kern w:val="0"/>
          <w:sz w:val="32"/>
          <w:szCs w:val="32"/>
          <w:highlight w:val="none"/>
        </w:rPr>
      </w:pPr>
      <w:r>
        <w:rPr>
          <w:rFonts w:eastAsia="仿宋_GB2312" w:cs="Times New Roman"/>
          <w:color w:val="auto"/>
          <w:kern w:val="0"/>
          <w:sz w:val="32"/>
          <w:szCs w:val="32"/>
          <w:highlight w:val="none"/>
        </w:rPr>
        <w:t>乡政府驻地以</w:t>
      </w:r>
      <w:r>
        <w:rPr>
          <w:rFonts w:eastAsia="仿宋_GB2312" w:cs="Times New Roman"/>
          <w:color w:val="auto"/>
          <w:kern w:val="0"/>
          <w:sz w:val="32"/>
          <w:szCs w:val="32"/>
          <w:highlight w:val="none"/>
          <w:shd w:val="clear" w:color="auto" w:fill="FFFFFF"/>
        </w:rPr>
        <w:t>九</w:t>
      </w:r>
      <w:r>
        <w:rPr>
          <w:rFonts w:eastAsia="仿宋_GB2312" w:cs="Times New Roman"/>
          <w:color w:val="auto"/>
          <w:kern w:val="0"/>
          <w:sz w:val="32"/>
          <w:szCs w:val="32"/>
          <w:highlight w:val="none"/>
        </w:rPr>
        <w:t>阳村委会东侧街道为界划分为东西两个居住组团。居住组团规划以保留现状宅基地为主，</w:t>
      </w:r>
      <w:r>
        <w:rPr>
          <w:rFonts w:eastAsia="仿宋_GB2312" w:cs="Times New Roman"/>
          <w:color w:val="auto"/>
          <w:kern w:val="0"/>
          <w:sz w:val="32"/>
          <w:szCs w:val="32"/>
          <w:highlight w:val="none"/>
          <w:shd w:val="clear" w:color="auto" w:fill="FFFFFF"/>
        </w:rPr>
        <w:t>仅</w:t>
      </w:r>
      <w:r>
        <w:rPr>
          <w:rFonts w:eastAsia="仿宋_GB2312" w:cs="Times New Roman"/>
          <w:color w:val="auto"/>
          <w:kern w:val="0"/>
          <w:sz w:val="32"/>
          <w:szCs w:val="32"/>
          <w:highlight w:val="none"/>
        </w:rPr>
        <w:t>中学西侧现存少量城镇居住用地。居住组团用地规模较大，条件允许可进行多层住宅建设，提高土地利用效率。居住用地以存量更新为主，增量建设为辅。</w:t>
      </w:r>
    </w:p>
    <w:p w14:paraId="7BDA0E2E">
      <w:pPr>
        <w:pStyle w:val="4"/>
        <w:tabs>
          <w:tab w:val="clear" w:pos="0"/>
        </w:tabs>
        <w:spacing w:before="217" w:after="217"/>
        <w:rPr>
          <w:rFonts w:cs="Times New Roman"/>
          <w:color w:val="auto"/>
          <w:highlight w:val="none"/>
        </w:rPr>
      </w:pPr>
      <w:r>
        <w:rPr>
          <w:rFonts w:cs="Times New Roman"/>
          <w:color w:val="auto"/>
          <w:highlight w:val="none"/>
        </w:rPr>
        <w:t>住房建设</w:t>
      </w:r>
    </w:p>
    <w:p w14:paraId="7CF27A38">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规划立足现实状况，以改善居民生产生活条件为出发点，按乡镇标准配建各类公共服务设施和市政公用设施，留足绿地及公共活动空间，创造良好的人居环境。</w:t>
      </w:r>
    </w:p>
    <w:p w14:paraId="4ACD8379">
      <w:pPr>
        <w:pStyle w:val="3"/>
        <w:tabs>
          <w:tab w:val="clear" w:pos="2577"/>
          <w:tab w:val="clear" w:pos="2860"/>
        </w:tabs>
        <w:spacing w:beforeLines="50" w:afterLines="50" w:line="600" w:lineRule="atLeast"/>
        <w:rPr>
          <w:rFonts w:ascii="Times New Roman" w:hAnsi="Times New Roman" w:cs="Times New Roman"/>
          <w:color w:val="auto"/>
          <w:highlight w:val="none"/>
        </w:rPr>
      </w:pPr>
      <w:bookmarkStart w:id="85" w:name="_Toc23678"/>
      <w:r>
        <w:rPr>
          <w:rFonts w:ascii="Times New Roman" w:hAnsi="Times New Roman" w:cs="Times New Roman"/>
          <w:color w:val="auto"/>
          <w:highlight w:val="none"/>
        </w:rPr>
        <w:t>公共服务空间布局</w:t>
      </w:r>
      <w:bookmarkEnd w:id="85"/>
    </w:p>
    <w:p w14:paraId="198C488D">
      <w:pPr>
        <w:pStyle w:val="4"/>
        <w:tabs>
          <w:tab w:val="clear" w:pos="0"/>
        </w:tabs>
        <w:spacing w:before="217" w:after="217"/>
        <w:rPr>
          <w:rFonts w:cs="Times New Roman"/>
          <w:color w:val="auto"/>
          <w:highlight w:val="none"/>
        </w:rPr>
      </w:pPr>
      <w:r>
        <w:rPr>
          <w:rFonts w:cs="Times New Roman"/>
          <w:color w:val="auto"/>
          <w:highlight w:val="none"/>
        </w:rPr>
        <w:t>机关团体用地</w:t>
      </w:r>
    </w:p>
    <w:p w14:paraId="13BF8F1D">
      <w:pPr>
        <w:widowControl/>
        <w:ind w:firstLine="640"/>
        <w:rPr>
          <w:rFonts w:eastAsia="仿宋_GB2312" w:cs="Times New Roman"/>
          <w:color w:val="auto"/>
          <w:kern w:val="0"/>
          <w:sz w:val="32"/>
          <w:szCs w:val="32"/>
          <w:highlight w:val="none"/>
        </w:rPr>
      </w:pPr>
      <w:r>
        <w:rPr>
          <w:rFonts w:eastAsia="仿宋_GB2312" w:cs="Times New Roman"/>
          <w:color w:val="auto"/>
          <w:kern w:val="0"/>
          <w:sz w:val="32"/>
          <w:szCs w:val="32"/>
          <w:highlight w:val="none"/>
        </w:rPr>
        <w:t>规划保留现状位于京抚公路南侧的乡政府办公用地和驻地中部的村委会办公用地。</w:t>
      </w:r>
    </w:p>
    <w:p w14:paraId="35226800">
      <w:pPr>
        <w:pStyle w:val="4"/>
        <w:tabs>
          <w:tab w:val="clear" w:pos="0"/>
        </w:tabs>
        <w:spacing w:before="217" w:after="217"/>
        <w:rPr>
          <w:rFonts w:cs="Times New Roman"/>
          <w:color w:val="auto"/>
          <w:highlight w:val="none"/>
        </w:rPr>
      </w:pPr>
      <w:r>
        <w:rPr>
          <w:rFonts w:cs="Times New Roman"/>
          <w:color w:val="auto"/>
          <w:highlight w:val="none"/>
        </w:rPr>
        <w:t>文化设施</w:t>
      </w:r>
    </w:p>
    <w:p w14:paraId="38E516BD">
      <w:pPr>
        <w:widowControl/>
        <w:ind w:firstLine="640"/>
        <w:rPr>
          <w:rFonts w:eastAsia="仿宋_GB2312" w:cs="Times New Roman"/>
          <w:color w:val="auto"/>
          <w:kern w:val="0"/>
          <w:sz w:val="32"/>
          <w:szCs w:val="32"/>
          <w:highlight w:val="none"/>
        </w:rPr>
      </w:pPr>
      <w:r>
        <w:rPr>
          <w:rFonts w:eastAsia="仿宋_GB2312" w:cs="Times New Roman"/>
          <w:color w:val="auto"/>
          <w:kern w:val="0"/>
          <w:sz w:val="32"/>
          <w:szCs w:val="32"/>
          <w:highlight w:val="none"/>
        </w:rPr>
        <w:t>乡政府驻地不单独设置文化用地，文化设施在机关团体用地内部兼容设置。应设置书报阅览、文娱等功能，打造</w:t>
      </w:r>
      <w:r>
        <w:rPr>
          <w:rFonts w:hint="eastAsia" w:eastAsia="仿宋_GB2312" w:cs="Times New Roman"/>
          <w:color w:val="auto"/>
          <w:kern w:val="0"/>
          <w:sz w:val="32"/>
          <w:szCs w:val="32"/>
          <w:highlight w:val="none"/>
          <w:lang w:val="en-US" w:eastAsia="zh-CN"/>
        </w:rPr>
        <w:t>乡</w:t>
      </w:r>
      <w:r>
        <w:rPr>
          <w:rFonts w:eastAsia="仿宋_GB2312" w:cs="Times New Roman"/>
          <w:color w:val="auto"/>
          <w:kern w:val="0"/>
          <w:sz w:val="32"/>
          <w:szCs w:val="32"/>
          <w:highlight w:val="none"/>
        </w:rPr>
        <w:t>镇文化活动中心（</w:t>
      </w:r>
      <w:r>
        <w:rPr>
          <w:rFonts w:eastAsia="仿宋_GB2312" w:cs="Times New Roman"/>
          <w:color w:val="auto"/>
          <w:kern w:val="0"/>
          <w:sz w:val="32"/>
          <w:szCs w:val="32"/>
          <w:highlight w:val="none"/>
          <w:shd w:val="clear" w:color="auto" w:fill="FFFFFF"/>
        </w:rPr>
        <w:t>含</w:t>
      </w:r>
      <w:r>
        <w:rPr>
          <w:rFonts w:eastAsia="仿宋_GB2312" w:cs="Times New Roman"/>
          <w:color w:val="auto"/>
          <w:kern w:val="0"/>
          <w:sz w:val="32"/>
          <w:szCs w:val="32"/>
          <w:highlight w:val="none"/>
        </w:rPr>
        <w:t>青少年、老年活动中心），承办</w:t>
      </w:r>
      <w:r>
        <w:rPr>
          <w:rFonts w:eastAsia="仿宋_GB2312" w:cs="Times New Roman"/>
          <w:color w:val="auto"/>
          <w:kern w:val="0"/>
          <w:sz w:val="32"/>
          <w:szCs w:val="32"/>
          <w:highlight w:val="none"/>
          <w:shd w:val="clear" w:color="auto" w:fill="FFFFFF"/>
        </w:rPr>
        <w:t>乡域</w:t>
      </w:r>
      <w:r>
        <w:rPr>
          <w:rFonts w:eastAsia="仿宋_GB2312" w:cs="Times New Roman"/>
          <w:color w:val="auto"/>
          <w:kern w:val="0"/>
          <w:sz w:val="32"/>
          <w:szCs w:val="32"/>
          <w:highlight w:val="none"/>
        </w:rPr>
        <w:t>大中型活动以及城镇综合服务。</w:t>
      </w:r>
    </w:p>
    <w:p w14:paraId="542574A6">
      <w:pPr>
        <w:pStyle w:val="4"/>
        <w:tabs>
          <w:tab w:val="clear" w:pos="0"/>
        </w:tabs>
        <w:spacing w:before="217" w:after="217"/>
        <w:rPr>
          <w:rFonts w:cs="Times New Roman"/>
          <w:color w:val="auto"/>
          <w:highlight w:val="none"/>
        </w:rPr>
      </w:pPr>
      <w:r>
        <w:rPr>
          <w:rFonts w:cs="Times New Roman"/>
          <w:color w:val="auto"/>
          <w:highlight w:val="none"/>
        </w:rPr>
        <w:t>教育设施</w:t>
      </w:r>
    </w:p>
    <w:p w14:paraId="7BAFB4C2">
      <w:pPr>
        <w:widowControl/>
        <w:ind w:firstLine="640"/>
        <w:rPr>
          <w:rFonts w:eastAsia="仿宋_GB2312" w:cs="Times New Roman"/>
          <w:color w:val="auto"/>
          <w:kern w:val="0"/>
          <w:sz w:val="32"/>
          <w:szCs w:val="32"/>
          <w:highlight w:val="none"/>
        </w:rPr>
      </w:pPr>
      <w:r>
        <w:rPr>
          <w:rFonts w:eastAsia="仿宋_GB2312" w:cs="Times New Roman"/>
          <w:color w:val="auto"/>
          <w:kern w:val="0"/>
          <w:sz w:val="32"/>
          <w:szCs w:val="32"/>
          <w:highlight w:val="none"/>
        </w:rPr>
        <w:t>规划保留现状幼儿园、小学和中学，并对其进行维护和修缮，满足就近上学的需求。</w:t>
      </w:r>
    </w:p>
    <w:p w14:paraId="25FDD345">
      <w:pPr>
        <w:pStyle w:val="4"/>
        <w:tabs>
          <w:tab w:val="clear" w:pos="0"/>
        </w:tabs>
        <w:spacing w:before="217" w:after="217"/>
        <w:rPr>
          <w:rFonts w:cs="Times New Roman"/>
          <w:color w:val="auto"/>
          <w:highlight w:val="none"/>
        </w:rPr>
      </w:pPr>
      <w:r>
        <w:rPr>
          <w:rFonts w:cs="Times New Roman"/>
          <w:color w:val="auto"/>
          <w:highlight w:val="none"/>
        </w:rPr>
        <w:t>体育设施</w:t>
      </w:r>
    </w:p>
    <w:p w14:paraId="0D7C07A5">
      <w:pPr>
        <w:widowControl/>
        <w:ind w:firstLine="640"/>
        <w:rPr>
          <w:rFonts w:eastAsia="仿宋_GB2312" w:cs="Times New Roman"/>
          <w:color w:val="auto"/>
          <w:kern w:val="0"/>
          <w:sz w:val="32"/>
          <w:szCs w:val="32"/>
          <w:highlight w:val="none"/>
        </w:rPr>
      </w:pPr>
      <w:r>
        <w:rPr>
          <w:rFonts w:eastAsia="仿宋_GB2312" w:cs="Times New Roman"/>
          <w:color w:val="auto"/>
          <w:kern w:val="0"/>
          <w:sz w:val="32"/>
          <w:szCs w:val="32"/>
          <w:highlight w:val="none"/>
        </w:rPr>
        <w:t>乡政府驻地不单独设置体育用地，体育运动设施在绿地与开敞空间用地内部兼容设置，主要为全民健身器材等满足村民日常健身活动的设施。</w:t>
      </w:r>
    </w:p>
    <w:p w14:paraId="08A54925">
      <w:pPr>
        <w:pStyle w:val="4"/>
        <w:tabs>
          <w:tab w:val="clear" w:pos="0"/>
        </w:tabs>
        <w:spacing w:before="217" w:after="217"/>
        <w:rPr>
          <w:rFonts w:cs="Times New Roman"/>
          <w:color w:val="auto"/>
          <w:highlight w:val="none"/>
        </w:rPr>
      </w:pPr>
      <w:r>
        <w:rPr>
          <w:rFonts w:cs="Times New Roman"/>
          <w:color w:val="auto"/>
          <w:highlight w:val="none"/>
        </w:rPr>
        <w:t>医疗卫生设施</w:t>
      </w:r>
    </w:p>
    <w:p w14:paraId="6854BE93">
      <w:pPr>
        <w:widowControl/>
        <w:ind w:firstLine="640"/>
        <w:rPr>
          <w:rFonts w:eastAsia="仿宋_GB2312" w:cs="Times New Roman"/>
          <w:color w:val="auto"/>
          <w:kern w:val="0"/>
          <w:sz w:val="32"/>
          <w:szCs w:val="32"/>
          <w:highlight w:val="none"/>
        </w:rPr>
      </w:pPr>
      <w:r>
        <w:rPr>
          <w:rFonts w:eastAsia="仿宋_GB2312" w:cs="Times New Roman"/>
          <w:color w:val="auto"/>
          <w:kern w:val="0"/>
          <w:sz w:val="32"/>
          <w:szCs w:val="32"/>
          <w:highlight w:val="none"/>
        </w:rPr>
        <w:t>规划保留现状东河乡卫生院，并对其维护和更新，提高医疗水平和服务能力。</w:t>
      </w:r>
    </w:p>
    <w:p w14:paraId="2D46D3E7">
      <w:pPr>
        <w:pStyle w:val="4"/>
        <w:tabs>
          <w:tab w:val="clear" w:pos="0"/>
        </w:tabs>
        <w:spacing w:before="217" w:after="217"/>
        <w:rPr>
          <w:rFonts w:cs="Times New Roman"/>
          <w:color w:val="auto"/>
          <w:highlight w:val="none"/>
        </w:rPr>
      </w:pPr>
      <w:r>
        <w:rPr>
          <w:rFonts w:cs="Times New Roman"/>
          <w:color w:val="auto"/>
          <w:highlight w:val="none"/>
        </w:rPr>
        <w:t>社会福利设施</w:t>
      </w:r>
    </w:p>
    <w:p w14:paraId="10AC4FAD">
      <w:pPr>
        <w:widowControl/>
        <w:ind w:firstLine="640"/>
        <w:rPr>
          <w:rFonts w:eastAsia="仿宋_GB2312" w:cs="Times New Roman"/>
          <w:color w:val="auto"/>
          <w:kern w:val="0"/>
          <w:sz w:val="32"/>
          <w:szCs w:val="32"/>
          <w:highlight w:val="none"/>
        </w:rPr>
      </w:pPr>
      <w:r>
        <w:rPr>
          <w:rFonts w:eastAsia="仿宋_GB2312" w:cs="Times New Roman"/>
          <w:color w:val="auto"/>
          <w:kern w:val="0"/>
          <w:sz w:val="32"/>
          <w:szCs w:val="32"/>
          <w:highlight w:val="none"/>
        </w:rPr>
        <w:t>规划保留1处养老大院，并对其维护，提高服务能力。</w:t>
      </w:r>
    </w:p>
    <w:p w14:paraId="755EBA58">
      <w:pPr>
        <w:pStyle w:val="4"/>
        <w:tabs>
          <w:tab w:val="clear" w:pos="0"/>
        </w:tabs>
        <w:spacing w:before="217" w:after="217"/>
        <w:rPr>
          <w:rFonts w:cs="Times New Roman"/>
          <w:color w:val="auto"/>
          <w:highlight w:val="none"/>
        </w:rPr>
      </w:pPr>
      <w:r>
        <w:rPr>
          <w:rFonts w:cs="Times New Roman"/>
          <w:color w:val="auto"/>
          <w:highlight w:val="none"/>
        </w:rPr>
        <w:t>社区生活圈</w:t>
      </w:r>
    </w:p>
    <w:p w14:paraId="7C5E2504">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构建优质公共服务体系，超标准补齐公共服务短板，重点完善提升基础教育、文化、体育、福利等设施。</w:t>
      </w:r>
      <w:r>
        <w:rPr>
          <w:rFonts w:ascii="Times New Roman" w:hAnsi="Times New Roman" w:eastAsia="仿宋_GB2312"/>
          <w:bCs w:val="0"/>
          <w:color w:val="auto"/>
          <w:sz w:val="32"/>
          <w:szCs w:val="32"/>
          <w:highlight w:val="none"/>
          <w:shd w:val="clear" w:color="auto" w:fill="FFFFFF"/>
        </w:rPr>
        <w:t>共</w:t>
      </w:r>
      <w:r>
        <w:rPr>
          <w:rFonts w:ascii="Times New Roman" w:hAnsi="Times New Roman" w:eastAsia="仿宋_GB2312"/>
          <w:bCs w:val="0"/>
          <w:color w:val="auto"/>
          <w:sz w:val="32"/>
          <w:szCs w:val="32"/>
          <w:highlight w:val="none"/>
        </w:rPr>
        <w:t>划定1个15分钟生活圈、2个5</w:t>
      </w:r>
      <w:r>
        <w:rPr>
          <w:rFonts w:hint="eastAsia" w:ascii="Times New Roman" w:hAnsi="Times New Roman" w:eastAsia="仿宋_GB2312"/>
          <w:bCs w:val="0"/>
          <w:color w:val="auto"/>
          <w:sz w:val="32"/>
          <w:szCs w:val="32"/>
          <w:highlight w:val="none"/>
        </w:rPr>
        <w:t>～</w:t>
      </w:r>
      <w:r>
        <w:rPr>
          <w:rFonts w:ascii="Times New Roman" w:hAnsi="Times New Roman" w:eastAsia="仿宋_GB2312"/>
          <w:bCs w:val="0"/>
          <w:color w:val="auto"/>
          <w:sz w:val="32"/>
          <w:szCs w:val="32"/>
          <w:highlight w:val="none"/>
        </w:rPr>
        <w:t>10分钟生活圈。</w:t>
      </w:r>
    </w:p>
    <w:p w14:paraId="59922C03">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强化生活圈内基本服务功能可达性，将生活圈作为社区公共资源配置和社会治理的基本单元。制定15分钟生活圈、5</w:t>
      </w:r>
      <w:r>
        <w:rPr>
          <w:rFonts w:hint="eastAsia" w:ascii="Times New Roman" w:hAnsi="Times New Roman" w:eastAsia="仿宋_GB2312"/>
          <w:bCs w:val="0"/>
          <w:color w:val="auto"/>
          <w:sz w:val="32"/>
          <w:szCs w:val="32"/>
          <w:highlight w:val="none"/>
        </w:rPr>
        <w:t>～</w:t>
      </w:r>
      <w:r>
        <w:rPr>
          <w:rFonts w:ascii="Times New Roman" w:hAnsi="Times New Roman" w:eastAsia="仿宋_GB2312"/>
          <w:bCs w:val="0"/>
          <w:color w:val="auto"/>
          <w:sz w:val="32"/>
          <w:szCs w:val="32"/>
          <w:highlight w:val="none"/>
        </w:rPr>
        <w:t>10分钟生活圈居住区配套设施配置清单。</w:t>
      </w:r>
    </w:p>
    <w:p w14:paraId="7758C2FE">
      <w:pPr>
        <w:pStyle w:val="3"/>
        <w:tabs>
          <w:tab w:val="clear" w:pos="2577"/>
          <w:tab w:val="clear" w:pos="2860"/>
        </w:tabs>
        <w:spacing w:beforeLines="50" w:afterLines="50" w:line="600" w:lineRule="atLeast"/>
        <w:rPr>
          <w:rFonts w:ascii="Times New Roman" w:hAnsi="Times New Roman" w:cs="Times New Roman"/>
          <w:color w:val="auto"/>
          <w:highlight w:val="none"/>
        </w:rPr>
      </w:pPr>
      <w:bookmarkStart w:id="86" w:name="_Toc8790"/>
      <w:r>
        <w:rPr>
          <w:rFonts w:ascii="Times New Roman" w:hAnsi="Times New Roman" w:cs="Times New Roman"/>
          <w:color w:val="auto"/>
          <w:highlight w:val="none"/>
        </w:rPr>
        <w:t>绿地与开敞空间布局</w:t>
      </w:r>
      <w:bookmarkEnd w:id="86"/>
    </w:p>
    <w:p w14:paraId="75058742">
      <w:pPr>
        <w:pStyle w:val="4"/>
        <w:tabs>
          <w:tab w:val="clear" w:pos="0"/>
        </w:tabs>
        <w:spacing w:before="217" w:after="217"/>
        <w:rPr>
          <w:rFonts w:cs="Times New Roman"/>
          <w:color w:val="auto"/>
          <w:highlight w:val="none"/>
        </w:rPr>
      </w:pPr>
      <w:r>
        <w:rPr>
          <w:rFonts w:cs="Times New Roman"/>
          <w:color w:val="auto"/>
          <w:highlight w:val="none"/>
        </w:rPr>
        <w:t>绿地与公园体系结构</w:t>
      </w:r>
    </w:p>
    <w:p w14:paraId="6CE4EB56">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规划形成“一核、一轴、多点补充”的公园体系结构。</w:t>
      </w:r>
    </w:p>
    <w:p w14:paraId="39045666">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“一核”为乡政府驻地南部规划公园绿地形成休闲绿化景观核心。</w:t>
      </w:r>
    </w:p>
    <w:p w14:paraId="220AB824">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“一轴”为东西向的京抚公路，主要交通两侧的绿化空间，形成绿化景观轴线。</w:t>
      </w:r>
    </w:p>
    <w:p w14:paraId="57BBB748">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“多点补充”指依托1处规划口袋公园以及1处健身广场、乡政府驻地内现有林地、草地等形成的多处开敞空间。树立乡村新形象，体现东河乡生态、宜居、宜业的良好城乡环境。</w:t>
      </w:r>
    </w:p>
    <w:p w14:paraId="6D5E7747">
      <w:pPr>
        <w:pStyle w:val="4"/>
        <w:tabs>
          <w:tab w:val="clear" w:pos="0"/>
        </w:tabs>
        <w:spacing w:before="217" w:after="217"/>
        <w:rPr>
          <w:rFonts w:cs="Times New Roman"/>
          <w:color w:val="auto"/>
          <w:highlight w:val="none"/>
        </w:rPr>
      </w:pPr>
      <w:r>
        <w:rPr>
          <w:rFonts w:cs="Times New Roman"/>
          <w:color w:val="auto"/>
          <w:highlight w:val="none"/>
        </w:rPr>
        <w:t>公园绿地</w:t>
      </w:r>
    </w:p>
    <w:p w14:paraId="390262C2">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结合城乡生态体系构建，完善乡政府驻地绿地空间布局，建设级配合理、均衡分布、类型多样、满足需求的多层次城乡公园网络。</w:t>
      </w:r>
    </w:p>
    <w:p w14:paraId="28473A90">
      <w:pPr>
        <w:pStyle w:val="4"/>
        <w:tabs>
          <w:tab w:val="clear" w:pos="0"/>
        </w:tabs>
        <w:spacing w:before="217" w:after="217"/>
        <w:rPr>
          <w:rFonts w:cs="Times New Roman"/>
          <w:color w:val="auto"/>
          <w:highlight w:val="none"/>
        </w:rPr>
      </w:pPr>
      <w:r>
        <w:rPr>
          <w:rFonts w:cs="Times New Roman"/>
          <w:color w:val="auto"/>
          <w:highlight w:val="none"/>
        </w:rPr>
        <w:t>防护绿地</w:t>
      </w:r>
    </w:p>
    <w:p w14:paraId="2DA415A4">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在需要防护的公用设施用地周围设置的防护绿地，宽度控制在5-10米。</w:t>
      </w:r>
    </w:p>
    <w:p w14:paraId="6C0D0648">
      <w:pPr>
        <w:pStyle w:val="4"/>
        <w:tabs>
          <w:tab w:val="clear" w:pos="0"/>
        </w:tabs>
        <w:spacing w:before="217" w:after="217"/>
        <w:rPr>
          <w:rFonts w:cs="Times New Roman"/>
          <w:color w:val="auto"/>
          <w:highlight w:val="none"/>
        </w:rPr>
      </w:pPr>
      <w:r>
        <w:rPr>
          <w:rFonts w:cs="Times New Roman"/>
          <w:color w:val="auto"/>
          <w:highlight w:val="none"/>
        </w:rPr>
        <w:t>广场用地</w:t>
      </w:r>
    </w:p>
    <w:p w14:paraId="619F920E">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规划1处健身广场，位于京抚公路北侧，设置健身设施，满足日常活动、体育健身和举办集会的需求。</w:t>
      </w:r>
    </w:p>
    <w:bookmarkEnd w:id="74"/>
    <w:bookmarkEnd w:id="75"/>
    <w:bookmarkEnd w:id="76"/>
    <w:bookmarkEnd w:id="77"/>
    <w:bookmarkEnd w:id="78"/>
    <w:bookmarkEnd w:id="79"/>
    <w:bookmarkEnd w:id="80"/>
    <w:bookmarkEnd w:id="81"/>
    <w:bookmarkEnd w:id="82"/>
    <w:bookmarkEnd w:id="83"/>
    <w:bookmarkEnd w:id="84"/>
    <w:p w14:paraId="632D03A5">
      <w:pPr>
        <w:pStyle w:val="3"/>
        <w:keepLines w:val="0"/>
        <w:tabs>
          <w:tab w:val="clear" w:pos="2577"/>
          <w:tab w:val="clear" w:pos="2860"/>
        </w:tabs>
        <w:spacing w:beforeLines="50" w:afterLines="50" w:line="600" w:lineRule="atLeast"/>
        <w:rPr>
          <w:rFonts w:ascii="Times New Roman" w:hAnsi="Times New Roman" w:cs="Times New Roman"/>
          <w:color w:val="auto"/>
          <w:highlight w:val="none"/>
        </w:rPr>
      </w:pPr>
      <w:bookmarkStart w:id="87" w:name="_Toc27722"/>
      <w:bookmarkStart w:id="88" w:name="_Toc5021"/>
      <w:bookmarkStart w:id="89" w:name="_Toc15859"/>
      <w:r>
        <w:rPr>
          <w:rFonts w:ascii="Times New Roman" w:hAnsi="Times New Roman" w:cs="Times New Roman"/>
          <w:color w:val="auto"/>
          <w:highlight w:val="none"/>
        </w:rPr>
        <w:t>“四线”规划</w:t>
      </w:r>
      <w:bookmarkEnd w:id="87"/>
      <w:bookmarkEnd w:id="88"/>
      <w:r>
        <w:rPr>
          <w:rFonts w:ascii="Times New Roman" w:hAnsi="Times New Roman" w:cs="Times New Roman"/>
          <w:color w:val="auto"/>
          <w:highlight w:val="none"/>
        </w:rPr>
        <w:t>与战略留白</w:t>
      </w:r>
      <w:bookmarkEnd w:id="89"/>
    </w:p>
    <w:p w14:paraId="05F61710">
      <w:pPr>
        <w:pStyle w:val="4"/>
        <w:tabs>
          <w:tab w:val="clear" w:pos="0"/>
        </w:tabs>
        <w:spacing w:before="217" w:after="217"/>
        <w:rPr>
          <w:rFonts w:cs="Times New Roman"/>
          <w:color w:val="auto"/>
          <w:highlight w:val="none"/>
        </w:rPr>
      </w:pPr>
      <w:bookmarkStart w:id="90" w:name="_Hlk175294436"/>
      <w:r>
        <w:rPr>
          <w:rFonts w:cs="Times New Roman"/>
          <w:color w:val="auto"/>
          <w:highlight w:val="none"/>
        </w:rPr>
        <w:t>绿线</w:t>
      </w:r>
    </w:p>
    <w:p w14:paraId="5DC18CF3">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绿线严格按照《城市绿线管理办法》实施管控。绿线内的用地不得改作他用，原有建筑改造应不扩大现状占地规模。因市政基础设施、公共服务设施建设需要等情形需要修改绿线的应遵循区域绿地总量不减少、服务半径不增加、绿地系统完整的原则。</w:t>
      </w:r>
    </w:p>
    <w:p w14:paraId="10FFEF61">
      <w:pPr>
        <w:pStyle w:val="4"/>
        <w:tabs>
          <w:tab w:val="clear" w:pos="0"/>
        </w:tabs>
        <w:spacing w:before="217" w:after="217"/>
        <w:rPr>
          <w:rFonts w:cs="Times New Roman"/>
          <w:color w:val="auto"/>
          <w:highlight w:val="none"/>
        </w:rPr>
      </w:pPr>
      <w:r>
        <w:rPr>
          <w:rFonts w:cs="Times New Roman"/>
          <w:color w:val="auto"/>
          <w:highlight w:val="none"/>
        </w:rPr>
        <w:t>黄线</w:t>
      </w:r>
    </w:p>
    <w:p w14:paraId="6D4E9EA0">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黄线是指规划确定</w:t>
      </w:r>
      <w:r>
        <w:rPr>
          <w:rFonts w:hint="eastAsia" w:ascii="Times New Roman" w:hAnsi="Times New Roman" w:eastAsia="仿宋_GB2312"/>
          <w:bCs w:val="0"/>
          <w:color w:val="auto"/>
          <w:sz w:val="32"/>
          <w:szCs w:val="32"/>
          <w:highlight w:val="none"/>
          <w:lang w:val="en-US" w:eastAsia="zh-CN"/>
        </w:rPr>
        <w:t>的</w:t>
      </w:r>
      <w:r>
        <w:rPr>
          <w:rFonts w:hint="eastAsia" w:ascii="Times New Roman" w:hAnsi="Times New Roman" w:eastAsia="仿宋_GB2312"/>
          <w:bCs w:val="0"/>
          <w:color w:val="auto"/>
          <w:sz w:val="32"/>
          <w:szCs w:val="32"/>
          <w:highlight w:val="none"/>
        </w:rPr>
        <w:t>对</w:t>
      </w:r>
      <w:r>
        <w:rPr>
          <w:rFonts w:ascii="Times New Roman" w:hAnsi="Times New Roman" w:eastAsia="仿宋_GB2312"/>
          <w:bCs w:val="0"/>
          <w:color w:val="auto"/>
          <w:sz w:val="32"/>
          <w:szCs w:val="32"/>
          <w:highlight w:val="none"/>
        </w:rPr>
        <w:t>城市发展全局有影响的、必须控制的城市基础设施用地的边界控制界线。</w:t>
      </w:r>
      <w:r>
        <w:rPr>
          <w:rFonts w:hint="eastAsia" w:ascii="Times New Roman" w:hAnsi="Times New Roman" w:eastAsia="仿宋_GB2312"/>
          <w:bCs w:val="0"/>
          <w:color w:val="auto"/>
          <w:sz w:val="32"/>
          <w:szCs w:val="32"/>
          <w:highlight w:val="none"/>
        </w:rPr>
        <w:t>东河乡乡政府驻地</w:t>
      </w:r>
      <w:r>
        <w:rPr>
          <w:rFonts w:ascii="Times New Roman" w:hAnsi="Times New Roman" w:eastAsia="仿宋_GB2312"/>
          <w:bCs w:val="0"/>
          <w:color w:val="auto"/>
          <w:sz w:val="32"/>
          <w:szCs w:val="32"/>
          <w:highlight w:val="none"/>
        </w:rPr>
        <w:t>黄线包括</w:t>
      </w:r>
      <w:r>
        <w:rPr>
          <w:rFonts w:hint="eastAsia" w:ascii="Times New Roman" w:hAnsi="Times New Roman" w:eastAsia="仿宋_GB2312"/>
          <w:bCs w:val="0"/>
          <w:color w:val="auto"/>
          <w:sz w:val="32"/>
          <w:szCs w:val="32"/>
          <w:highlight w:val="none"/>
        </w:rPr>
        <w:t>污水处理厂</w:t>
      </w:r>
      <w:r>
        <w:rPr>
          <w:rFonts w:ascii="Times New Roman" w:hAnsi="Times New Roman" w:eastAsia="仿宋_GB2312"/>
          <w:bCs w:val="0"/>
          <w:color w:val="auto"/>
          <w:sz w:val="32"/>
          <w:szCs w:val="32"/>
          <w:highlight w:val="none"/>
        </w:rPr>
        <w:t>、变</w:t>
      </w:r>
      <w:r>
        <w:rPr>
          <w:rFonts w:hint="eastAsia" w:ascii="Times New Roman" w:hAnsi="Times New Roman" w:eastAsia="仿宋_GB2312"/>
          <w:bCs w:val="0"/>
          <w:color w:val="auto"/>
          <w:sz w:val="32"/>
          <w:szCs w:val="32"/>
          <w:highlight w:val="none"/>
          <w:lang w:eastAsia="zh-CN"/>
        </w:rPr>
        <w:t>电</w:t>
      </w:r>
      <w:r>
        <w:rPr>
          <w:rFonts w:ascii="Times New Roman" w:hAnsi="Times New Roman" w:eastAsia="仿宋_GB2312"/>
          <w:bCs w:val="0"/>
          <w:color w:val="auto"/>
          <w:sz w:val="32"/>
          <w:szCs w:val="32"/>
          <w:highlight w:val="none"/>
        </w:rPr>
        <w:t>站、热源厂、消防站以及交通设施等重要基础设施。因城市发展和城市功能、布局变化等，需要调整黄线的，应当组织专家论证，依法调整规划。</w:t>
      </w:r>
    </w:p>
    <w:bookmarkEnd w:id="90"/>
    <w:p w14:paraId="2A6E83C3">
      <w:pPr>
        <w:pStyle w:val="4"/>
        <w:tabs>
          <w:tab w:val="clear" w:pos="0"/>
        </w:tabs>
        <w:spacing w:before="217" w:after="217"/>
        <w:rPr>
          <w:rFonts w:cs="Times New Roman"/>
          <w:color w:val="auto"/>
          <w:highlight w:val="none"/>
        </w:rPr>
      </w:pPr>
      <w:r>
        <w:rPr>
          <w:rFonts w:cs="Times New Roman"/>
          <w:color w:val="auto"/>
          <w:highlight w:val="none"/>
        </w:rPr>
        <w:t>预留规划留白用地</w:t>
      </w:r>
    </w:p>
    <w:p w14:paraId="5FF6144C">
      <w:pPr>
        <w:pStyle w:val="55"/>
        <w:ind w:firstLine="640"/>
        <w:rPr>
          <w:color w:val="auto"/>
          <w:szCs w:val="32"/>
          <w:highlight w:val="none"/>
        </w:rPr>
      </w:pPr>
      <w:bookmarkStart w:id="91" w:name="_Hlk175291356"/>
      <w:r>
        <w:rPr>
          <w:color w:val="auto"/>
          <w:szCs w:val="32"/>
          <w:highlight w:val="none"/>
        </w:rPr>
        <w:t>根据《自然资源部办公厅关于加强村庄规划促进乡村振兴的通知》（自然资办发〔2019〕35号），可预留不超过5%的建设用地机动指标，村民居住、农村公共公益设施、零星分散的乡村文旅设施及农村新产业新业态等用地可申请使用。</w:t>
      </w:r>
      <w:bookmarkEnd w:id="91"/>
    </w:p>
    <w:p w14:paraId="04A45241">
      <w:pPr>
        <w:pStyle w:val="36"/>
        <w:ind w:firstLine="560"/>
        <w:rPr>
          <w:rFonts w:ascii="Times New Roman" w:hAnsi="Times New Roman" w:eastAsia="仿宋_GB2312" w:cs="Times New Roman"/>
          <w:color w:val="auto"/>
          <w:highlight w:val="none"/>
        </w:rPr>
      </w:pPr>
    </w:p>
    <w:p w14:paraId="5A558E7B">
      <w:pPr>
        <w:ind w:firstLine="560"/>
        <w:rPr>
          <w:rFonts w:eastAsia="仿宋_GB2312" w:cs="Times New Roman"/>
          <w:color w:val="auto"/>
          <w:highlight w:val="none"/>
        </w:rPr>
      </w:pPr>
      <w:r>
        <w:rPr>
          <w:rFonts w:eastAsia="仿宋_GB2312" w:cs="Times New Roman"/>
          <w:color w:val="auto"/>
          <w:highlight w:val="none"/>
        </w:rPr>
        <w:br w:type="page"/>
      </w:r>
    </w:p>
    <w:p w14:paraId="6B3903BA">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pPr>
      <w:bookmarkStart w:id="92" w:name="_Toc22621"/>
      <w:r>
        <w:rPr>
          <w:rFonts w:cs="Times New Roman"/>
          <w:bCs/>
          <w:color w:val="auto"/>
          <w:szCs w:val="36"/>
          <w:highlight w:val="none"/>
        </w:rPr>
        <w:t>完善基础保障体系建设</w:t>
      </w:r>
      <w:bookmarkEnd w:id="92"/>
    </w:p>
    <w:p w14:paraId="101ACE93">
      <w:pPr>
        <w:pStyle w:val="3"/>
        <w:numPr>
          <w:ilvl w:val="0"/>
          <w:numId w:val="17"/>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93" w:name="_Toc25423"/>
      <w:r>
        <w:rPr>
          <w:rFonts w:ascii="Times New Roman" w:hAnsi="Times New Roman" w:cs="Times New Roman"/>
          <w:color w:val="auto"/>
          <w:szCs w:val="32"/>
          <w:highlight w:val="none"/>
        </w:rPr>
        <w:t>优化</w:t>
      </w:r>
      <w:r>
        <w:rPr>
          <w:rFonts w:ascii="Times New Roman" w:hAnsi="Times New Roman" w:cs="Times New Roman"/>
          <w:color w:val="auto"/>
          <w:szCs w:val="32"/>
          <w:highlight w:val="none"/>
          <w:shd w:val="clear" w:color="auto" w:fill="FFFFFF"/>
        </w:rPr>
        <w:t>乡</w:t>
      </w:r>
      <w:r>
        <w:rPr>
          <w:rFonts w:ascii="Times New Roman" w:hAnsi="Times New Roman" w:cs="Times New Roman"/>
          <w:color w:val="auto"/>
          <w:szCs w:val="32"/>
          <w:highlight w:val="none"/>
        </w:rPr>
        <w:t>域综合交通组织</w:t>
      </w:r>
      <w:bookmarkEnd w:id="93"/>
    </w:p>
    <w:p w14:paraId="7CD59A29">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构建多层次综合立体交通体系，补齐交通基础设施短板，充分发挥东河乡区位优势，支撑社会经济发展，构建以国道为主骨架，乡道为基础，</w:t>
      </w:r>
      <w:r>
        <w:rPr>
          <w:rFonts w:ascii="Times New Roman" w:hAnsi="Times New Roman" w:eastAsia="仿宋_GB2312" w:cs="Times New Roman"/>
          <w:color w:val="auto"/>
          <w:sz w:val="32"/>
          <w:szCs w:val="28"/>
          <w:highlight w:val="none"/>
          <w:shd w:val="clear" w:color="auto" w:fill="FFFFFF"/>
        </w:rPr>
        <w:t>村</w:t>
      </w:r>
      <w:r>
        <w:rPr>
          <w:rFonts w:ascii="Times New Roman" w:hAnsi="Times New Roman" w:eastAsia="仿宋_GB2312" w:cs="Times New Roman"/>
          <w:color w:val="auto"/>
          <w:sz w:val="32"/>
          <w:szCs w:val="28"/>
          <w:highlight w:val="none"/>
        </w:rPr>
        <w:t>路为补充的安全便捷、内畅外达、智慧高效的综合交通体系，促进区域交通、城乡交通协调发展。提升国道通行能力和服务水平，发展村镇经济。</w:t>
      </w:r>
    </w:p>
    <w:p w14:paraId="219874E1">
      <w:pPr>
        <w:pStyle w:val="4"/>
        <w:tabs>
          <w:tab w:val="clear" w:pos="0"/>
        </w:tabs>
        <w:spacing w:before="217" w:after="217"/>
        <w:rPr>
          <w:rFonts w:cs="Times New Roman"/>
          <w:color w:val="auto"/>
          <w:highlight w:val="none"/>
        </w:rPr>
      </w:pPr>
      <w:r>
        <w:rPr>
          <w:rFonts w:cs="Times New Roman"/>
          <w:color w:val="auto"/>
          <w:highlight w:val="none"/>
        </w:rPr>
        <w:t>对外交通</w:t>
      </w:r>
    </w:p>
    <w:p w14:paraId="2C1E2D74">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国道G102京抚公路。规划</w:t>
      </w:r>
      <w:r>
        <w:rPr>
          <w:rFonts w:hint="eastAsia" w:ascii="Times New Roman" w:hAnsi="Times New Roman" w:eastAsia="仿宋_GB2312" w:cs="Times New Roman"/>
          <w:color w:val="auto"/>
          <w:sz w:val="32"/>
          <w:szCs w:val="28"/>
          <w:highlight w:val="none"/>
        </w:rPr>
        <w:t>东河乡乡域</w:t>
      </w:r>
      <w:r>
        <w:rPr>
          <w:rFonts w:ascii="Times New Roman" w:hAnsi="Times New Roman" w:eastAsia="仿宋_GB2312" w:cs="Times New Roman"/>
          <w:color w:val="auto"/>
          <w:sz w:val="32"/>
          <w:szCs w:val="28"/>
          <w:highlight w:val="none"/>
        </w:rPr>
        <w:t>内全线改扩建为一级公路，路基宽25.5米，路面宽21米，沥青混凝土路面。</w:t>
      </w:r>
    </w:p>
    <w:p w14:paraId="14A56205">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省道S202（规划名山—兴凯湖）。规划位于东河乡东侧，为二级公路，建设完成后可以增加东河乡</w:t>
      </w:r>
      <w:r>
        <w:rPr>
          <w:rFonts w:ascii="Times New Roman" w:hAnsi="Times New Roman" w:eastAsia="仿宋_GB2312" w:cs="Times New Roman"/>
          <w:color w:val="auto"/>
          <w:sz w:val="32"/>
          <w:szCs w:val="28"/>
          <w:highlight w:val="none"/>
          <w:shd w:val="clear" w:color="auto" w:fill="FFFFFF"/>
        </w:rPr>
        <w:t>同</w:t>
      </w:r>
      <w:r>
        <w:rPr>
          <w:rFonts w:ascii="Times New Roman" w:hAnsi="Times New Roman" w:eastAsia="仿宋_GB2312" w:cs="Times New Roman"/>
          <w:color w:val="auto"/>
          <w:sz w:val="32"/>
          <w:szCs w:val="28"/>
          <w:highlight w:val="none"/>
        </w:rPr>
        <w:t>集贤方向的交通联系。</w:t>
      </w:r>
    </w:p>
    <w:p w14:paraId="1487FFD0">
      <w:pPr>
        <w:pStyle w:val="4"/>
        <w:tabs>
          <w:tab w:val="clear" w:pos="0"/>
        </w:tabs>
        <w:spacing w:before="217" w:after="217"/>
        <w:rPr>
          <w:rFonts w:cs="Times New Roman"/>
          <w:color w:val="auto"/>
          <w:highlight w:val="none"/>
        </w:rPr>
      </w:pPr>
      <w:r>
        <w:rPr>
          <w:rFonts w:cs="Times New Roman"/>
          <w:color w:val="auto"/>
          <w:highlight w:val="none"/>
        </w:rPr>
        <w:t>对内交通</w:t>
      </w:r>
    </w:p>
    <w:p w14:paraId="59B23119">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完善内部网络，加强各村屯之间道路连通，继续推进“四好农村路”建设，把农村公路建好、管好、护好、运营好，为加快推进农业农村现代化提供更好保障。规划期内，对道路进行修缮改造，定期做好养护工作，全面提高各级道路交通通行能力和服务水平；同时对现状道路进行提档升级，实施道路硬化工程，至规划期末，内部道路通达率、硬化率达100%。</w:t>
      </w:r>
    </w:p>
    <w:p w14:paraId="25318086">
      <w:pPr>
        <w:pStyle w:val="4"/>
        <w:tabs>
          <w:tab w:val="clear" w:pos="0"/>
        </w:tabs>
        <w:spacing w:before="217" w:after="217"/>
        <w:rPr>
          <w:rFonts w:cs="Times New Roman"/>
          <w:color w:val="auto"/>
          <w:highlight w:val="none"/>
        </w:rPr>
      </w:pPr>
      <w:r>
        <w:rPr>
          <w:rFonts w:cs="Times New Roman"/>
          <w:color w:val="auto"/>
          <w:highlight w:val="none"/>
        </w:rPr>
        <w:t>交通枢纽设施</w:t>
      </w:r>
    </w:p>
    <w:p w14:paraId="0B99F8DC">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于乡政府驻地规划客运站 1 处，结合东河乡实际需求，按照中央一号文件的相关要求，结合物流快递网点布局，发展“多站合一”的全域客货</w:t>
      </w:r>
      <w:r>
        <w:rPr>
          <w:rFonts w:ascii="Times New Roman" w:hAnsi="Times New Roman" w:eastAsia="仿宋_GB2312" w:cs="Times New Roman"/>
          <w:color w:val="auto"/>
          <w:sz w:val="32"/>
          <w:szCs w:val="28"/>
          <w:highlight w:val="none"/>
          <w:shd w:val="clear" w:color="auto" w:fill="FFFFFF"/>
        </w:rPr>
        <w:t>邮</w:t>
      </w:r>
      <w:r>
        <w:rPr>
          <w:rFonts w:ascii="Times New Roman" w:hAnsi="Times New Roman" w:eastAsia="仿宋_GB2312" w:cs="Times New Roman"/>
          <w:color w:val="auto"/>
          <w:sz w:val="32"/>
          <w:szCs w:val="28"/>
          <w:highlight w:val="none"/>
        </w:rPr>
        <w:t>综合服务站。提高公共交通和客运服务水平，整合传统物流站场，融入全县城乡一体化现代物流体系。</w:t>
      </w:r>
    </w:p>
    <w:p w14:paraId="1D84C284">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94" w:name="_Toc20554"/>
      <w:bookmarkStart w:id="95" w:name="_Toc3607"/>
      <w:r>
        <w:rPr>
          <w:rFonts w:ascii="Times New Roman" w:hAnsi="Times New Roman" w:cs="Times New Roman"/>
          <w:color w:val="auto"/>
          <w:szCs w:val="32"/>
          <w:highlight w:val="none"/>
        </w:rPr>
        <w:t>乡政府驻地道路交通系统</w:t>
      </w:r>
      <w:bookmarkEnd w:id="94"/>
      <w:bookmarkEnd w:id="95"/>
    </w:p>
    <w:p w14:paraId="2C310036">
      <w:pPr>
        <w:pStyle w:val="4"/>
        <w:tabs>
          <w:tab w:val="clear" w:pos="0"/>
        </w:tabs>
        <w:spacing w:before="217" w:after="217"/>
        <w:rPr>
          <w:rFonts w:cs="Times New Roman"/>
          <w:color w:val="auto"/>
          <w:highlight w:val="none"/>
        </w:rPr>
      </w:pPr>
      <w:bookmarkStart w:id="96" w:name="_Toc9553"/>
      <w:r>
        <w:rPr>
          <w:rFonts w:cs="Times New Roman"/>
          <w:color w:val="auto"/>
          <w:highlight w:val="none"/>
        </w:rPr>
        <w:t>交通系统发展目标</w:t>
      </w:r>
      <w:bookmarkEnd w:id="96"/>
    </w:p>
    <w:p w14:paraId="1DA85E18">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根据东河乡社会经济发展战略、城</w:t>
      </w:r>
      <w:r>
        <w:rPr>
          <w:rFonts w:hint="eastAsia" w:ascii="Times New Roman" w:hAnsi="Times New Roman" w:eastAsia="仿宋_GB2312"/>
          <w:bCs w:val="0"/>
          <w:color w:val="auto"/>
          <w:sz w:val="32"/>
          <w:szCs w:val="32"/>
          <w:highlight w:val="none"/>
          <w:lang w:val="en-US" w:eastAsia="zh-CN"/>
        </w:rPr>
        <w:t>乡</w:t>
      </w:r>
      <w:r>
        <w:rPr>
          <w:rFonts w:ascii="Times New Roman" w:hAnsi="Times New Roman" w:eastAsia="仿宋_GB2312"/>
          <w:bCs w:val="0"/>
          <w:color w:val="auto"/>
          <w:sz w:val="32"/>
          <w:szCs w:val="32"/>
          <w:highlight w:val="none"/>
        </w:rPr>
        <w:t>空间发展的目标和功能定位，提出</w:t>
      </w:r>
      <w:r>
        <w:rPr>
          <w:rFonts w:hint="eastAsia" w:ascii="Times New Roman" w:hAnsi="Times New Roman" w:eastAsia="仿宋_GB2312"/>
          <w:bCs w:val="0"/>
          <w:color w:val="auto"/>
          <w:sz w:val="32"/>
          <w:szCs w:val="32"/>
          <w:highlight w:val="none"/>
        </w:rPr>
        <w:t>东河乡乡政府驻地</w:t>
      </w:r>
      <w:r>
        <w:rPr>
          <w:rFonts w:ascii="Times New Roman" w:hAnsi="Times New Roman" w:eastAsia="仿宋_GB2312"/>
          <w:bCs w:val="0"/>
          <w:color w:val="auto"/>
          <w:sz w:val="32"/>
          <w:szCs w:val="32"/>
          <w:highlight w:val="none"/>
        </w:rPr>
        <w:t>道路交通发展战略目标为：构建一个引导城乡空间拓展，以便捷通畅为主要目标，以景城一体为特色的城镇道路交通系统。</w:t>
      </w:r>
    </w:p>
    <w:p w14:paraId="5C09F674">
      <w:pPr>
        <w:pStyle w:val="4"/>
        <w:tabs>
          <w:tab w:val="clear" w:pos="0"/>
        </w:tabs>
        <w:spacing w:before="217" w:after="217"/>
        <w:rPr>
          <w:rFonts w:cs="Times New Roman"/>
          <w:color w:val="auto"/>
          <w:highlight w:val="none"/>
        </w:rPr>
      </w:pPr>
      <w:bookmarkStart w:id="97" w:name="_Toc2582"/>
      <w:r>
        <w:rPr>
          <w:rFonts w:cs="Times New Roman"/>
          <w:color w:val="auto"/>
          <w:highlight w:val="none"/>
        </w:rPr>
        <w:t>道路网结构和布局规划</w:t>
      </w:r>
      <w:bookmarkEnd w:id="97"/>
    </w:p>
    <w:p w14:paraId="4F523323">
      <w:pPr>
        <w:numPr>
          <w:ilvl w:val="0"/>
          <w:numId w:val="18"/>
        </w:numPr>
        <w:ind w:firstLine="640"/>
        <w:rPr>
          <w:rFonts w:eastAsia="仿宋_GB2312" w:cs="Times New Roman"/>
          <w:color w:val="auto"/>
          <w:sz w:val="32"/>
          <w:szCs w:val="32"/>
          <w:highlight w:val="none"/>
        </w:rPr>
      </w:pPr>
      <w:bookmarkStart w:id="98" w:name="_Toc4556"/>
      <w:r>
        <w:rPr>
          <w:rFonts w:eastAsia="仿宋_GB2312" w:cs="Times New Roman"/>
          <w:color w:val="auto"/>
          <w:sz w:val="32"/>
          <w:szCs w:val="32"/>
          <w:highlight w:val="none"/>
        </w:rPr>
        <w:t>道路系统</w:t>
      </w:r>
    </w:p>
    <w:p w14:paraId="65D1C4C3">
      <w:pPr>
        <w:ind w:firstLine="640"/>
        <w:rPr>
          <w:rFonts w:eastAsia="仿宋_GB2312" w:cs="Times New Roman"/>
          <w:color w:val="auto"/>
          <w:sz w:val="32"/>
          <w:szCs w:val="32"/>
          <w:highlight w:val="none"/>
        </w:rPr>
      </w:pPr>
      <w:r>
        <w:rPr>
          <w:rFonts w:eastAsia="仿宋_GB2312" w:cs="Times New Roman"/>
          <w:color w:val="auto"/>
          <w:sz w:val="32"/>
          <w:szCs w:val="32"/>
          <w:highlight w:val="none"/>
        </w:rPr>
        <w:t>根据现状道路特点和用地开发边界，规划道路结构为方格网形式。道路等级分为主干路（一级公路）、次干路、支路和巷道。</w:t>
      </w:r>
    </w:p>
    <w:p w14:paraId="2C82B879">
      <w:pPr>
        <w:ind w:firstLine="640"/>
        <w:rPr>
          <w:rFonts w:eastAsia="仿宋_GB2312" w:cs="Times New Roman"/>
          <w:color w:val="auto"/>
          <w:sz w:val="32"/>
          <w:szCs w:val="32"/>
          <w:highlight w:val="none"/>
        </w:rPr>
      </w:pPr>
      <w:r>
        <w:rPr>
          <w:rFonts w:eastAsia="仿宋_GB2312" w:cs="Times New Roman"/>
          <w:color w:val="auto"/>
          <w:sz w:val="32"/>
          <w:szCs w:val="32"/>
          <w:highlight w:val="none"/>
        </w:rPr>
        <w:t>2、慢行系统</w:t>
      </w:r>
    </w:p>
    <w:p w14:paraId="7BFF8F68">
      <w:pPr>
        <w:ind w:firstLine="640"/>
        <w:rPr>
          <w:rFonts w:eastAsia="仿宋_GB2312" w:cs="Times New Roman"/>
          <w:color w:val="auto"/>
          <w:sz w:val="32"/>
          <w:szCs w:val="32"/>
          <w:highlight w:val="none"/>
        </w:rPr>
      </w:pPr>
      <w:r>
        <w:rPr>
          <w:rFonts w:eastAsia="仿宋_GB2312" w:cs="Times New Roman"/>
          <w:color w:val="auto"/>
          <w:sz w:val="32"/>
          <w:szCs w:val="32"/>
          <w:highlight w:val="none"/>
        </w:rPr>
        <w:t>综合考虑乡政府驻地街区尺度、通勤距离，步行及非机动车出行比例等实际情况，优先打造安全、宜行的绿色交通体系，重点完善步行和自行车出行空间，鼓励绿色交通出行，提升慢行交通生活品质。</w:t>
      </w:r>
    </w:p>
    <w:p w14:paraId="089E209E">
      <w:pPr>
        <w:ind w:firstLine="640"/>
        <w:rPr>
          <w:rFonts w:eastAsia="仿宋_GB2312" w:cs="Times New Roman"/>
          <w:color w:val="auto"/>
          <w:sz w:val="32"/>
          <w:szCs w:val="32"/>
          <w:highlight w:val="none"/>
        </w:rPr>
      </w:pPr>
      <w:r>
        <w:rPr>
          <w:rFonts w:eastAsia="仿宋_GB2312" w:cs="Times New Roman"/>
          <w:color w:val="auto"/>
          <w:sz w:val="32"/>
          <w:szCs w:val="32"/>
          <w:highlight w:val="none"/>
        </w:rPr>
        <w:t>3、静态交通系统</w:t>
      </w:r>
    </w:p>
    <w:p w14:paraId="45913C3C">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规划设置社会停车场1处，与规划的东河乡服务区结合设置。驻地构建以配建为主、公共为辅、路内停车为补充的静态交通体系。</w:t>
      </w:r>
    </w:p>
    <w:p w14:paraId="166D9D2F">
      <w:pPr>
        <w:pStyle w:val="4"/>
        <w:tabs>
          <w:tab w:val="clear" w:pos="0"/>
        </w:tabs>
        <w:spacing w:before="217" w:after="217"/>
        <w:rPr>
          <w:rFonts w:cs="Times New Roman"/>
          <w:color w:val="auto"/>
          <w:highlight w:val="none"/>
        </w:rPr>
      </w:pPr>
      <w:r>
        <w:rPr>
          <w:rFonts w:cs="Times New Roman"/>
          <w:color w:val="auto"/>
          <w:highlight w:val="none"/>
        </w:rPr>
        <w:t>交通场站规划</w:t>
      </w:r>
      <w:bookmarkEnd w:id="98"/>
    </w:p>
    <w:p w14:paraId="78C70C8B">
      <w:pPr>
        <w:ind w:firstLine="640"/>
        <w:rPr>
          <w:rFonts w:eastAsia="仿宋_GB2312" w:cs="Times New Roman"/>
          <w:color w:val="auto"/>
          <w:sz w:val="32"/>
          <w:szCs w:val="32"/>
          <w:highlight w:val="none"/>
        </w:rPr>
      </w:pPr>
      <w:r>
        <w:rPr>
          <w:rFonts w:eastAsia="仿宋_GB2312" w:cs="Times New Roman"/>
          <w:color w:val="auto"/>
          <w:sz w:val="32"/>
          <w:szCs w:val="32"/>
          <w:highlight w:val="none"/>
          <w:u w:val="single"/>
        </w:rPr>
        <w:t>规划客运站1处，</w:t>
      </w:r>
      <w:r>
        <w:rPr>
          <w:rFonts w:eastAsia="仿宋_GB2312" w:cs="Times New Roman"/>
          <w:color w:val="auto"/>
          <w:sz w:val="32"/>
          <w:szCs w:val="32"/>
          <w:highlight w:val="none"/>
        </w:rPr>
        <w:t>位于乡政府西侧，京抚公路南侧。</w:t>
      </w:r>
    </w:p>
    <w:p w14:paraId="7177CE43">
      <w:pPr>
        <w:ind w:firstLine="640"/>
        <w:rPr>
          <w:rFonts w:eastAsia="仿宋_GB2312" w:cs="Times New Roman"/>
          <w:color w:val="auto"/>
          <w:sz w:val="32"/>
          <w:szCs w:val="32"/>
          <w:highlight w:val="none"/>
        </w:rPr>
      </w:pPr>
      <w:r>
        <w:rPr>
          <w:rFonts w:eastAsia="仿宋_GB2312" w:cs="Times New Roman"/>
          <w:color w:val="auto"/>
          <w:sz w:val="32"/>
          <w:szCs w:val="32"/>
          <w:highlight w:val="none"/>
          <w:u w:val="single"/>
        </w:rPr>
        <w:t>规划新建东河乡服务区，</w:t>
      </w:r>
      <w:r>
        <w:rPr>
          <w:rFonts w:eastAsia="仿宋_GB2312" w:cs="Times New Roman"/>
          <w:color w:val="auto"/>
          <w:sz w:val="32"/>
          <w:szCs w:val="32"/>
          <w:highlight w:val="none"/>
        </w:rPr>
        <w:t>位于驻地东侧，京抚公路南侧。</w:t>
      </w:r>
    </w:p>
    <w:p w14:paraId="439126CB">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99" w:name="_Toc23637"/>
      <w:r>
        <w:rPr>
          <w:rFonts w:ascii="Times New Roman" w:hAnsi="Times New Roman" w:cs="Times New Roman"/>
          <w:color w:val="auto"/>
          <w:szCs w:val="32"/>
          <w:highlight w:val="none"/>
        </w:rPr>
        <w:t>提高公服设施均等化水平</w:t>
      </w:r>
      <w:bookmarkEnd w:id="99"/>
    </w:p>
    <w:p w14:paraId="39451102">
      <w:pPr>
        <w:pStyle w:val="4"/>
        <w:tabs>
          <w:tab w:val="clear" w:pos="0"/>
        </w:tabs>
        <w:spacing w:before="217" w:after="217"/>
        <w:rPr>
          <w:rFonts w:cs="Times New Roman"/>
          <w:color w:val="auto"/>
          <w:highlight w:val="none"/>
        </w:rPr>
      </w:pPr>
      <w:r>
        <w:rPr>
          <w:rFonts w:cs="Times New Roman"/>
          <w:color w:val="auto"/>
          <w:highlight w:val="none"/>
        </w:rPr>
        <w:t>构建公共服务设施体系</w:t>
      </w:r>
    </w:p>
    <w:p w14:paraId="7AD23D3B">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规划在尊重现状的基础上，结合人口发展趋势，按照黑龙江省地方标准《社区生活圈规划技术指南》（DB23/T 3566—2023）分项分级设置各类公共服务设施，建设“乡/</w:t>
      </w:r>
      <w:r>
        <w:rPr>
          <w:rFonts w:ascii="Times New Roman" w:hAnsi="Times New Roman" w:eastAsia="仿宋_GB2312" w:cs="Times New Roman"/>
          <w:color w:val="auto"/>
          <w:sz w:val="32"/>
          <w:szCs w:val="28"/>
          <w:highlight w:val="none"/>
          <w:shd w:val="clear" w:color="auto" w:fill="FFFFFF"/>
        </w:rPr>
        <w:t>镇</w:t>
      </w:r>
      <w:r>
        <w:rPr>
          <w:rFonts w:ascii="Times New Roman" w:hAnsi="Times New Roman" w:eastAsia="仿宋_GB2312" w:cs="Times New Roman"/>
          <w:color w:val="auto"/>
          <w:sz w:val="32"/>
          <w:szCs w:val="28"/>
          <w:highlight w:val="none"/>
        </w:rPr>
        <w:t>层级—村/</w:t>
      </w:r>
      <w:r>
        <w:rPr>
          <w:rFonts w:ascii="Times New Roman" w:hAnsi="Times New Roman" w:eastAsia="仿宋_GB2312" w:cs="Times New Roman"/>
          <w:color w:val="auto"/>
          <w:sz w:val="32"/>
          <w:szCs w:val="28"/>
          <w:highlight w:val="none"/>
          <w:shd w:val="clear" w:color="auto" w:fill="FFFFFF"/>
        </w:rPr>
        <w:t>组级</w:t>
      </w:r>
      <w:r>
        <w:rPr>
          <w:rFonts w:ascii="Times New Roman" w:hAnsi="Times New Roman" w:eastAsia="仿宋_GB2312" w:cs="Times New Roman"/>
          <w:color w:val="auto"/>
          <w:sz w:val="32"/>
          <w:szCs w:val="28"/>
          <w:highlight w:val="none"/>
        </w:rPr>
        <w:t>”两级社区生活圈公共服务体系，全面实现城乡基本服务设施均等化，打造面向</w:t>
      </w:r>
      <w:r>
        <w:rPr>
          <w:rFonts w:ascii="Times New Roman" w:hAnsi="Times New Roman" w:eastAsia="仿宋_GB2312" w:cs="Times New Roman"/>
          <w:color w:val="auto"/>
          <w:sz w:val="32"/>
          <w:szCs w:val="28"/>
          <w:highlight w:val="none"/>
          <w:shd w:val="clear" w:color="auto" w:fill="FFFFFF"/>
        </w:rPr>
        <w:t>乡域</w:t>
      </w:r>
      <w:r>
        <w:rPr>
          <w:rFonts w:ascii="Times New Roman" w:hAnsi="Times New Roman" w:eastAsia="仿宋_GB2312" w:cs="Times New Roman"/>
          <w:color w:val="auto"/>
          <w:sz w:val="32"/>
          <w:szCs w:val="28"/>
          <w:highlight w:val="none"/>
        </w:rPr>
        <w:t>服务的公共服务体系，乡/</w:t>
      </w:r>
      <w:r>
        <w:rPr>
          <w:rFonts w:ascii="Times New Roman" w:hAnsi="Times New Roman" w:eastAsia="仿宋_GB2312" w:cs="Times New Roman"/>
          <w:color w:val="auto"/>
          <w:sz w:val="32"/>
          <w:szCs w:val="28"/>
          <w:highlight w:val="none"/>
          <w:shd w:val="clear" w:color="auto" w:fill="FFFFFF"/>
        </w:rPr>
        <w:t>镇</w:t>
      </w:r>
      <w:r>
        <w:rPr>
          <w:rFonts w:ascii="Times New Roman" w:hAnsi="Times New Roman" w:eastAsia="仿宋_GB2312" w:cs="Times New Roman"/>
          <w:color w:val="auto"/>
          <w:sz w:val="32"/>
          <w:szCs w:val="28"/>
          <w:highlight w:val="none"/>
        </w:rPr>
        <w:t>层级公共服务中心1个，主要公共服务设施重点向乡政府驻地集中，提升乡政府驻地设施服务水平和设施利用效率。村/</w:t>
      </w:r>
      <w:r>
        <w:rPr>
          <w:rFonts w:ascii="Times New Roman" w:hAnsi="Times New Roman" w:eastAsia="仿宋_GB2312" w:cs="Times New Roman"/>
          <w:color w:val="auto"/>
          <w:sz w:val="32"/>
          <w:szCs w:val="28"/>
          <w:highlight w:val="none"/>
          <w:shd w:val="clear" w:color="auto" w:fill="FFFFFF"/>
        </w:rPr>
        <w:t>组</w:t>
      </w:r>
      <w:r>
        <w:rPr>
          <w:rFonts w:ascii="Times New Roman" w:hAnsi="Times New Roman" w:eastAsia="仿宋_GB2312" w:cs="Times New Roman"/>
          <w:color w:val="auto"/>
          <w:sz w:val="32"/>
          <w:szCs w:val="28"/>
          <w:highlight w:val="none"/>
        </w:rPr>
        <w:t>级公共服务中心8个，结合现状村委会规划，为本村和周边村庄提供基本公共服务。</w:t>
      </w:r>
    </w:p>
    <w:p w14:paraId="5B80F760">
      <w:pPr>
        <w:pStyle w:val="4"/>
        <w:tabs>
          <w:tab w:val="clear" w:pos="0"/>
        </w:tabs>
        <w:spacing w:before="217" w:after="217"/>
        <w:rPr>
          <w:rFonts w:cs="Times New Roman"/>
          <w:color w:val="auto"/>
          <w:highlight w:val="none"/>
        </w:rPr>
      </w:pPr>
      <w:r>
        <w:rPr>
          <w:rFonts w:cs="Times New Roman"/>
          <w:color w:val="auto"/>
          <w:highlight w:val="none"/>
        </w:rPr>
        <w:t>教育设施</w:t>
      </w:r>
    </w:p>
    <w:p w14:paraId="4EA3A675">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乡政府驻地：依据人口测算，保留、优化现状小学、中学即可满足未来适龄儿童的入学需求，保留现状幼儿园，规划新建小区设置托儿所，满足居民需求。</w:t>
      </w:r>
    </w:p>
    <w:p w14:paraId="6A49E5B7">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村庄：保留兴安村小学，规划每个行政村设置一所幼儿园。</w:t>
      </w:r>
    </w:p>
    <w:p w14:paraId="057C0537">
      <w:pPr>
        <w:pStyle w:val="4"/>
        <w:tabs>
          <w:tab w:val="clear" w:pos="0"/>
        </w:tabs>
        <w:spacing w:before="217" w:after="217"/>
        <w:rPr>
          <w:rFonts w:cs="Times New Roman"/>
          <w:color w:val="auto"/>
          <w:highlight w:val="none"/>
        </w:rPr>
      </w:pPr>
      <w:r>
        <w:rPr>
          <w:rFonts w:cs="Times New Roman"/>
          <w:color w:val="auto"/>
          <w:highlight w:val="none"/>
        </w:rPr>
        <w:t>医疗卫生设施</w:t>
      </w:r>
    </w:p>
    <w:p w14:paraId="22D87881">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高标准配置医疗卫生设施，建立乡镇级医疗卫生设施诊疗体系。</w:t>
      </w:r>
    </w:p>
    <w:p w14:paraId="45E7F16F">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构建以乡镇卫生院为中心，村级卫生室为补充的卫生网络系统。基本建成覆盖</w:t>
      </w:r>
      <w:r>
        <w:rPr>
          <w:rFonts w:ascii="Times New Roman" w:hAnsi="Times New Roman" w:eastAsia="仿宋_GB2312" w:cs="Times New Roman"/>
          <w:color w:val="auto"/>
          <w:sz w:val="32"/>
          <w:szCs w:val="28"/>
          <w:highlight w:val="none"/>
          <w:shd w:val="clear" w:color="auto" w:fill="FFFFFF"/>
        </w:rPr>
        <w:t>乡域</w:t>
      </w:r>
      <w:r>
        <w:rPr>
          <w:rFonts w:ascii="Times New Roman" w:hAnsi="Times New Roman" w:eastAsia="仿宋_GB2312" w:cs="Times New Roman"/>
          <w:color w:val="auto"/>
          <w:sz w:val="32"/>
          <w:szCs w:val="28"/>
          <w:highlight w:val="none"/>
        </w:rPr>
        <w:t>、功能齐全完善的医疗救治、疾病预防控制体系。</w:t>
      </w:r>
    </w:p>
    <w:p w14:paraId="4363ED07">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乡政府驻地：保留、优化现状东河乡卫生院、通过改善医疗条件、提高服务质量，完善乡政府驻地医护职能；设置卫生监督所和疾控中心功能，以满足突发疫情需求，可在现状医院建筑内部选取合适区域设置，不必单独设置用地。</w:t>
      </w:r>
    </w:p>
    <w:p w14:paraId="5CB32A6F">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村庄：规划按照一村一室进行配置村级卫生室，对现有村庄卫生室进行提升，完善乡村一级医疗卫生水平，强化基层医疗作用，做到小病不出村。</w:t>
      </w:r>
    </w:p>
    <w:p w14:paraId="71B72AD1">
      <w:pPr>
        <w:pStyle w:val="4"/>
        <w:tabs>
          <w:tab w:val="clear" w:pos="0"/>
        </w:tabs>
        <w:spacing w:before="217" w:after="217"/>
        <w:rPr>
          <w:rFonts w:cs="Times New Roman"/>
          <w:color w:val="auto"/>
          <w:highlight w:val="none"/>
        </w:rPr>
      </w:pPr>
      <w:r>
        <w:rPr>
          <w:rFonts w:cs="Times New Roman"/>
          <w:color w:val="auto"/>
          <w:highlight w:val="none"/>
        </w:rPr>
        <w:t>文化设施</w:t>
      </w:r>
    </w:p>
    <w:p w14:paraId="1DB49517">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建立供给丰富、均衡高效的文化服务体系，扩大公共文化服务有效供给，建设一批高品质文化设施，鼓励学校、企事业单位文化设施向社会开放，实现城乡文化服务互联互通。</w:t>
      </w:r>
    </w:p>
    <w:p w14:paraId="7B1A3C16">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乡政府驻地：利用结合东河乡乡政府设1</w:t>
      </w:r>
      <w:r>
        <w:rPr>
          <w:rFonts w:hint="eastAsia" w:ascii="Times New Roman" w:hAnsi="Times New Roman" w:eastAsia="仿宋_GB2312" w:cs="Times New Roman"/>
          <w:color w:val="auto"/>
          <w:sz w:val="32"/>
          <w:szCs w:val="28"/>
          <w:highlight w:val="none"/>
        </w:rPr>
        <w:t>个</w:t>
      </w:r>
      <w:r>
        <w:rPr>
          <w:rFonts w:ascii="Times New Roman" w:hAnsi="Times New Roman" w:eastAsia="仿宋_GB2312" w:cs="Times New Roman"/>
          <w:color w:val="auto"/>
          <w:sz w:val="32"/>
          <w:szCs w:val="28"/>
          <w:highlight w:val="none"/>
        </w:rPr>
        <w:t>文化活动站，作为全乡文化活动中心，内设艺术与文化展示厅、影视厅、图书室等。</w:t>
      </w:r>
    </w:p>
    <w:p w14:paraId="2132DA01">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村庄：设置包括文化活动室、农家书屋等，以满足广大农村居民的日常文化生活需要。有条件的村庄可设置特色民俗活动点，用来举办农民集体活动和民俗活动，服务周边村民。</w:t>
      </w:r>
    </w:p>
    <w:p w14:paraId="2217B5FA">
      <w:pPr>
        <w:pStyle w:val="4"/>
        <w:tabs>
          <w:tab w:val="clear" w:pos="0"/>
        </w:tabs>
        <w:spacing w:before="217" w:after="217"/>
        <w:rPr>
          <w:rFonts w:cs="Times New Roman"/>
          <w:color w:val="auto"/>
          <w:highlight w:val="none"/>
        </w:rPr>
      </w:pPr>
      <w:r>
        <w:rPr>
          <w:rFonts w:cs="Times New Roman"/>
          <w:color w:val="auto"/>
          <w:highlight w:val="none"/>
        </w:rPr>
        <w:t>体育设施</w:t>
      </w:r>
    </w:p>
    <w:p w14:paraId="63E00D2B">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建立体系完善、惠及大众的全民健身公共服务体系。兼顾竞技体育与全民健身的需求，侧重全民健身设施的建设。推动学校体育设施向社会开放，鼓励体育设施与其他公共服务设施共建共享，鼓励公园绿地及其他开敞空间提供体育健身服务功能。</w:t>
      </w:r>
    </w:p>
    <w:p w14:paraId="6E29D80B">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乡政府驻地：在驻地南部京抚公路北侧规划室外综合健身场地1处，作为乡政府驻地全民健身中心；结合社区生活圈建设，结合公园绿地与开敞空间布置中小型室外活动场地，满足乡政府驻地居民日常体育活动需求；结合乡政府设置乡镇体育活动室。</w:t>
      </w:r>
    </w:p>
    <w:p w14:paraId="7F1FCCBE">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村庄：体育设施规划结合公园广场或文化活动室布置体育设施，配备必要的运动设施及体育器材，组织村民参加活动。</w:t>
      </w:r>
    </w:p>
    <w:p w14:paraId="2717D41E">
      <w:pPr>
        <w:pStyle w:val="4"/>
        <w:tabs>
          <w:tab w:val="clear" w:pos="0"/>
        </w:tabs>
        <w:spacing w:before="217" w:after="217"/>
        <w:rPr>
          <w:rFonts w:cs="Times New Roman"/>
          <w:color w:val="auto"/>
          <w:highlight w:val="none"/>
        </w:rPr>
      </w:pPr>
      <w:r>
        <w:rPr>
          <w:rFonts w:cs="Times New Roman"/>
          <w:color w:val="auto"/>
          <w:highlight w:val="none"/>
        </w:rPr>
        <w:t>社会福利设施</w:t>
      </w:r>
    </w:p>
    <w:p w14:paraId="35B2E9CB">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提升社会保障水平，坚持普惠性、保基本、均等化、可持续、高标准建设社会保障服务设施，切实保障老人、儿童和</w:t>
      </w:r>
      <w:r>
        <w:rPr>
          <w:rFonts w:ascii="Times New Roman" w:hAnsi="Times New Roman" w:eastAsia="仿宋_GB2312" w:cs="Times New Roman"/>
          <w:color w:val="auto"/>
          <w:sz w:val="32"/>
          <w:szCs w:val="28"/>
          <w:highlight w:val="none"/>
          <w:shd w:val="clear" w:color="auto" w:fill="FFFFFF"/>
        </w:rPr>
        <w:t>残障人士</w:t>
      </w:r>
      <w:r>
        <w:rPr>
          <w:rFonts w:ascii="Times New Roman" w:hAnsi="Times New Roman" w:eastAsia="仿宋_GB2312" w:cs="Times New Roman"/>
          <w:color w:val="auto"/>
          <w:sz w:val="32"/>
          <w:szCs w:val="28"/>
          <w:highlight w:val="none"/>
        </w:rPr>
        <w:t>的基本公共服务，建成以家庭为基础、社区为依托、机构养老为补充、医养相结合的养老服务体系，形成网络健全、便捷高效的养老服务格局。</w:t>
      </w:r>
    </w:p>
    <w:p w14:paraId="53C410E1">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乡政府驻地：保留现状东河乡南侧1处养老院（幸福大院），满足城乡养老需求；结合生活圈建设，设置1处老年活动室及1处老年人日间照料中心。</w:t>
      </w:r>
    </w:p>
    <w:p w14:paraId="5DB2BA01">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村庄：结合村委会以及闲置校舍建设老年人日间照料中心、老年活动室，服务周边村民。有条件的村庄可设置幸福大院和老年人餐厅。</w:t>
      </w:r>
    </w:p>
    <w:p w14:paraId="019357F6">
      <w:pPr>
        <w:pStyle w:val="4"/>
        <w:tabs>
          <w:tab w:val="clear" w:pos="0"/>
        </w:tabs>
        <w:spacing w:before="217" w:after="217"/>
        <w:rPr>
          <w:rFonts w:cs="Times New Roman"/>
          <w:color w:val="auto"/>
          <w:highlight w:val="none"/>
        </w:rPr>
      </w:pPr>
      <w:r>
        <w:rPr>
          <w:rFonts w:cs="Times New Roman"/>
          <w:color w:val="auto"/>
          <w:highlight w:val="none"/>
        </w:rPr>
        <w:t>商业服务设施</w:t>
      </w:r>
    </w:p>
    <w:p w14:paraId="49E6BD44">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加强城乡商业配套服务，建立以</w:t>
      </w:r>
      <w:r>
        <w:rPr>
          <w:rFonts w:hint="eastAsia" w:ascii="Times New Roman" w:hAnsi="Times New Roman" w:eastAsia="仿宋_GB2312" w:cs="Times New Roman"/>
          <w:color w:val="auto"/>
          <w:sz w:val="32"/>
          <w:szCs w:val="28"/>
          <w:highlight w:val="none"/>
        </w:rPr>
        <w:t>东河乡乡政府驻地</w:t>
      </w:r>
      <w:r>
        <w:rPr>
          <w:rFonts w:ascii="Times New Roman" w:hAnsi="Times New Roman" w:eastAsia="仿宋_GB2312" w:cs="Times New Roman"/>
          <w:color w:val="auto"/>
          <w:sz w:val="32"/>
          <w:szCs w:val="28"/>
          <w:highlight w:val="none"/>
        </w:rPr>
        <w:t>为核心的城乡商业服务体系。</w:t>
      </w:r>
    </w:p>
    <w:p w14:paraId="05534813">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乡政府驻地：保留现状部分质量较好的商业服务设施；规划1处农业服务中心；结合生活圈建设，布置多处小型商业服务设施，在乡政府驻地东侧沿国道G102布置一处大型集贸市场，满足乡政府驻地及周边村庄商贸需求。</w:t>
      </w:r>
    </w:p>
    <w:p w14:paraId="39820B89">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村庄：规划建设便民农家店、金融</w:t>
      </w:r>
      <w:r>
        <w:rPr>
          <w:rFonts w:hint="eastAsia" w:ascii="Times New Roman" w:hAnsi="Times New Roman" w:eastAsia="仿宋_GB2312" w:cs="Times New Roman"/>
          <w:color w:val="auto"/>
          <w:sz w:val="32"/>
          <w:szCs w:val="28"/>
          <w:highlight w:val="none"/>
          <w:lang w:eastAsia="zh-CN"/>
        </w:rPr>
        <w:t>电</w:t>
      </w:r>
      <w:r>
        <w:rPr>
          <w:rFonts w:ascii="Times New Roman" w:hAnsi="Times New Roman" w:eastAsia="仿宋_GB2312" w:cs="Times New Roman"/>
          <w:color w:val="auto"/>
          <w:sz w:val="32"/>
          <w:szCs w:val="28"/>
          <w:highlight w:val="none"/>
        </w:rPr>
        <w:t>信点、</w:t>
      </w:r>
      <w:r>
        <w:rPr>
          <w:rFonts w:hint="eastAsia" w:ascii="Times New Roman" w:hAnsi="Times New Roman" w:eastAsia="仿宋_GB2312" w:cs="Times New Roman"/>
          <w:color w:val="auto"/>
          <w:sz w:val="32"/>
          <w:szCs w:val="28"/>
          <w:highlight w:val="none"/>
          <w:lang w:eastAsia="zh-CN"/>
        </w:rPr>
        <w:t>电</w:t>
      </w:r>
      <w:r>
        <w:rPr>
          <w:rFonts w:ascii="Times New Roman" w:hAnsi="Times New Roman" w:eastAsia="仿宋_GB2312" w:cs="Times New Roman"/>
          <w:color w:val="auto"/>
          <w:sz w:val="32"/>
          <w:szCs w:val="28"/>
          <w:highlight w:val="none"/>
        </w:rPr>
        <w:t>商中心，服务周边村民。</w:t>
      </w:r>
    </w:p>
    <w:p w14:paraId="1DE2F1F9">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100" w:name="_Toc12679"/>
      <w:r>
        <w:rPr>
          <w:rFonts w:ascii="Times New Roman" w:hAnsi="Times New Roman" w:cs="Times New Roman"/>
          <w:color w:val="auto"/>
          <w:szCs w:val="32"/>
          <w:highlight w:val="none"/>
        </w:rPr>
        <w:t>优化</w:t>
      </w:r>
      <w:r>
        <w:rPr>
          <w:rFonts w:ascii="Times New Roman" w:hAnsi="Times New Roman" w:cs="Times New Roman"/>
          <w:color w:val="auto"/>
          <w:szCs w:val="32"/>
          <w:highlight w:val="none"/>
          <w:shd w:val="clear" w:color="auto" w:fill="FFFFFF"/>
        </w:rPr>
        <w:t>乡域</w:t>
      </w:r>
      <w:r>
        <w:rPr>
          <w:rFonts w:ascii="Times New Roman" w:hAnsi="Times New Roman" w:cs="Times New Roman"/>
          <w:color w:val="auto"/>
          <w:szCs w:val="32"/>
          <w:highlight w:val="none"/>
        </w:rPr>
        <w:t>基础设施空间布局</w:t>
      </w:r>
      <w:bookmarkEnd w:id="100"/>
    </w:p>
    <w:p w14:paraId="0FE65B41">
      <w:pPr>
        <w:pStyle w:val="4"/>
        <w:tabs>
          <w:tab w:val="clear" w:pos="0"/>
        </w:tabs>
        <w:spacing w:before="217" w:after="217"/>
        <w:rPr>
          <w:rFonts w:cs="Times New Roman"/>
          <w:color w:val="auto"/>
          <w:highlight w:val="none"/>
        </w:rPr>
      </w:pPr>
      <w:r>
        <w:rPr>
          <w:rFonts w:cs="Times New Roman"/>
          <w:color w:val="auto"/>
          <w:highlight w:val="none"/>
        </w:rPr>
        <w:t>优化</w:t>
      </w:r>
      <w:r>
        <w:rPr>
          <w:rFonts w:hint="eastAsia" w:cs="Times New Roman"/>
          <w:color w:val="auto"/>
          <w:highlight w:val="none"/>
          <w:lang w:eastAsia="zh-CN"/>
        </w:rPr>
        <w:t>电</w:t>
      </w:r>
      <w:r>
        <w:rPr>
          <w:rFonts w:cs="Times New Roman"/>
          <w:color w:val="auto"/>
          <w:highlight w:val="none"/>
        </w:rPr>
        <w:t>力设施布局</w:t>
      </w:r>
    </w:p>
    <w:p w14:paraId="1D27B2D1">
      <w:pPr>
        <w:ind w:firstLine="640"/>
        <w:rPr>
          <w:rFonts w:eastAsia="仿宋_GB2312" w:cs="Times New Roman"/>
          <w:color w:val="auto"/>
          <w:sz w:val="32"/>
          <w:szCs w:val="32"/>
          <w:highlight w:val="none"/>
        </w:rPr>
      </w:pPr>
      <w:r>
        <w:rPr>
          <w:rFonts w:eastAsia="仿宋_GB2312" w:cs="Times New Roman"/>
          <w:color w:val="auto"/>
          <w:sz w:val="32"/>
          <w:szCs w:val="32"/>
          <w:highlight w:val="none"/>
        </w:rPr>
        <w:t>科学规划城乡配</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网，加快</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网建设和改造，</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网与</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源建设同步发展，强化网络结构和完善主系统联络通道。</w:t>
      </w:r>
    </w:p>
    <w:p w14:paraId="1696C1E6">
      <w:pPr>
        <w:pStyle w:val="4"/>
        <w:tabs>
          <w:tab w:val="clear" w:pos="0"/>
        </w:tabs>
        <w:spacing w:before="217" w:after="217"/>
        <w:rPr>
          <w:rFonts w:cs="Times New Roman"/>
          <w:color w:val="auto"/>
          <w:highlight w:val="none"/>
        </w:rPr>
      </w:pPr>
      <w:r>
        <w:rPr>
          <w:rFonts w:cs="Times New Roman"/>
          <w:color w:val="auto"/>
          <w:highlight w:val="none"/>
        </w:rPr>
        <w:t>优化燃气设施布局</w:t>
      </w:r>
    </w:p>
    <w:p w14:paraId="5D80FA73">
      <w:pPr>
        <w:ind w:firstLine="640"/>
        <w:rPr>
          <w:rFonts w:eastAsia="仿宋_GB2312" w:cs="Times New Roman"/>
          <w:color w:val="auto"/>
          <w:sz w:val="32"/>
          <w:szCs w:val="32"/>
          <w:highlight w:val="none"/>
        </w:rPr>
      </w:pPr>
      <w:r>
        <w:rPr>
          <w:rFonts w:eastAsia="仿宋_GB2312" w:cs="Times New Roman"/>
          <w:color w:val="auto"/>
          <w:sz w:val="32"/>
          <w:szCs w:val="32"/>
          <w:highlight w:val="none"/>
          <w:shd w:val="clear" w:color="auto" w:fill="FFFFFF"/>
        </w:rPr>
        <w:t>乡</w:t>
      </w:r>
      <w:r>
        <w:rPr>
          <w:rFonts w:eastAsia="仿宋_GB2312" w:cs="Times New Roman"/>
          <w:color w:val="auto"/>
          <w:sz w:val="32"/>
          <w:szCs w:val="32"/>
          <w:highlight w:val="none"/>
        </w:rPr>
        <w:t>域范围内民用燃气主要以液化石油气为主要燃料，气源采用桦川县液化石油气站。</w:t>
      </w:r>
    </w:p>
    <w:p w14:paraId="7B16664D">
      <w:pPr>
        <w:pStyle w:val="25"/>
        <w:spacing w:before="87"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color w:val="auto"/>
          <w:sz w:val="32"/>
          <w:szCs w:val="32"/>
          <w:highlight w:val="none"/>
        </w:rPr>
        <w:t>推广使用秸秆燃料块并配套使用专用炉具的模式。采用直燃式秸秆</w:t>
      </w:r>
      <w:r>
        <w:rPr>
          <w:rFonts w:ascii="Times New Roman" w:hAnsi="Times New Roman" w:eastAsia="仿宋_GB2312"/>
          <w:color w:val="auto"/>
          <w:sz w:val="32"/>
          <w:szCs w:val="32"/>
          <w:highlight w:val="none"/>
          <w:shd w:val="clear" w:color="auto" w:fill="FFFFFF"/>
        </w:rPr>
        <w:t>半</w:t>
      </w:r>
      <w:r>
        <w:rPr>
          <w:rFonts w:ascii="Times New Roman" w:hAnsi="Times New Roman" w:eastAsia="仿宋_GB2312"/>
          <w:color w:val="auto"/>
          <w:sz w:val="32"/>
          <w:szCs w:val="32"/>
          <w:highlight w:val="none"/>
        </w:rPr>
        <w:t>气化炉，可带暖气设备给居室供暖，热效率比较高，供暖效果好。</w:t>
      </w:r>
    </w:p>
    <w:p w14:paraId="19C05C4A">
      <w:pPr>
        <w:pStyle w:val="4"/>
        <w:tabs>
          <w:tab w:val="clear" w:pos="0"/>
        </w:tabs>
        <w:spacing w:before="217" w:after="217"/>
        <w:rPr>
          <w:rFonts w:cs="Times New Roman"/>
          <w:color w:val="auto"/>
          <w:highlight w:val="none"/>
        </w:rPr>
      </w:pPr>
      <w:r>
        <w:rPr>
          <w:rFonts w:cs="Times New Roman"/>
          <w:color w:val="auto"/>
          <w:highlight w:val="none"/>
        </w:rPr>
        <w:t>优化给水设施布局</w:t>
      </w:r>
    </w:p>
    <w:p w14:paraId="5848E8FB">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1.规划用水量计算</w:t>
      </w:r>
    </w:p>
    <w:p w14:paraId="635CEA0C">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确定各村屯生活供水量安全标准为100L/人·d。</w:t>
      </w:r>
    </w:p>
    <w:p w14:paraId="2217C0F1">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2.供水水源</w:t>
      </w:r>
    </w:p>
    <w:p w14:paraId="2EA4CB8C">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现状各村屯水源均采用地下水为水源，采用深水井供水。</w:t>
      </w:r>
    </w:p>
    <w:p w14:paraId="6261AAF5">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3.水源保护及水质监测体系建设</w:t>
      </w:r>
    </w:p>
    <w:p w14:paraId="3AF467D7">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水源保护是饮水安</w:t>
      </w:r>
      <w:r>
        <w:rPr>
          <w:rFonts w:hint="eastAsia" w:ascii="Times New Roman" w:hAnsi="Times New Roman" w:eastAsia="仿宋_GB2312"/>
          <w:bCs w:val="0"/>
          <w:color w:val="auto"/>
          <w:sz w:val="32"/>
          <w:szCs w:val="32"/>
          <w:highlight w:val="none"/>
        </w:rPr>
        <w:t>全的</w:t>
      </w:r>
      <w:r>
        <w:rPr>
          <w:rFonts w:ascii="Times New Roman" w:hAnsi="Times New Roman" w:eastAsia="仿宋_GB2312"/>
          <w:bCs w:val="0"/>
          <w:color w:val="auto"/>
          <w:sz w:val="32"/>
          <w:szCs w:val="32"/>
          <w:highlight w:val="none"/>
        </w:rPr>
        <w:t>重要保障，因此应加大力度对饮用水水源进行保护，依据《饮用水保护区划分技术细则》建立水源保护区及准保护区，由地下水供水的水源保护区应在水源井周围10m的范围内不得设置生活居住区和禽畜养殖场，渗水的厕所、渗坑，不得堆放垃圾、粪便、废渣或铺设污水管道，应保持良好的卫生状况及绿化。净水站供水和用水点的水质监测，对取水、制水、供水实施全过程管理，及时掌握城乡饮用水水源环境、供水水质状况，并定期检查。</w:t>
      </w:r>
    </w:p>
    <w:p w14:paraId="3A0A8198">
      <w:pPr>
        <w:pStyle w:val="4"/>
        <w:tabs>
          <w:tab w:val="clear" w:pos="0"/>
        </w:tabs>
        <w:spacing w:before="217" w:after="217"/>
        <w:rPr>
          <w:rFonts w:cs="Times New Roman"/>
          <w:color w:val="auto"/>
          <w:highlight w:val="none"/>
        </w:rPr>
      </w:pPr>
      <w:r>
        <w:rPr>
          <w:rFonts w:cs="Times New Roman"/>
          <w:color w:val="auto"/>
          <w:highlight w:val="none"/>
        </w:rPr>
        <w:t>优化排水设施布局</w:t>
      </w:r>
    </w:p>
    <w:p w14:paraId="6A4F3699">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1、规划排水体制</w:t>
      </w:r>
    </w:p>
    <w:p w14:paraId="4D7FED86">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实施雨污分流、粪便污水资源化利用。</w:t>
      </w:r>
    </w:p>
    <w:p w14:paraId="0623F2C4">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2、污水处理规划</w:t>
      </w:r>
    </w:p>
    <w:p w14:paraId="4E2E6262">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村屯住宅分散，全部进行集中处理，将面临污水收集管网投资的巨大压力。为此，要积极探索，因地制宜，对分散农户引进技术实行就地处理。目前的处理方法主要有人工生态湿地、沼气、无动力厌氧、改良“三格式”化粪池、氧化塘以及地埋式一体化设施等。</w:t>
      </w:r>
    </w:p>
    <w:p w14:paraId="6CC09F04">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有条件的村屯要尽快建设地下排污管网，利用明沟和暗沟排放污水的村屯，污水要有组织排放，设立固定、不渗漏、不外溢的污水氧化塘。</w:t>
      </w:r>
    </w:p>
    <w:p w14:paraId="32529A3D">
      <w:pPr>
        <w:pStyle w:val="4"/>
        <w:tabs>
          <w:tab w:val="clear" w:pos="0"/>
        </w:tabs>
        <w:spacing w:before="217" w:after="217"/>
        <w:rPr>
          <w:rFonts w:cs="Times New Roman"/>
          <w:color w:val="auto"/>
          <w:highlight w:val="none"/>
        </w:rPr>
      </w:pPr>
      <w:r>
        <w:rPr>
          <w:rFonts w:cs="Times New Roman"/>
          <w:color w:val="auto"/>
          <w:highlight w:val="none"/>
        </w:rPr>
        <w:t>优化通信工程布局</w:t>
      </w:r>
    </w:p>
    <w:p w14:paraId="42DF59E2">
      <w:pPr>
        <w:pStyle w:val="25"/>
        <w:spacing w:before="87"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color w:val="auto"/>
          <w:sz w:val="32"/>
          <w:szCs w:val="32"/>
          <w:highlight w:val="none"/>
        </w:rPr>
        <w:t>加强信息基础设施建设，加快下一代移动通信网络、互联网、高速宽带传输网络等信息基础设施建设，促进</w:t>
      </w:r>
      <w:r>
        <w:rPr>
          <w:rFonts w:hint="eastAsia" w:ascii="Times New Roman" w:hAnsi="Times New Roman" w:eastAsia="仿宋_GB2312"/>
          <w:color w:val="auto"/>
          <w:sz w:val="32"/>
          <w:szCs w:val="32"/>
          <w:highlight w:val="none"/>
          <w:lang w:eastAsia="zh-CN"/>
        </w:rPr>
        <w:t>电</w:t>
      </w:r>
      <w:r>
        <w:rPr>
          <w:rFonts w:ascii="Times New Roman" w:hAnsi="Times New Roman" w:eastAsia="仿宋_GB2312"/>
          <w:color w:val="auto"/>
          <w:sz w:val="32"/>
          <w:szCs w:val="32"/>
          <w:highlight w:val="none"/>
        </w:rPr>
        <w:t>信网、广播</w:t>
      </w:r>
      <w:r>
        <w:rPr>
          <w:rFonts w:hint="eastAsia" w:ascii="Times New Roman" w:hAnsi="Times New Roman" w:eastAsia="仿宋_GB2312"/>
          <w:color w:val="auto"/>
          <w:sz w:val="32"/>
          <w:szCs w:val="32"/>
          <w:highlight w:val="none"/>
          <w:lang w:eastAsia="zh-CN"/>
        </w:rPr>
        <w:t>电</w:t>
      </w:r>
      <w:r>
        <w:rPr>
          <w:rFonts w:ascii="Times New Roman" w:hAnsi="Times New Roman" w:eastAsia="仿宋_GB2312"/>
          <w:color w:val="auto"/>
          <w:sz w:val="32"/>
          <w:szCs w:val="32"/>
          <w:highlight w:val="none"/>
        </w:rPr>
        <w:t>视网、互联网三网融合，推进互联网与物联网应用，推动</w:t>
      </w:r>
      <w:r>
        <w:rPr>
          <w:rFonts w:hint="eastAsia" w:ascii="Times New Roman" w:hAnsi="Times New Roman" w:eastAsia="仿宋_GB2312"/>
          <w:color w:val="auto"/>
          <w:sz w:val="32"/>
          <w:szCs w:val="32"/>
          <w:highlight w:val="none"/>
          <w:lang w:val="en-US" w:eastAsia="zh-CN"/>
        </w:rPr>
        <w:t>乡</w:t>
      </w:r>
      <w:r>
        <w:rPr>
          <w:rFonts w:ascii="Times New Roman" w:hAnsi="Times New Roman" w:eastAsia="仿宋_GB2312"/>
          <w:color w:val="auto"/>
          <w:sz w:val="32"/>
          <w:szCs w:val="32"/>
          <w:highlight w:val="none"/>
        </w:rPr>
        <w:t>镇智能化建设，加快5G 网络建设，扩大千兆及以上光纤覆盖范围。构建现代化邮政体系</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提升邮政收寄、处理、运输和投递环节服务能力，构建“骨干-枢纽-末端”综合立体、通达高效、智能安全的邮政寄递网络。完善农村</w:t>
      </w:r>
      <w:r>
        <w:rPr>
          <w:rFonts w:ascii="Times New Roman" w:hAnsi="Times New Roman" w:eastAsia="仿宋_GB2312"/>
          <w:color w:val="auto"/>
          <w:sz w:val="32"/>
          <w:szCs w:val="32"/>
          <w:highlight w:val="none"/>
          <w:shd w:val="clear" w:color="auto" w:fill="FFFFFF"/>
        </w:rPr>
        <w:t>邮站</w:t>
      </w:r>
      <w:r>
        <w:rPr>
          <w:rFonts w:ascii="Times New Roman" w:hAnsi="Times New Roman" w:eastAsia="仿宋_GB2312"/>
          <w:color w:val="auto"/>
          <w:sz w:val="32"/>
          <w:szCs w:val="32"/>
          <w:highlight w:val="none"/>
        </w:rPr>
        <w:t>及邮路建设，推动城乡区域协同发展。</w:t>
      </w:r>
    </w:p>
    <w:p w14:paraId="7C0854A5">
      <w:pPr>
        <w:pStyle w:val="4"/>
        <w:tabs>
          <w:tab w:val="clear" w:pos="0"/>
        </w:tabs>
        <w:spacing w:before="217" w:after="217"/>
        <w:rPr>
          <w:rFonts w:cs="Times New Roman"/>
          <w:color w:val="auto"/>
          <w:highlight w:val="none"/>
        </w:rPr>
      </w:pPr>
      <w:r>
        <w:rPr>
          <w:rFonts w:cs="Times New Roman"/>
          <w:color w:val="auto"/>
          <w:highlight w:val="none"/>
        </w:rPr>
        <w:t>优化供热设施布局</w:t>
      </w:r>
    </w:p>
    <w:p w14:paraId="2F79D6D6">
      <w:pPr>
        <w:ind w:firstLine="640"/>
        <w:rPr>
          <w:rFonts w:eastAsia="仿宋_GB2312" w:cs="Times New Roman"/>
          <w:color w:val="auto"/>
          <w:sz w:val="32"/>
          <w:szCs w:val="32"/>
          <w:highlight w:val="none"/>
        </w:rPr>
      </w:pPr>
      <w:r>
        <w:rPr>
          <w:rFonts w:eastAsia="仿宋_GB2312" w:cs="Times New Roman"/>
          <w:color w:val="auto"/>
          <w:sz w:val="32"/>
          <w:szCs w:val="32"/>
          <w:highlight w:val="none"/>
          <w:shd w:val="clear" w:color="auto" w:fill="FFFFFF"/>
        </w:rPr>
        <w:t>乡域</w:t>
      </w:r>
      <w:r>
        <w:rPr>
          <w:rFonts w:eastAsia="仿宋_GB2312" w:cs="Times New Roman"/>
          <w:color w:val="auto"/>
          <w:sz w:val="32"/>
          <w:szCs w:val="32"/>
          <w:highlight w:val="none"/>
        </w:rPr>
        <w:t>采用分散供热模式。</w:t>
      </w:r>
      <w:r>
        <w:rPr>
          <w:rFonts w:hint="eastAsia" w:eastAsia="仿宋_GB2312" w:cs="Times New Roman"/>
          <w:color w:val="auto"/>
          <w:sz w:val="32"/>
          <w:szCs w:val="32"/>
          <w:highlight w:val="none"/>
        </w:rPr>
        <w:t>东河乡乡政府驻地</w:t>
      </w:r>
      <w:r>
        <w:rPr>
          <w:rFonts w:eastAsia="仿宋_GB2312" w:cs="Times New Roman"/>
          <w:color w:val="auto"/>
          <w:sz w:val="32"/>
          <w:szCs w:val="32"/>
          <w:highlight w:val="none"/>
        </w:rPr>
        <w:t>采用集中供热，利用</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力、空气能及</w:t>
      </w:r>
      <w:r>
        <w:rPr>
          <w:rFonts w:eastAsia="仿宋_GB2312" w:cs="Times New Roman"/>
          <w:color w:val="auto"/>
          <w:sz w:val="32"/>
          <w:szCs w:val="32"/>
          <w:highlight w:val="none"/>
          <w:shd w:val="clear" w:color="auto" w:fill="FFFFFF"/>
        </w:rPr>
        <w:t>其</w:t>
      </w:r>
      <w:r>
        <w:rPr>
          <w:rFonts w:hint="eastAsia" w:eastAsia="仿宋_GB2312" w:cs="Times New Roman"/>
          <w:color w:val="auto"/>
          <w:sz w:val="32"/>
          <w:szCs w:val="32"/>
          <w:highlight w:val="none"/>
          <w:shd w:val="clear" w:color="auto" w:fill="FFFFFF"/>
        </w:rPr>
        <w:t>他</w:t>
      </w:r>
      <w:r>
        <w:rPr>
          <w:rFonts w:eastAsia="仿宋_GB2312" w:cs="Times New Roman"/>
          <w:color w:val="auto"/>
          <w:sz w:val="32"/>
          <w:szCs w:val="32"/>
          <w:highlight w:val="none"/>
          <w:shd w:val="clear" w:color="auto" w:fill="FFFFFF"/>
        </w:rPr>
        <w:t>能源</w:t>
      </w:r>
      <w:r>
        <w:rPr>
          <w:rFonts w:eastAsia="仿宋_GB2312" w:cs="Times New Roman"/>
          <w:color w:val="auto"/>
          <w:sz w:val="32"/>
          <w:szCs w:val="32"/>
          <w:highlight w:val="none"/>
        </w:rPr>
        <w:t>供热为补充的供热模式，规划新建1座集中供热热源。</w:t>
      </w:r>
    </w:p>
    <w:p w14:paraId="23A4B80B">
      <w:pPr>
        <w:ind w:firstLine="640"/>
        <w:rPr>
          <w:rFonts w:eastAsia="仿宋_GB2312" w:cs="Times New Roman"/>
          <w:color w:val="auto"/>
          <w:sz w:val="32"/>
          <w:szCs w:val="32"/>
          <w:highlight w:val="none"/>
        </w:rPr>
      </w:pPr>
      <w:r>
        <w:rPr>
          <w:rFonts w:eastAsia="仿宋_GB2312" w:cs="Times New Roman"/>
          <w:color w:val="auto"/>
          <w:sz w:val="32"/>
          <w:szCs w:val="32"/>
          <w:highlight w:val="none"/>
        </w:rPr>
        <w:t>村庄供热建议采用以下两种模式：一是独立供热模式。可采用直燃式秸秆</w:t>
      </w:r>
      <w:r>
        <w:rPr>
          <w:rFonts w:eastAsia="仿宋_GB2312" w:cs="Times New Roman"/>
          <w:color w:val="auto"/>
          <w:sz w:val="32"/>
          <w:szCs w:val="32"/>
          <w:highlight w:val="none"/>
          <w:shd w:val="clear" w:color="auto" w:fill="FFFFFF"/>
        </w:rPr>
        <w:t>半</w:t>
      </w:r>
      <w:r>
        <w:rPr>
          <w:rFonts w:hint="eastAsia" w:eastAsia="仿宋_GB2312" w:cs="Times New Roman"/>
          <w:color w:val="auto"/>
          <w:sz w:val="32"/>
          <w:szCs w:val="32"/>
          <w:highlight w:val="none"/>
          <w:shd w:val="clear" w:color="auto" w:fill="FFFFFF"/>
        </w:rPr>
        <w:t>气化多功能</w:t>
      </w:r>
      <w:r>
        <w:rPr>
          <w:rFonts w:eastAsia="仿宋_GB2312" w:cs="Times New Roman"/>
          <w:color w:val="auto"/>
          <w:sz w:val="32"/>
          <w:szCs w:val="32"/>
          <w:highlight w:val="none"/>
        </w:rPr>
        <w:t>水暖炉采暖、墙体保温与地盘管独立供热模式。二是集中供热模式。有条件的地方，可采用建设锅炉房，使用秸秆压块专用供暖锅炉集中供热模式。</w:t>
      </w:r>
    </w:p>
    <w:p w14:paraId="28155229">
      <w:pPr>
        <w:pStyle w:val="4"/>
        <w:tabs>
          <w:tab w:val="clear" w:pos="0"/>
        </w:tabs>
        <w:spacing w:before="217" w:after="217"/>
        <w:rPr>
          <w:rFonts w:cs="Times New Roman"/>
          <w:color w:val="auto"/>
          <w:highlight w:val="none"/>
        </w:rPr>
      </w:pPr>
      <w:r>
        <w:rPr>
          <w:rFonts w:cs="Times New Roman"/>
          <w:color w:val="auto"/>
          <w:highlight w:val="none"/>
        </w:rPr>
        <w:t>优化环卫设施布局</w:t>
      </w:r>
    </w:p>
    <w:p w14:paraId="76D49C51">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逐步推行生活垃圾分类制度，完善以“村屯收集-乡镇转运-</w:t>
      </w:r>
      <w:r>
        <w:rPr>
          <w:rFonts w:ascii="Times New Roman" w:hAnsi="Times New Roman" w:eastAsia="仿宋_GB2312"/>
          <w:bCs w:val="0"/>
          <w:color w:val="auto"/>
          <w:sz w:val="32"/>
          <w:szCs w:val="32"/>
          <w:highlight w:val="none"/>
          <w:shd w:val="clear" w:color="auto" w:fill="FFFFFF"/>
        </w:rPr>
        <w:t>县</w:t>
      </w:r>
      <w:r>
        <w:rPr>
          <w:rFonts w:ascii="Times New Roman" w:hAnsi="Times New Roman" w:eastAsia="仿宋_GB2312"/>
          <w:bCs w:val="0"/>
          <w:color w:val="auto"/>
          <w:sz w:val="32"/>
          <w:szCs w:val="32"/>
          <w:highlight w:val="none"/>
        </w:rPr>
        <w:t>集中处理”的生活垃圾收运及处理体系。各村屯建成垃圾分类收集转运一体化</w:t>
      </w:r>
      <w:r>
        <w:rPr>
          <w:rFonts w:ascii="Times New Roman" w:hAnsi="Times New Roman" w:eastAsia="仿宋_GB2312"/>
          <w:bCs w:val="0"/>
          <w:color w:val="auto"/>
          <w:sz w:val="32"/>
          <w:szCs w:val="32"/>
          <w:highlight w:val="none"/>
          <w:shd w:val="clear" w:color="auto" w:fill="FFFFFF"/>
        </w:rPr>
        <w:t>站</w:t>
      </w:r>
      <w:r>
        <w:rPr>
          <w:rFonts w:ascii="Times New Roman" w:hAnsi="Times New Roman" w:eastAsia="仿宋_GB2312"/>
          <w:bCs w:val="0"/>
          <w:color w:val="auto"/>
          <w:sz w:val="32"/>
          <w:szCs w:val="32"/>
          <w:highlight w:val="none"/>
        </w:rPr>
        <w:t>，由乡镇转运至桦川县垃圾转运站，由桦川县统一转运至佳木斯市生活垃圾焚烧发</w:t>
      </w:r>
      <w:r>
        <w:rPr>
          <w:rFonts w:hint="eastAsia" w:ascii="Times New Roman" w:hAnsi="Times New Roman" w:eastAsia="仿宋_GB2312"/>
          <w:bCs w:val="0"/>
          <w:color w:val="auto"/>
          <w:sz w:val="32"/>
          <w:szCs w:val="32"/>
          <w:highlight w:val="none"/>
          <w:lang w:eastAsia="zh-CN"/>
        </w:rPr>
        <w:t>电</w:t>
      </w:r>
      <w:r>
        <w:rPr>
          <w:rFonts w:ascii="Times New Roman" w:hAnsi="Times New Roman" w:eastAsia="仿宋_GB2312"/>
          <w:bCs w:val="0"/>
          <w:color w:val="auto"/>
          <w:sz w:val="32"/>
          <w:szCs w:val="32"/>
          <w:highlight w:val="none"/>
        </w:rPr>
        <w:t>厂统一焚烧。</w:t>
      </w:r>
    </w:p>
    <w:p w14:paraId="129B180E">
      <w:pPr>
        <w:pStyle w:val="4"/>
        <w:tabs>
          <w:tab w:val="clear" w:pos="0"/>
        </w:tabs>
        <w:spacing w:before="217" w:after="217"/>
        <w:rPr>
          <w:rFonts w:cs="Times New Roman"/>
          <w:color w:val="auto"/>
          <w:highlight w:val="none"/>
        </w:rPr>
      </w:pPr>
      <w:r>
        <w:rPr>
          <w:rFonts w:cs="Times New Roman"/>
          <w:color w:val="auto"/>
          <w:highlight w:val="none"/>
        </w:rPr>
        <w:t xml:space="preserve">优化邻避设施 </w:t>
      </w:r>
    </w:p>
    <w:p w14:paraId="541C4CDD">
      <w:pPr>
        <w:pStyle w:val="25"/>
        <w:spacing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color w:val="auto"/>
          <w:sz w:val="32"/>
          <w:szCs w:val="32"/>
          <w:highlight w:val="none"/>
          <w:u w:val="single"/>
        </w:rPr>
        <w:t>协调安排污水处理、垃圾焚烧、殡葬等邻避设施布局，消减邻避设施的负外部特性，健全邻避问题防范与化解机制。</w:t>
      </w:r>
      <w:r>
        <w:rPr>
          <w:rFonts w:ascii="Times New Roman" w:hAnsi="Times New Roman" w:eastAsia="仿宋_GB2312"/>
          <w:color w:val="auto"/>
          <w:sz w:val="32"/>
          <w:szCs w:val="32"/>
          <w:highlight w:val="none"/>
        </w:rPr>
        <w:t>加强邻避设施集中化、地下化建设，以及外立面美化，减少对周边的影响。加强对邻避设施周边的小区进行有针对性的功能补偿，如增加公园、广场、商业设施等。污水处理设施应坚持一镇一策和集中式与分散式相结合的方式。垃圾焚烧发</w:t>
      </w:r>
      <w:r>
        <w:rPr>
          <w:rFonts w:hint="eastAsia" w:ascii="Times New Roman" w:hAnsi="Times New Roman" w:eastAsia="仿宋_GB2312"/>
          <w:color w:val="auto"/>
          <w:sz w:val="32"/>
          <w:szCs w:val="32"/>
          <w:highlight w:val="none"/>
          <w:lang w:eastAsia="zh-CN"/>
        </w:rPr>
        <w:t>电</w:t>
      </w:r>
      <w:r>
        <w:rPr>
          <w:rFonts w:ascii="Times New Roman" w:hAnsi="Times New Roman" w:eastAsia="仿宋_GB2312"/>
          <w:color w:val="auto"/>
          <w:sz w:val="32"/>
          <w:szCs w:val="32"/>
          <w:highlight w:val="none"/>
        </w:rPr>
        <w:t>厂的选址应避免选择在生态资源、地面水系、机场、文化遗址、风景区等敏感区域。对油气仓储企业及油气长输管线等周边区域实施严格安全防护管理，禁止在安全防护距离内布局商业、居住、公共服务等设施，严禁在干流及一级支流沿岸1公里范围内布局化工园区。殡葬基础设施建设应合理利用历史形成的墓葬点和荒山荒地</w:t>
      </w:r>
      <w:r>
        <w:rPr>
          <w:rFonts w:ascii="Times New Roman" w:hAnsi="Times New Roman" w:eastAsia="仿宋_GB2312"/>
          <w:color w:val="auto"/>
          <w:sz w:val="32"/>
          <w:szCs w:val="32"/>
          <w:highlight w:val="none"/>
          <w:shd w:val="clear" w:color="auto" w:fill="FFFFFF"/>
        </w:rPr>
        <w:t>及</w:t>
      </w:r>
      <w:r>
        <w:rPr>
          <w:rFonts w:ascii="Times New Roman" w:hAnsi="Times New Roman" w:eastAsia="仿宋_GB2312"/>
          <w:color w:val="auto"/>
          <w:sz w:val="32"/>
          <w:szCs w:val="32"/>
          <w:highlight w:val="none"/>
        </w:rPr>
        <w:t>不宜耕种的</w:t>
      </w:r>
      <w:r>
        <w:rPr>
          <w:rFonts w:ascii="Times New Roman" w:hAnsi="Times New Roman" w:eastAsia="仿宋_GB2312"/>
          <w:color w:val="auto"/>
          <w:sz w:val="32"/>
          <w:szCs w:val="32"/>
          <w:highlight w:val="none"/>
          <w:shd w:val="clear" w:color="auto" w:fill="FFFFFF"/>
        </w:rPr>
        <w:t>瘠</w:t>
      </w:r>
      <w:r>
        <w:rPr>
          <w:rFonts w:ascii="Times New Roman" w:hAnsi="Times New Roman" w:eastAsia="仿宋_GB2312"/>
          <w:color w:val="auto"/>
          <w:sz w:val="32"/>
          <w:szCs w:val="32"/>
          <w:highlight w:val="none"/>
        </w:rPr>
        <w:t>地，充分考虑殡葬设施服务半径和人数，避免重复建设。</w:t>
      </w:r>
    </w:p>
    <w:p w14:paraId="2CF076ED">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101" w:name="_Toc3523"/>
      <w:bookmarkStart w:id="102" w:name="_Toc6042"/>
      <w:bookmarkStart w:id="103" w:name="_Toc12066"/>
      <w:r>
        <w:rPr>
          <w:rFonts w:ascii="Times New Roman" w:hAnsi="Times New Roman" w:cs="Times New Roman"/>
          <w:color w:val="auto"/>
          <w:szCs w:val="32"/>
          <w:highlight w:val="none"/>
        </w:rPr>
        <w:t>完善乡政府驻地市政基础设施</w:t>
      </w:r>
      <w:bookmarkEnd w:id="101"/>
      <w:bookmarkEnd w:id="102"/>
      <w:bookmarkEnd w:id="103"/>
    </w:p>
    <w:p w14:paraId="649C3FE0">
      <w:pPr>
        <w:pStyle w:val="4"/>
        <w:tabs>
          <w:tab w:val="clear" w:pos="0"/>
        </w:tabs>
        <w:spacing w:before="217" w:after="217"/>
        <w:rPr>
          <w:rFonts w:cs="Times New Roman"/>
          <w:color w:val="auto"/>
          <w:highlight w:val="none"/>
        </w:rPr>
      </w:pPr>
      <w:r>
        <w:rPr>
          <w:rFonts w:cs="Times New Roman"/>
          <w:color w:val="auto"/>
          <w:highlight w:val="none"/>
        </w:rPr>
        <w:t>给水工程</w:t>
      </w:r>
    </w:p>
    <w:p w14:paraId="2D2577A3">
      <w:pPr>
        <w:numPr>
          <w:ilvl w:val="0"/>
          <w:numId w:val="19"/>
        </w:numPr>
        <w:ind w:firstLine="640"/>
        <w:rPr>
          <w:rFonts w:eastAsia="仿宋_GB2312" w:cs="Times New Roman"/>
          <w:color w:val="auto"/>
          <w:sz w:val="32"/>
          <w:szCs w:val="32"/>
          <w:highlight w:val="none"/>
        </w:rPr>
      </w:pPr>
      <w:r>
        <w:rPr>
          <w:rFonts w:eastAsia="仿宋_GB2312" w:cs="Times New Roman"/>
          <w:color w:val="auto"/>
          <w:sz w:val="32"/>
          <w:szCs w:val="32"/>
          <w:highlight w:val="none"/>
        </w:rPr>
        <w:t>供水现状</w:t>
      </w:r>
    </w:p>
    <w:p w14:paraId="551A5F38">
      <w:pPr>
        <w:ind w:firstLine="640"/>
        <w:rPr>
          <w:rFonts w:eastAsia="仿宋_GB2312" w:cs="Times New Roman"/>
          <w:color w:val="auto"/>
          <w:sz w:val="32"/>
          <w:szCs w:val="32"/>
          <w:highlight w:val="none"/>
        </w:rPr>
      </w:pPr>
      <w:r>
        <w:rPr>
          <w:rFonts w:hint="eastAsia" w:eastAsia="仿宋_GB2312" w:cs="Times New Roman"/>
          <w:color w:val="auto"/>
          <w:sz w:val="32"/>
          <w:szCs w:val="32"/>
          <w:highlight w:val="none"/>
        </w:rPr>
        <w:t>东河乡乡政府驻地</w:t>
      </w:r>
      <w:r>
        <w:rPr>
          <w:rFonts w:eastAsia="仿宋_GB2312" w:cs="Times New Roman"/>
          <w:color w:val="auto"/>
          <w:sz w:val="32"/>
          <w:szCs w:val="32"/>
          <w:highlight w:val="none"/>
        </w:rPr>
        <w:t>现有深井泵房1座，以地下水为水源，井深100m左右，水量基本满足乡政府驻地供水需求。</w:t>
      </w:r>
    </w:p>
    <w:p w14:paraId="2294E800">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2、供水规划 </w:t>
      </w:r>
    </w:p>
    <w:p w14:paraId="55082FEC">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（1）水量预测 </w:t>
      </w:r>
    </w:p>
    <w:p w14:paraId="432EB3E6">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确定东河乡乡政府驻地远期（2035年）人均综合用水量指标为180升/人·日，则远期最高日用水量为468升/人·日。 </w:t>
      </w:r>
    </w:p>
    <w:p w14:paraId="0670DAD3">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（2）水源水厂规划 </w:t>
      </w:r>
    </w:p>
    <w:p w14:paraId="50A33510">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规划保留东河乡现状水源，规划新建净水厂1座，两座水厂同时供水，供水规模应满足供水需求。规划期内根据水质监测，完善处理工艺，维护泵房设施，保证供水水质、水压要求。</w:t>
      </w:r>
    </w:p>
    <w:p w14:paraId="14508778">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（3）给水管网规划 </w:t>
      </w:r>
    </w:p>
    <w:p w14:paraId="0423783B">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为保证给水管网的安全性，乡政府驻地生活供水管网采用环状布置方式。 </w:t>
      </w:r>
    </w:p>
    <w:p w14:paraId="2FA3E387">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对于现有的给水管道，要进行充分利用，改造老旧管线。承担消防用水任务的管线，管径不低于DN150；给水管道沿道路敷设，覆土厚度原则上控制在2.2～3.0米之间。 </w:t>
      </w:r>
    </w:p>
    <w:p w14:paraId="56BC335F">
      <w:pPr>
        <w:pStyle w:val="4"/>
        <w:tabs>
          <w:tab w:val="clear" w:pos="0"/>
        </w:tabs>
        <w:spacing w:before="217" w:after="217"/>
        <w:rPr>
          <w:rFonts w:cs="Times New Roman"/>
          <w:color w:val="auto"/>
          <w:highlight w:val="none"/>
        </w:rPr>
      </w:pPr>
      <w:r>
        <w:rPr>
          <w:rFonts w:cs="Times New Roman"/>
          <w:color w:val="auto"/>
          <w:highlight w:val="none"/>
        </w:rPr>
        <w:t>排水工程</w:t>
      </w:r>
    </w:p>
    <w:p w14:paraId="582078C8">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1、排水工程现状 </w:t>
      </w:r>
    </w:p>
    <w:p w14:paraId="1013A3A6">
      <w:pPr>
        <w:ind w:firstLine="640"/>
        <w:rPr>
          <w:rFonts w:eastAsia="仿宋_GB2312" w:cs="Times New Roman"/>
          <w:color w:val="auto"/>
          <w:sz w:val="32"/>
          <w:szCs w:val="32"/>
          <w:highlight w:val="none"/>
        </w:rPr>
      </w:pPr>
      <w:r>
        <w:rPr>
          <w:rFonts w:eastAsia="仿宋_GB2312" w:cs="Times New Roman"/>
          <w:color w:val="auto"/>
          <w:sz w:val="32"/>
          <w:szCs w:val="32"/>
          <w:highlight w:val="none"/>
        </w:rPr>
        <w:t>乡政府驻地没有排水管线 ，</w:t>
      </w:r>
      <w:r>
        <w:rPr>
          <w:rFonts w:eastAsia="仿宋_GB2312" w:cs="Times New Roman"/>
          <w:color w:val="auto"/>
          <w:sz w:val="32"/>
          <w:szCs w:val="32"/>
          <w:highlight w:val="none"/>
          <w:shd w:val="clear" w:color="auto" w:fill="FFFFFF"/>
        </w:rPr>
        <w:t>楼</w:t>
      </w:r>
      <w:r>
        <w:rPr>
          <w:rFonts w:eastAsia="仿宋_GB2312" w:cs="Times New Roman"/>
          <w:color w:val="auto"/>
          <w:sz w:val="32"/>
          <w:szCs w:val="32"/>
          <w:highlight w:val="none"/>
        </w:rPr>
        <w:t>区建有一定数量化粪池，定期清运。</w:t>
      </w:r>
    </w:p>
    <w:p w14:paraId="2087DDB7">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2、污水工程规划 </w:t>
      </w:r>
    </w:p>
    <w:p w14:paraId="731AC339">
      <w:pPr>
        <w:ind w:firstLine="640"/>
        <w:rPr>
          <w:rFonts w:eastAsia="仿宋_GB2312" w:cs="Times New Roman"/>
          <w:color w:val="auto"/>
          <w:sz w:val="32"/>
          <w:szCs w:val="32"/>
          <w:highlight w:val="none"/>
        </w:rPr>
      </w:pPr>
      <w:r>
        <w:rPr>
          <w:rFonts w:eastAsia="仿宋_GB2312" w:cs="Times New Roman"/>
          <w:color w:val="auto"/>
          <w:sz w:val="32"/>
          <w:szCs w:val="32"/>
          <w:highlight w:val="none"/>
        </w:rPr>
        <w:t>（1）排水体制</w:t>
      </w:r>
    </w:p>
    <w:p w14:paraId="3057545B">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规划乡政府驻地排水体制采用雨污分流制。规划建设污水系统、污水处理设施，污水处理后达标排放。雨水经雨水管渠收集后就近排入水体。</w:t>
      </w:r>
    </w:p>
    <w:p w14:paraId="7D682F6F">
      <w:pPr>
        <w:ind w:firstLine="640"/>
        <w:rPr>
          <w:rFonts w:eastAsia="仿宋_GB2312" w:cs="Times New Roman"/>
          <w:color w:val="auto"/>
          <w:sz w:val="32"/>
          <w:szCs w:val="32"/>
          <w:highlight w:val="none"/>
        </w:rPr>
      </w:pPr>
      <w:r>
        <w:rPr>
          <w:rFonts w:eastAsia="仿宋_GB2312" w:cs="Times New Roman"/>
          <w:color w:val="auto"/>
          <w:sz w:val="32"/>
          <w:szCs w:val="32"/>
          <w:highlight w:val="none"/>
        </w:rPr>
        <w:t>（2）污水量预测</w:t>
      </w:r>
    </w:p>
    <w:p w14:paraId="4C702084">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规划污水量按照平均日用水量的85%计，计算乡政府驻地2035年污水总量为330m³/d。 </w:t>
      </w:r>
    </w:p>
    <w:p w14:paraId="548239A2">
      <w:pPr>
        <w:ind w:firstLine="640"/>
        <w:rPr>
          <w:rFonts w:eastAsia="仿宋_GB2312" w:cs="Times New Roman"/>
          <w:color w:val="auto"/>
          <w:sz w:val="32"/>
          <w:szCs w:val="32"/>
          <w:highlight w:val="none"/>
        </w:rPr>
      </w:pPr>
      <w:r>
        <w:rPr>
          <w:rFonts w:eastAsia="仿宋_GB2312" w:cs="Times New Roman"/>
          <w:color w:val="auto"/>
          <w:sz w:val="32"/>
          <w:szCs w:val="32"/>
          <w:highlight w:val="none"/>
        </w:rPr>
        <w:t>（3）污水处理规划</w:t>
      </w:r>
    </w:p>
    <w:p w14:paraId="225B8F0C">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规划新建污水处理厂1座，处理能力达到400m³/d。处理水质达到一级A。</w:t>
      </w:r>
    </w:p>
    <w:p w14:paraId="24F6BF9B">
      <w:pPr>
        <w:ind w:firstLine="640"/>
        <w:rPr>
          <w:rFonts w:eastAsia="仿宋_GB2312" w:cs="Times New Roman"/>
          <w:color w:val="auto"/>
          <w:sz w:val="32"/>
          <w:szCs w:val="32"/>
          <w:highlight w:val="none"/>
        </w:rPr>
      </w:pPr>
      <w:r>
        <w:rPr>
          <w:rFonts w:eastAsia="仿宋_GB2312" w:cs="Times New Roman"/>
          <w:color w:val="auto"/>
          <w:sz w:val="32"/>
          <w:szCs w:val="32"/>
          <w:highlight w:val="none"/>
        </w:rPr>
        <w:t>（4）污水系统</w:t>
      </w:r>
    </w:p>
    <w:p w14:paraId="30193D60">
      <w:pPr>
        <w:pStyle w:val="14"/>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乡政府驻地现状排水管线，作为污水主干管使用，沿道路修建污水管道，生活污水在经过隔油池、化粪池后排入污水管道，排至污水主干管，接入污水处理站，水质达标后排入周边河渠。</w:t>
      </w:r>
    </w:p>
    <w:p w14:paraId="5A171162">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3、 雨水规划 </w:t>
      </w:r>
    </w:p>
    <w:p w14:paraId="27490093">
      <w:pPr>
        <w:pStyle w:val="25"/>
        <w:spacing w:before="87" w:line="600" w:lineRule="exact"/>
        <w:ind w:firstLine="640" w:firstLineChars="200"/>
        <w:jc w:val="left"/>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规划对现状雨水排水明沟、明渠进行清淤，根据需要建设排水明沟或暗渠，雨水边沟的建设与道路整治一起逐步施行，引导雨水排放，避免发生暴雨天气积水现象。规划远期，根据乡镇发展建设情况，经济能力满足条件后可逐步建设暗管排放雨水，保持路面清洁卫生，提升生活条件标准。</w:t>
      </w:r>
    </w:p>
    <w:p w14:paraId="011A6910">
      <w:pPr>
        <w:pStyle w:val="4"/>
        <w:tabs>
          <w:tab w:val="clear" w:pos="0"/>
        </w:tabs>
        <w:spacing w:before="217" w:after="217"/>
        <w:rPr>
          <w:rFonts w:cs="Times New Roman"/>
          <w:color w:val="auto"/>
          <w:highlight w:val="none"/>
        </w:rPr>
      </w:pPr>
      <w:r>
        <w:rPr>
          <w:rFonts w:hint="eastAsia" w:cs="Times New Roman"/>
          <w:color w:val="auto"/>
          <w:highlight w:val="none"/>
          <w:lang w:eastAsia="zh-CN"/>
        </w:rPr>
        <w:t>电</w:t>
      </w:r>
      <w:r>
        <w:rPr>
          <w:rFonts w:cs="Times New Roman"/>
          <w:color w:val="auto"/>
          <w:highlight w:val="none"/>
        </w:rPr>
        <w:t xml:space="preserve">力工程 </w:t>
      </w:r>
    </w:p>
    <w:p w14:paraId="386B589C">
      <w:pPr>
        <w:ind w:firstLine="640"/>
        <w:rPr>
          <w:rFonts w:eastAsia="仿宋_GB2312" w:cs="Times New Roman"/>
          <w:color w:val="auto"/>
          <w:sz w:val="32"/>
          <w:szCs w:val="32"/>
          <w:highlight w:val="none"/>
        </w:rPr>
      </w:pPr>
      <w:r>
        <w:rPr>
          <w:rFonts w:eastAsia="仿宋_GB2312" w:cs="Times New Roman"/>
          <w:color w:val="auto"/>
          <w:sz w:val="32"/>
          <w:szCs w:val="32"/>
          <w:highlight w:val="none"/>
        </w:rPr>
        <w:t>线路规划</w:t>
      </w:r>
      <w:r>
        <w:rPr>
          <w:rFonts w:hint="eastAsia" w:eastAsia="仿宋_GB2312" w:cs="Times New Roman"/>
          <w:color w:val="auto"/>
          <w:sz w:val="32"/>
          <w:szCs w:val="32"/>
          <w:highlight w:val="none"/>
          <w:lang w:eastAsia="zh-CN"/>
        </w:rPr>
        <w:t>：</w:t>
      </w:r>
      <w:r>
        <w:rPr>
          <w:rFonts w:eastAsia="仿宋_GB2312" w:cs="Times New Roman"/>
          <w:color w:val="auto"/>
          <w:sz w:val="32"/>
          <w:szCs w:val="32"/>
          <w:highlight w:val="none"/>
        </w:rPr>
        <w:t>乡政府驻地内居民点采用架空</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力线供</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，架空线路自变压器架设接引。各住宅实行一户一表制，公共建筑实行单独计量。</w:t>
      </w:r>
    </w:p>
    <w:p w14:paraId="00ECF1A9">
      <w:pPr>
        <w:pStyle w:val="4"/>
        <w:tabs>
          <w:tab w:val="clear" w:pos="0"/>
        </w:tabs>
        <w:spacing w:before="217" w:after="217"/>
        <w:rPr>
          <w:rFonts w:cs="Times New Roman"/>
          <w:color w:val="auto"/>
          <w:highlight w:val="none"/>
        </w:rPr>
      </w:pPr>
      <w:r>
        <w:rPr>
          <w:rFonts w:cs="Times New Roman"/>
          <w:color w:val="auto"/>
          <w:highlight w:val="none"/>
        </w:rPr>
        <w:t xml:space="preserve">通信工程 </w:t>
      </w:r>
    </w:p>
    <w:p w14:paraId="4C1016DD">
      <w:pPr>
        <w:ind w:firstLine="640"/>
        <w:rPr>
          <w:rFonts w:eastAsia="仿宋_GB2312" w:cs="Times New Roman"/>
          <w:color w:val="auto"/>
          <w:sz w:val="32"/>
          <w:szCs w:val="32"/>
          <w:highlight w:val="none"/>
        </w:rPr>
      </w:pPr>
      <w:r>
        <w:rPr>
          <w:rFonts w:eastAsia="仿宋_GB2312" w:cs="Times New Roman"/>
          <w:color w:val="auto"/>
          <w:sz w:val="32"/>
          <w:szCs w:val="32"/>
          <w:highlight w:val="none"/>
        </w:rPr>
        <w:t>东河乡通信引自桦川县通信公司。</w:t>
      </w:r>
    </w:p>
    <w:p w14:paraId="5DC943CE">
      <w:pPr>
        <w:ind w:firstLine="640"/>
        <w:rPr>
          <w:rFonts w:eastAsia="仿宋_GB2312" w:cs="Times New Roman"/>
          <w:color w:val="auto"/>
          <w:sz w:val="32"/>
          <w:szCs w:val="32"/>
          <w:highlight w:val="none"/>
        </w:rPr>
      </w:pPr>
      <w:r>
        <w:rPr>
          <w:rFonts w:eastAsia="仿宋_GB2312" w:cs="Times New Roman"/>
          <w:color w:val="auto"/>
          <w:sz w:val="32"/>
          <w:szCs w:val="32"/>
          <w:highlight w:val="none"/>
        </w:rPr>
        <w:t>全面建成涵盖乡镇、农村地区、家庭和政企以及家庭终端的端到端智能光网络，全面具备千兆接入能力，满足万</w:t>
      </w:r>
      <w:r>
        <w:rPr>
          <w:rFonts w:eastAsia="仿宋_GB2312" w:cs="Times New Roman"/>
          <w:color w:val="auto"/>
          <w:sz w:val="32"/>
          <w:szCs w:val="32"/>
          <w:highlight w:val="none"/>
          <w:shd w:val="clear" w:color="auto" w:fill="FFFFFF"/>
        </w:rPr>
        <w:t>兆</w:t>
      </w:r>
      <w:r>
        <w:rPr>
          <w:rFonts w:eastAsia="仿宋_GB2312" w:cs="Times New Roman"/>
          <w:color w:val="auto"/>
          <w:sz w:val="32"/>
          <w:szCs w:val="32"/>
          <w:highlight w:val="none"/>
        </w:rPr>
        <w:t>需求。</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视节目逐步过渡到数字化和高清晰化，积极开发数字</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视的增值业务。</w:t>
      </w:r>
    </w:p>
    <w:p w14:paraId="418327D0">
      <w:pPr>
        <w:pStyle w:val="4"/>
        <w:tabs>
          <w:tab w:val="clear" w:pos="0"/>
        </w:tabs>
        <w:spacing w:before="217" w:after="217"/>
        <w:rPr>
          <w:rFonts w:cs="Times New Roman"/>
          <w:color w:val="auto"/>
          <w:highlight w:val="none"/>
        </w:rPr>
      </w:pPr>
      <w:r>
        <w:rPr>
          <w:rFonts w:cs="Times New Roman"/>
          <w:color w:val="auto"/>
          <w:highlight w:val="none"/>
        </w:rPr>
        <w:t xml:space="preserve">供热工程 </w:t>
      </w:r>
    </w:p>
    <w:p w14:paraId="62AC3559">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规划乡政府驻地供热采用集中供热模式。规划驻地东侧新建秸秆集中供热项目，占地面积约1万平方米，作为集中供热热源。规划热网采用一级网直供方式，管道采用枝状布置，全部采用直埋敷设。</w:t>
      </w:r>
    </w:p>
    <w:p w14:paraId="3C061E03">
      <w:pPr>
        <w:pStyle w:val="4"/>
        <w:tabs>
          <w:tab w:val="clear" w:pos="0"/>
        </w:tabs>
        <w:spacing w:before="217" w:after="217"/>
        <w:rPr>
          <w:rFonts w:cs="Times New Roman"/>
          <w:color w:val="auto"/>
          <w:highlight w:val="none"/>
        </w:rPr>
      </w:pPr>
      <w:r>
        <w:rPr>
          <w:rFonts w:cs="Times New Roman"/>
          <w:color w:val="auto"/>
          <w:highlight w:val="none"/>
        </w:rPr>
        <w:t xml:space="preserve">燃气工程 </w:t>
      </w:r>
    </w:p>
    <w:p w14:paraId="583FE372">
      <w:pPr>
        <w:ind w:firstLine="640"/>
        <w:rPr>
          <w:rFonts w:eastAsia="仿宋_GB2312" w:cs="Times New Roman"/>
          <w:color w:val="auto"/>
          <w:sz w:val="32"/>
          <w:szCs w:val="32"/>
          <w:highlight w:val="none"/>
        </w:rPr>
      </w:pPr>
      <w:r>
        <w:rPr>
          <w:rFonts w:eastAsia="仿宋_GB2312" w:cs="Times New Roman"/>
          <w:color w:val="auto"/>
          <w:sz w:val="32"/>
          <w:szCs w:val="32"/>
          <w:highlight w:val="none"/>
        </w:rPr>
        <w:t>乡政府驻地居民用燃气主要以液化石油气为主要燃料，气源采用桦川县液化石油气站。</w:t>
      </w:r>
    </w:p>
    <w:p w14:paraId="100CAE00">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规划燃气气源采用液化石油气，通过气瓶向用户供气。</w:t>
      </w:r>
    </w:p>
    <w:p w14:paraId="1A08D31B">
      <w:pPr>
        <w:ind w:firstLine="640"/>
        <w:rPr>
          <w:rFonts w:eastAsia="仿宋_GB2312" w:cs="Times New Roman"/>
          <w:color w:val="auto"/>
          <w:sz w:val="32"/>
          <w:szCs w:val="32"/>
          <w:highlight w:val="none"/>
        </w:rPr>
      </w:pPr>
      <w:r>
        <w:rPr>
          <w:rFonts w:eastAsia="仿宋_GB2312" w:cs="Times New Roman"/>
          <w:color w:val="auto"/>
          <w:sz w:val="32"/>
          <w:szCs w:val="32"/>
          <w:highlight w:val="none"/>
        </w:rPr>
        <w:t>居民用气定额：参照《城镇燃气设计规范》推荐的用气量指标，确定液化石油气定额15千克/户•月。</w:t>
      </w:r>
    </w:p>
    <w:p w14:paraId="778BAAC1">
      <w:pPr>
        <w:pStyle w:val="4"/>
        <w:tabs>
          <w:tab w:val="clear" w:pos="0"/>
        </w:tabs>
        <w:spacing w:before="217" w:after="217"/>
        <w:rPr>
          <w:rFonts w:cs="Times New Roman"/>
          <w:color w:val="auto"/>
          <w:highlight w:val="none"/>
        </w:rPr>
      </w:pPr>
      <w:r>
        <w:rPr>
          <w:rFonts w:cs="Times New Roman"/>
          <w:color w:val="auto"/>
          <w:highlight w:val="none"/>
        </w:rPr>
        <w:t>环卫设施</w:t>
      </w:r>
    </w:p>
    <w:p w14:paraId="0AE2692C">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1、垃圾处理方式规划 </w:t>
      </w:r>
    </w:p>
    <w:p w14:paraId="2C5A2001">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规划采用垃圾定点收集，集中处理的方式，将垃圾转运站内的垃圾</w:t>
      </w:r>
      <w:r>
        <w:rPr>
          <w:rFonts w:eastAsia="仿宋_GB2312" w:cs="Times New Roman"/>
          <w:color w:val="auto"/>
          <w:sz w:val="32"/>
          <w:szCs w:val="32"/>
          <w:highlight w:val="none"/>
          <w:shd w:val="clear" w:color="auto" w:fill="FFFFFF"/>
        </w:rPr>
        <w:t>由</w:t>
      </w:r>
      <w:r>
        <w:rPr>
          <w:rFonts w:eastAsia="仿宋_GB2312" w:cs="Times New Roman"/>
          <w:color w:val="auto"/>
          <w:sz w:val="32"/>
          <w:szCs w:val="32"/>
          <w:highlight w:val="none"/>
        </w:rPr>
        <w:t>密闭式垃圾清运车运到垃圾处理厂，统一处理。</w:t>
      </w:r>
    </w:p>
    <w:p w14:paraId="0A061570">
      <w:pPr>
        <w:ind w:firstLine="640"/>
        <w:rPr>
          <w:rFonts w:eastAsia="仿宋_GB2312" w:cs="Times New Roman"/>
          <w:color w:val="auto"/>
          <w:sz w:val="32"/>
          <w:szCs w:val="32"/>
          <w:highlight w:val="none"/>
        </w:rPr>
      </w:pPr>
      <w:r>
        <w:rPr>
          <w:rFonts w:eastAsia="仿宋_GB2312" w:cs="Times New Roman"/>
          <w:color w:val="auto"/>
          <w:sz w:val="32"/>
          <w:szCs w:val="32"/>
          <w:highlight w:val="none"/>
        </w:rPr>
        <w:t xml:space="preserve">医疗垃圾由医疗机构（医院）转运至医疗垃圾处置机构专门处理。 </w:t>
      </w:r>
    </w:p>
    <w:p w14:paraId="4AD535F3">
      <w:pPr>
        <w:ind w:firstLine="640"/>
        <w:rPr>
          <w:rFonts w:eastAsia="仿宋_GB2312" w:cs="Times New Roman"/>
          <w:color w:val="auto"/>
          <w:sz w:val="32"/>
          <w:szCs w:val="32"/>
          <w:highlight w:val="none"/>
        </w:rPr>
      </w:pPr>
      <w:r>
        <w:rPr>
          <w:rFonts w:hint="eastAsia" w:eastAsia="仿宋_GB2312" w:cs="Times New Roman"/>
          <w:color w:val="auto"/>
          <w:sz w:val="32"/>
          <w:szCs w:val="32"/>
          <w:highlight w:val="none"/>
          <w:lang w:val="en-US" w:eastAsia="zh-CN"/>
        </w:rPr>
        <w:t>2</w:t>
      </w:r>
      <w:r>
        <w:rPr>
          <w:rFonts w:eastAsia="仿宋_GB2312" w:cs="Times New Roman"/>
          <w:color w:val="auto"/>
          <w:sz w:val="32"/>
          <w:szCs w:val="32"/>
          <w:highlight w:val="none"/>
        </w:rPr>
        <w:t>．环境卫生设施规划</w:t>
      </w:r>
    </w:p>
    <w:p w14:paraId="5D700883">
      <w:pPr>
        <w:ind w:firstLine="640"/>
        <w:rPr>
          <w:rFonts w:eastAsia="仿宋_GB2312" w:cs="Times New Roman"/>
          <w:color w:val="auto"/>
          <w:sz w:val="32"/>
          <w:szCs w:val="32"/>
          <w:highlight w:val="none"/>
        </w:rPr>
      </w:pPr>
      <w:r>
        <w:rPr>
          <w:rFonts w:eastAsia="仿宋_GB2312" w:cs="Times New Roman"/>
          <w:color w:val="auto"/>
          <w:sz w:val="32"/>
          <w:szCs w:val="32"/>
          <w:highlight w:val="none"/>
        </w:rPr>
        <w:t>（1）垃圾分类收</w:t>
      </w:r>
    </w:p>
    <w:p w14:paraId="0E5EADEF">
      <w:pPr>
        <w:ind w:firstLine="640"/>
        <w:rPr>
          <w:rFonts w:eastAsia="仿宋_GB2312" w:cs="Times New Roman"/>
          <w:color w:val="auto"/>
          <w:sz w:val="32"/>
          <w:szCs w:val="32"/>
          <w:highlight w:val="none"/>
        </w:rPr>
      </w:pPr>
      <w:r>
        <w:rPr>
          <w:rFonts w:eastAsia="仿宋_GB2312" w:cs="Times New Roman"/>
          <w:color w:val="auto"/>
          <w:sz w:val="32"/>
          <w:szCs w:val="32"/>
          <w:highlight w:val="none"/>
        </w:rPr>
        <w:t>垃圾分类收集箱的设置原则主要交通干道每50-80米</w:t>
      </w:r>
      <w:r>
        <w:rPr>
          <w:rFonts w:eastAsia="仿宋_GB2312" w:cs="Times New Roman"/>
          <w:color w:val="auto"/>
          <w:sz w:val="32"/>
          <w:szCs w:val="32"/>
          <w:highlight w:val="none"/>
          <w:shd w:val="clear" w:color="auto" w:fill="FFFFFF"/>
        </w:rPr>
        <w:t>设</w:t>
      </w:r>
      <w:r>
        <w:rPr>
          <w:rFonts w:eastAsia="仿宋_GB2312" w:cs="Times New Roman"/>
          <w:color w:val="auto"/>
          <w:sz w:val="32"/>
          <w:szCs w:val="32"/>
          <w:highlight w:val="none"/>
        </w:rPr>
        <w:t>1个；一般道路每80-100米</w:t>
      </w:r>
      <w:r>
        <w:rPr>
          <w:rFonts w:eastAsia="仿宋_GB2312" w:cs="Times New Roman"/>
          <w:color w:val="auto"/>
          <w:sz w:val="32"/>
          <w:szCs w:val="32"/>
          <w:highlight w:val="none"/>
          <w:shd w:val="clear" w:color="auto" w:fill="FFFFFF"/>
        </w:rPr>
        <w:t>设</w:t>
      </w:r>
      <w:r>
        <w:rPr>
          <w:rFonts w:eastAsia="仿宋_GB2312" w:cs="Times New Roman"/>
          <w:color w:val="auto"/>
          <w:sz w:val="32"/>
          <w:szCs w:val="32"/>
          <w:highlight w:val="none"/>
        </w:rPr>
        <w:t>1个。</w:t>
      </w:r>
    </w:p>
    <w:p w14:paraId="33DACE1F">
      <w:pPr>
        <w:ind w:firstLine="640"/>
        <w:rPr>
          <w:rFonts w:eastAsia="仿宋_GB2312" w:cs="Times New Roman"/>
          <w:color w:val="auto"/>
          <w:sz w:val="32"/>
          <w:szCs w:val="32"/>
          <w:highlight w:val="none"/>
        </w:rPr>
      </w:pPr>
      <w:r>
        <w:rPr>
          <w:rFonts w:eastAsia="仿宋_GB2312" w:cs="Times New Roman"/>
          <w:color w:val="auto"/>
          <w:sz w:val="32"/>
          <w:szCs w:val="32"/>
          <w:highlight w:val="none"/>
        </w:rPr>
        <w:t>（4）垃圾转运站规划</w:t>
      </w:r>
    </w:p>
    <w:p w14:paraId="62C8F59F">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规划建设垃圾分拣转运站1座，位于乡政府驻地东北部。</w:t>
      </w:r>
    </w:p>
    <w:p w14:paraId="1368C73A">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104" w:name="_Toc18414"/>
      <w:r>
        <w:rPr>
          <w:rFonts w:ascii="Times New Roman" w:hAnsi="Times New Roman" w:cs="Times New Roman"/>
          <w:color w:val="auto"/>
          <w:szCs w:val="32"/>
          <w:highlight w:val="none"/>
        </w:rPr>
        <w:t>保障综合防灾减灾体系建立</w:t>
      </w:r>
      <w:bookmarkEnd w:id="104"/>
    </w:p>
    <w:p w14:paraId="5FCB2D26">
      <w:pPr>
        <w:pStyle w:val="4"/>
        <w:tabs>
          <w:tab w:val="clear" w:pos="0"/>
        </w:tabs>
        <w:spacing w:before="217" w:after="217"/>
        <w:rPr>
          <w:rFonts w:cs="Times New Roman"/>
          <w:color w:val="auto"/>
          <w:highlight w:val="none"/>
        </w:rPr>
      </w:pPr>
      <w:r>
        <w:rPr>
          <w:rFonts w:cs="Times New Roman"/>
          <w:color w:val="auto"/>
          <w:highlight w:val="none"/>
        </w:rPr>
        <w:t>综合防灾与公共安全保障</w:t>
      </w:r>
    </w:p>
    <w:p w14:paraId="7A6A56D4">
      <w:pPr>
        <w:ind w:firstLine="640"/>
        <w:rPr>
          <w:rFonts w:eastAsia="仿宋_GB2312" w:cs="Times New Roman"/>
          <w:color w:val="auto"/>
          <w:sz w:val="32"/>
          <w:szCs w:val="32"/>
          <w:highlight w:val="none"/>
        </w:rPr>
      </w:pPr>
      <w:r>
        <w:rPr>
          <w:rFonts w:eastAsia="仿宋_GB2312" w:cs="Times New Roman"/>
          <w:color w:val="auto"/>
          <w:sz w:val="32"/>
          <w:szCs w:val="32"/>
          <w:highlight w:val="none"/>
        </w:rPr>
        <w:t>1．综合防灾空间结构</w:t>
      </w:r>
    </w:p>
    <w:p w14:paraId="27E06265">
      <w:pPr>
        <w:ind w:firstLine="640"/>
        <w:rPr>
          <w:rFonts w:eastAsia="仿宋_GB2312" w:cs="Times New Roman"/>
          <w:color w:val="auto"/>
          <w:sz w:val="32"/>
          <w:szCs w:val="32"/>
          <w:highlight w:val="none"/>
        </w:rPr>
      </w:pPr>
      <w:r>
        <w:rPr>
          <w:rFonts w:eastAsia="仿宋_GB2312" w:cs="Times New Roman"/>
          <w:color w:val="auto"/>
          <w:sz w:val="32"/>
          <w:szCs w:val="32"/>
          <w:highlight w:val="none"/>
        </w:rPr>
        <w:t>构建以救援主通道、疏散主通道、疏散次通道和一般疏散通道为主体的分级疏散救援通道体系。建立布局合理的避难场所体系，利用现有和规划建设的公园广场、绿地、学校等场地以及地下空间，加强室内、综合性及农村地区应急避难场所建设。利用全国自然灾害综合风险普查结果，合理避让自然灾害高风险区域。</w:t>
      </w:r>
    </w:p>
    <w:p w14:paraId="2D5BDA2C">
      <w:pPr>
        <w:ind w:firstLine="640"/>
        <w:rPr>
          <w:rFonts w:eastAsia="仿宋_GB2312" w:cs="Times New Roman"/>
          <w:color w:val="auto"/>
          <w:sz w:val="32"/>
          <w:szCs w:val="32"/>
          <w:highlight w:val="none"/>
        </w:rPr>
      </w:pPr>
      <w:r>
        <w:rPr>
          <w:rFonts w:eastAsia="仿宋_GB2312" w:cs="Times New Roman"/>
          <w:color w:val="auto"/>
          <w:sz w:val="32"/>
          <w:szCs w:val="32"/>
          <w:highlight w:val="none"/>
        </w:rPr>
        <w:t>2．地质灾害预防</w:t>
      </w:r>
    </w:p>
    <w:p w14:paraId="4590E52E">
      <w:pPr>
        <w:ind w:firstLine="640"/>
        <w:rPr>
          <w:rFonts w:eastAsia="仿宋_GB2312" w:cs="Times New Roman"/>
          <w:color w:val="auto"/>
          <w:sz w:val="32"/>
          <w:szCs w:val="32"/>
          <w:highlight w:val="none"/>
        </w:rPr>
      </w:pPr>
      <w:r>
        <w:rPr>
          <w:rFonts w:eastAsia="仿宋_GB2312" w:cs="Times New Roman"/>
          <w:color w:val="auto"/>
          <w:sz w:val="32"/>
          <w:szCs w:val="32"/>
          <w:highlight w:val="none"/>
        </w:rPr>
        <w:t>地质灾害的防治要贯彻以防为主、防治结合的原则，城镇建设应避开各类地质灾害分布区，规划中的道路、基础设施等工程，应在前期进行勘察，充分进行可行性论证，制定严密措施，采取防治对策。</w:t>
      </w:r>
    </w:p>
    <w:p w14:paraId="339C5CCD">
      <w:pPr>
        <w:ind w:firstLine="640"/>
        <w:rPr>
          <w:rFonts w:eastAsia="仿宋_GB2312" w:cs="Times New Roman"/>
          <w:color w:val="auto"/>
          <w:sz w:val="32"/>
          <w:szCs w:val="32"/>
          <w:highlight w:val="none"/>
        </w:rPr>
      </w:pPr>
      <w:r>
        <w:rPr>
          <w:rFonts w:eastAsia="仿宋_GB2312" w:cs="Times New Roman"/>
          <w:color w:val="auto"/>
          <w:sz w:val="32"/>
          <w:szCs w:val="32"/>
          <w:highlight w:val="none"/>
        </w:rPr>
        <w:t>广泛开展科普宣传，普及地质灾害防治知识。对地震灾害等地质灾害，开展专业性和群众性的监测预报工作。</w:t>
      </w:r>
    </w:p>
    <w:p w14:paraId="43E414D5">
      <w:pPr>
        <w:ind w:firstLine="640"/>
        <w:rPr>
          <w:rFonts w:eastAsia="仿宋_GB2312" w:cs="Times New Roman"/>
          <w:color w:val="auto"/>
          <w:sz w:val="32"/>
          <w:szCs w:val="32"/>
          <w:highlight w:val="none"/>
        </w:rPr>
      </w:pPr>
      <w:r>
        <w:rPr>
          <w:rFonts w:eastAsia="仿宋_GB2312" w:cs="Times New Roman"/>
          <w:color w:val="auto"/>
          <w:sz w:val="32"/>
          <w:szCs w:val="32"/>
          <w:highlight w:val="none"/>
        </w:rPr>
        <w:t>3．公共场所安全</w:t>
      </w:r>
    </w:p>
    <w:p w14:paraId="490DAF0F">
      <w:pPr>
        <w:ind w:firstLine="640"/>
        <w:rPr>
          <w:rFonts w:eastAsia="仿宋_GB2312" w:cs="Times New Roman"/>
          <w:color w:val="auto"/>
          <w:sz w:val="32"/>
          <w:szCs w:val="32"/>
          <w:highlight w:val="none"/>
        </w:rPr>
      </w:pPr>
      <w:r>
        <w:rPr>
          <w:rFonts w:eastAsia="仿宋_GB2312" w:cs="Times New Roman"/>
          <w:color w:val="auto"/>
          <w:sz w:val="32"/>
          <w:szCs w:val="32"/>
          <w:highlight w:val="none"/>
        </w:rPr>
        <w:t>制定疏散方案，提出疏散行动组织要求，强化日常疏散训练。加强安全疏散技术要求、建筑防火安全规定、公共活动场所的防火</w:t>
      </w:r>
      <w:r>
        <w:rPr>
          <w:rFonts w:hint="eastAsia" w:eastAsia="仿宋_GB2312" w:cs="Times New Roman"/>
          <w:color w:val="auto"/>
          <w:sz w:val="32"/>
          <w:szCs w:val="32"/>
          <w:highlight w:val="none"/>
        </w:rPr>
        <w:t>设施</w:t>
      </w:r>
      <w:r>
        <w:rPr>
          <w:rFonts w:eastAsia="仿宋_GB2312" w:cs="Times New Roman"/>
          <w:color w:val="auto"/>
          <w:sz w:val="32"/>
          <w:szCs w:val="32"/>
          <w:highlight w:val="none"/>
        </w:rPr>
        <w:t>的监督和管理。</w:t>
      </w:r>
    </w:p>
    <w:p w14:paraId="21C0C67C">
      <w:pPr>
        <w:ind w:firstLine="640"/>
        <w:rPr>
          <w:rFonts w:eastAsia="仿宋_GB2312" w:cs="Times New Roman"/>
          <w:color w:val="auto"/>
          <w:sz w:val="32"/>
          <w:szCs w:val="32"/>
          <w:highlight w:val="none"/>
        </w:rPr>
      </w:pPr>
      <w:r>
        <w:rPr>
          <w:rFonts w:eastAsia="仿宋_GB2312" w:cs="Times New Roman"/>
          <w:color w:val="auto"/>
          <w:sz w:val="32"/>
          <w:szCs w:val="32"/>
          <w:highlight w:val="none"/>
        </w:rPr>
        <w:t>4．重点防范公共事件</w:t>
      </w:r>
    </w:p>
    <w:p w14:paraId="38EEAF94">
      <w:pPr>
        <w:ind w:firstLine="640"/>
        <w:rPr>
          <w:rFonts w:eastAsia="仿宋_GB2312" w:cs="Times New Roman"/>
          <w:color w:val="auto"/>
          <w:sz w:val="32"/>
          <w:szCs w:val="32"/>
          <w:highlight w:val="none"/>
        </w:rPr>
      </w:pPr>
      <w:r>
        <w:rPr>
          <w:rFonts w:eastAsia="仿宋_GB2312" w:cs="Times New Roman"/>
          <w:color w:val="auto"/>
          <w:sz w:val="32"/>
          <w:szCs w:val="32"/>
          <w:highlight w:val="none"/>
        </w:rPr>
        <w:t>需要重点防范的公共事件有洪涝灾害、突发性地质灾害、地震、暴雨雷</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、火灾事故、道路桥梁突发事故、突发重大交通事故（铁路、公路、水运、航空）、城</w:t>
      </w:r>
      <w:r>
        <w:rPr>
          <w:rFonts w:hint="eastAsia" w:eastAsia="仿宋_GB2312" w:cs="Times New Roman"/>
          <w:color w:val="auto"/>
          <w:sz w:val="32"/>
          <w:szCs w:val="32"/>
          <w:highlight w:val="none"/>
          <w:lang w:val="en-US" w:eastAsia="zh-CN"/>
        </w:rPr>
        <w:t>乡</w:t>
      </w:r>
      <w:r>
        <w:rPr>
          <w:rFonts w:eastAsia="仿宋_GB2312" w:cs="Times New Roman"/>
          <w:color w:val="auto"/>
          <w:sz w:val="32"/>
          <w:szCs w:val="32"/>
          <w:highlight w:val="none"/>
        </w:rPr>
        <w:t>供水突发公共事件、城</w:t>
      </w:r>
      <w:r>
        <w:rPr>
          <w:rFonts w:hint="eastAsia" w:eastAsia="仿宋_GB2312" w:cs="Times New Roman"/>
          <w:color w:val="auto"/>
          <w:sz w:val="32"/>
          <w:szCs w:val="32"/>
          <w:highlight w:val="none"/>
          <w:lang w:val="en-US" w:eastAsia="zh-CN"/>
        </w:rPr>
        <w:t>乡</w:t>
      </w:r>
      <w:r>
        <w:rPr>
          <w:rFonts w:eastAsia="仿宋_GB2312" w:cs="Times New Roman"/>
          <w:color w:val="auto"/>
          <w:sz w:val="32"/>
          <w:szCs w:val="32"/>
          <w:highlight w:val="none"/>
        </w:rPr>
        <w:t>排水突发公共事件、重大</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力突发事故、燃气事故、供热事故、通信线路和通信设施事故、化学危险品事故、传染病疫情、动植物疫病、恐怖袭击、群体性事件等。</w:t>
      </w:r>
    </w:p>
    <w:p w14:paraId="796457DB">
      <w:pPr>
        <w:spacing w:line="600" w:lineRule="atLeast"/>
        <w:ind w:firstLine="640"/>
        <w:rPr>
          <w:rFonts w:eastAsia="仿宋_GB2312" w:cs="Times New Roman"/>
          <w:color w:val="auto"/>
          <w:sz w:val="32"/>
          <w:szCs w:val="32"/>
          <w:highlight w:val="none"/>
        </w:rPr>
      </w:pPr>
      <w:r>
        <w:rPr>
          <w:rFonts w:eastAsia="仿宋_GB2312" w:cs="Times New Roman"/>
          <w:color w:val="auto"/>
          <w:sz w:val="32"/>
          <w:szCs w:val="32"/>
          <w:highlight w:val="none"/>
        </w:rPr>
        <w:t>5.气象灾害防御</w:t>
      </w:r>
    </w:p>
    <w:p w14:paraId="64370675">
      <w:pPr>
        <w:pStyle w:val="14"/>
        <w:ind w:firstLine="640"/>
        <w:rPr>
          <w:rFonts w:ascii="Times New Roman" w:hAnsi="Times New Roman"/>
          <w:color w:val="auto"/>
          <w:highlight w:val="none"/>
        </w:rPr>
      </w:pPr>
      <w:r>
        <w:rPr>
          <w:rFonts w:ascii="Times New Roman" w:hAnsi="Times New Roman" w:eastAsia="仿宋_GB2312"/>
          <w:color w:val="auto"/>
          <w:sz w:val="32"/>
          <w:szCs w:val="32"/>
          <w:highlight w:val="none"/>
        </w:rPr>
        <w:t>建立和完善气候变化的评估和预警系统，提高气象灾害的预报预测水平</w:t>
      </w:r>
      <w:r>
        <w:rPr>
          <w:rFonts w:ascii="Times New Roman" w:hAnsi="Times New Roman"/>
          <w:color w:val="auto"/>
          <w:sz w:val="32"/>
          <w:szCs w:val="32"/>
          <w:highlight w:val="none"/>
        </w:rPr>
        <w:t>，</w:t>
      </w:r>
      <w:r>
        <w:rPr>
          <w:rFonts w:ascii="Times New Roman" w:hAnsi="Times New Roman" w:eastAsia="仿宋_GB2312"/>
          <w:color w:val="auto"/>
          <w:sz w:val="32"/>
          <w:szCs w:val="32"/>
          <w:highlight w:val="none"/>
        </w:rPr>
        <w:t>最大限度减轻气象灾害造成的经济损失和社会不利影响。为确保佳木斯市气象观测站点</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天气雷达站、气象观测站</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数据代表性、准确性、比较性，规划乡镇建设1套区域气象观测站，按照《气象探测环境保护规范地面气象观测站GB31221—2014》“3.2区域气象观测站”要求执行。</w:t>
      </w:r>
    </w:p>
    <w:p w14:paraId="606DF43D">
      <w:pPr>
        <w:pStyle w:val="4"/>
        <w:tabs>
          <w:tab w:val="clear" w:pos="0"/>
        </w:tabs>
        <w:spacing w:before="217" w:after="217"/>
        <w:rPr>
          <w:rFonts w:cs="Times New Roman"/>
          <w:color w:val="auto"/>
          <w:highlight w:val="none"/>
        </w:rPr>
      </w:pPr>
      <w:bookmarkStart w:id="105" w:name="_Toc360266032"/>
      <w:r>
        <w:rPr>
          <w:rFonts w:cs="Times New Roman"/>
          <w:color w:val="auto"/>
          <w:highlight w:val="none"/>
        </w:rPr>
        <w:t>防震减灾</w:t>
      </w:r>
      <w:bookmarkEnd w:id="105"/>
    </w:p>
    <w:p w14:paraId="0C96682E">
      <w:pPr>
        <w:ind w:firstLine="640"/>
        <w:rPr>
          <w:rFonts w:eastAsia="仿宋_GB2312" w:cs="Times New Roman"/>
          <w:color w:val="auto"/>
          <w:sz w:val="32"/>
          <w:szCs w:val="32"/>
          <w:highlight w:val="none"/>
        </w:rPr>
      </w:pPr>
      <w:r>
        <w:rPr>
          <w:rFonts w:eastAsia="仿宋_GB2312" w:cs="Times New Roman"/>
          <w:color w:val="auto"/>
          <w:sz w:val="32"/>
          <w:szCs w:val="32"/>
          <w:highlight w:val="none"/>
        </w:rPr>
        <w:t>1．抗震设防标准</w:t>
      </w:r>
    </w:p>
    <w:p w14:paraId="5AD053E0">
      <w:pPr>
        <w:ind w:firstLine="640"/>
        <w:rPr>
          <w:rFonts w:eastAsia="仿宋_GB2312" w:cs="Times New Roman"/>
          <w:color w:val="auto"/>
          <w:sz w:val="32"/>
          <w:szCs w:val="32"/>
          <w:highlight w:val="none"/>
        </w:rPr>
      </w:pPr>
      <w:r>
        <w:rPr>
          <w:rFonts w:eastAsia="仿宋_GB2312" w:cs="Times New Roman"/>
          <w:color w:val="auto"/>
          <w:sz w:val="32"/>
          <w:szCs w:val="32"/>
          <w:highlight w:val="none"/>
        </w:rPr>
        <w:t>根据《中国地震动参数区划图》（GB18306-2001），</w:t>
      </w:r>
      <w:r>
        <w:rPr>
          <w:rFonts w:eastAsia="仿宋_GB2312" w:cs="Times New Roman"/>
          <w:bCs/>
          <w:color w:val="auto"/>
          <w:sz w:val="32"/>
          <w:szCs w:val="32"/>
          <w:highlight w:val="none"/>
        </w:rPr>
        <w:t>桦川县</w:t>
      </w:r>
      <w:r>
        <w:rPr>
          <w:rFonts w:eastAsia="仿宋_GB2312" w:cs="Times New Roman"/>
          <w:color w:val="auto"/>
          <w:sz w:val="32"/>
          <w:szCs w:val="32"/>
          <w:highlight w:val="none"/>
        </w:rPr>
        <w:t>地震动峰值加速度&lt;0.05g，地震基本烈度值&lt;Ⅵ，规划将东河乡列为地震6度。</w:t>
      </w:r>
    </w:p>
    <w:p w14:paraId="629CDFEE">
      <w:pPr>
        <w:ind w:firstLine="640"/>
        <w:rPr>
          <w:rFonts w:eastAsia="仿宋_GB2312" w:cs="Times New Roman"/>
          <w:color w:val="auto"/>
          <w:sz w:val="32"/>
          <w:szCs w:val="32"/>
          <w:highlight w:val="none"/>
        </w:rPr>
      </w:pPr>
      <w:r>
        <w:rPr>
          <w:rFonts w:hint="eastAsia" w:eastAsia="仿宋_GB2312" w:cs="Times New Roman"/>
          <w:color w:val="auto"/>
          <w:sz w:val="32"/>
          <w:szCs w:val="32"/>
          <w:highlight w:val="none"/>
          <w:lang w:val="en-US" w:eastAsia="zh-CN"/>
        </w:rPr>
        <w:t>2</w:t>
      </w:r>
      <w:r>
        <w:rPr>
          <w:rFonts w:eastAsia="仿宋_GB2312" w:cs="Times New Roman"/>
          <w:color w:val="auto"/>
          <w:sz w:val="32"/>
          <w:szCs w:val="32"/>
          <w:highlight w:val="none"/>
        </w:rPr>
        <w:t>．</w:t>
      </w:r>
      <w:bookmarkStart w:id="106" w:name="_Toc331536202"/>
      <w:bookmarkStart w:id="107" w:name="_Toc406394927"/>
      <w:r>
        <w:rPr>
          <w:rFonts w:eastAsia="仿宋_GB2312" w:cs="Times New Roman"/>
          <w:color w:val="auto"/>
          <w:sz w:val="32"/>
          <w:szCs w:val="32"/>
          <w:highlight w:val="none"/>
        </w:rPr>
        <w:t>抗震工程</w:t>
      </w:r>
      <w:bookmarkEnd w:id="106"/>
      <w:bookmarkEnd w:id="107"/>
      <w:r>
        <w:rPr>
          <w:rFonts w:eastAsia="仿宋_GB2312" w:cs="Times New Roman"/>
          <w:color w:val="auto"/>
          <w:sz w:val="32"/>
          <w:szCs w:val="32"/>
          <w:highlight w:val="none"/>
        </w:rPr>
        <w:t>建设</w:t>
      </w:r>
    </w:p>
    <w:p w14:paraId="362C6244">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规划布局时应考虑抗震因素，城</w:t>
      </w:r>
      <w:r>
        <w:rPr>
          <w:rFonts w:hint="eastAsia" w:eastAsia="仿宋_GB2312" w:cs="Times New Roman"/>
          <w:color w:val="auto"/>
          <w:sz w:val="32"/>
          <w:szCs w:val="32"/>
          <w:highlight w:val="none"/>
          <w:lang w:val="en-US" w:eastAsia="zh-CN"/>
        </w:rPr>
        <w:t>乡</w:t>
      </w:r>
      <w:r>
        <w:rPr>
          <w:rFonts w:eastAsia="仿宋_GB2312" w:cs="Times New Roman"/>
          <w:color w:val="auto"/>
          <w:sz w:val="32"/>
          <w:szCs w:val="32"/>
          <w:highlight w:val="none"/>
        </w:rPr>
        <w:t>建设应避开塌陷、断裂带等地区及软土和液化土层地带。城</w:t>
      </w:r>
      <w:r>
        <w:rPr>
          <w:rFonts w:hint="eastAsia" w:eastAsia="仿宋_GB2312" w:cs="Times New Roman"/>
          <w:color w:val="auto"/>
          <w:sz w:val="32"/>
          <w:szCs w:val="32"/>
          <w:highlight w:val="none"/>
          <w:lang w:val="en-US" w:eastAsia="zh-CN"/>
        </w:rPr>
        <w:t>乡</w:t>
      </w:r>
      <w:r>
        <w:rPr>
          <w:rFonts w:eastAsia="仿宋_GB2312" w:cs="Times New Roman"/>
          <w:color w:val="auto"/>
          <w:sz w:val="32"/>
          <w:szCs w:val="32"/>
          <w:highlight w:val="none"/>
        </w:rPr>
        <w:t>建设用地应选择利用抗震性能比较好的场地，尽量避免在坑塘、湿地等不利地段建设，如必须建设时应采取抗震处理措施。</w:t>
      </w:r>
    </w:p>
    <w:p w14:paraId="157E6169">
      <w:pPr>
        <w:ind w:firstLine="640"/>
        <w:rPr>
          <w:rFonts w:eastAsia="仿宋_GB2312" w:cs="Times New Roman"/>
          <w:color w:val="auto"/>
          <w:sz w:val="32"/>
          <w:szCs w:val="32"/>
          <w:highlight w:val="none"/>
        </w:rPr>
      </w:pPr>
      <w:r>
        <w:rPr>
          <w:rFonts w:hint="eastAsia" w:eastAsia="仿宋_GB2312" w:cs="Times New Roman"/>
          <w:color w:val="auto"/>
          <w:sz w:val="32"/>
          <w:szCs w:val="32"/>
          <w:highlight w:val="none"/>
          <w:lang w:val="en-US" w:eastAsia="zh-CN"/>
        </w:rPr>
        <w:t>3</w:t>
      </w:r>
      <w:r>
        <w:rPr>
          <w:rFonts w:eastAsia="仿宋_GB2312" w:cs="Times New Roman"/>
          <w:color w:val="auto"/>
          <w:sz w:val="32"/>
          <w:szCs w:val="32"/>
          <w:highlight w:val="none"/>
        </w:rPr>
        <w:t>．疏散场地</w:t>
      </w:r>
    </w:p>
    <w:p w14:paraId="32A94BDE">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w:t>
      </w:r>
      <w:r>
        <w:rPr>
          <w:rFonts w:hint="eastAsia" w:eastAsia="仿宋_GB2312" w:cs="Times New Roman"/>
          <w:color w:val="auto"/>
          <w:sz w:val="32"/>
          <w:szCs w:val="32"/>
          <w:highlight w:val="none"/>
          <w:lang w:val="en-US" w:eastAsia="zh-CN"/>
        </w:rPr>
        <w:t>乡</w:t>
      </w:r>
      <w:r>
        <w:rPr>
          <w:rFonts w:eastAsia="仿宋_GB2312" w:cs="Times New Roman"/>
          <w:color w:val="auto"/>
          <w:sz w:val="32"/>
          <w:szCs w:val="32"/>
          <w:highlight w:val="none"/>
        </w:rPr>
        <w:t>镇中的公园、绿地、广场、中小学的操场等空旷场地为避震疏散场地，规划人均避震疏散面积为1.0平方米/人以上。在城镇公共绿地、公园等用地规划布局时，应考虑避震疏散功能。各城镇、街道及居委（村）室内外</w:t>
      </w:r>
      <w:r>
        <w:rPr>
          <w:rFonts w:hint="eastAsia" w:eastAsia="仿宋_GB2312" w:cs="Times New Roman"/>
          <w:color w:val="auto"/>
          <w:sz w:val="32"/>
          <w:szCs w:val="32"/>
          <w:highlight w:val="none"/>
          <w:shd w:val="clear" w:color="auto" w:fill="FFFFFF"/>
        </w:rPr>
        <w:t>应急避难场所</w:t>
      </w:r>
      <w:r>
        <w:rPr>
          <w:rFonts w:eastAsia="仿宋_GB2312" w:cs="Times New Roman"/>
          <w:color w:val="auto"/>
          <w:sz w:val="32"/>
          <w:szCs w:val="32"/>
          <w:highlight w:val="none"/>
        </w:rPr>
        <w:t>的服务覆盖率达到100％。 </w:t>
      </w:r>
    </w:p>
    <w:p w14:paraId="622FF9F8">
      <w:pPr>
        <w:ind w:firstLine="640"/>
        <w:rPr>
          <w:rFonts w:eastAsia="仿宋_GB2312" w:cs="Times New Roman"/>
          <w:color w:val="auto"/>
          <w:sz w:val="32"/>
          <w:szCs w:val="32"/>
          <w:highlight w:val="none"/>
        </w:rPr>
      </w:pPr>
      <w:r>
        <w:rPr>
          <w:rFonts w:hint="eastAsia" w:eastAsia="仿宋_GB2312" w:cs="Times New Roman"/>
          <w:color w:val="auto"/>
          <w:sz w:val="32"/>
          <w:szCs w:val="32"/>
          <w:highlight w:val="none"/>
          <w:lang w:val="en-US" w:eastAsia="zh-CN"/>
        </w:rPr>
        <w:t>4</w:t>
      </w:r>
      <w:r>
        <w:rPr>
          <w:rFonts w:eastAsia="仿宋_GB2312" w:cs="Times New Roman"/>
          <w:color w:val="auto"/>
          <w:sz w:val="32"/>
          <w:szCs w:val="32"/>
          <w:highlight w:val="none"/>
        </w:rPr>
        <w:t>.疏散通道规划</w:t>
      </w:r>
    </w:p>
    <w:p w14:paraId="12357B9E">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规划高速公路、铁路、城镇主要道路作为人员疏散和物资运输的主要救援通道，将疏散救援道路分为疏散救援主干道、疏散救援次干道和疏散通道三级，通向乡政府驻地内疏散场地和郊外</w:t>
      </w:r>
      <w:r>
        <w:rPr>
          <w:rFonts w:eastAsia="仿宋_GB2312" w:cs="Times New Roman"/>
          <w:color w:val="auto"/>
          <w:sz w:val="32"/>
          <w:szCs w:val="32"/>
          <w:highlight w:val="none"/>
          <w:shd w:val="clear" w:color="auto" w:fill="FFFFFF"/>
        </w:rPr>
        <w:t>旷</w:t>
      </w:r>
      <w:r>
        <w:rPr>
          <w:rFonts w:eastAsia="仿宋_GB2312" w:cs="Times New Roman"/>
          <w:color w:val="auto"/>
          <w:sz w:val="32"/>
          <w:szCs w:val="32"/>
          <w:highlight w:val="none"/>
        </w:rPr>
        <w:t>地，并通向长途交通设施。</w:t>
      </w:r>
    </w:p>
    <w:p w14:paraId="04108BA1">
      <w:pPr>
        <w:ind w:firstLine="640"/>
        <w:rPr>
          <w:rFonts w:eastAsia="仿宋_GB2312" w:cs="Times New Roman"/>
          <w:color w:val="auto"/>
          <w:sz w:val="32"/>
          <w:szCs w:val="32"/>
          <w:highlight w:val="none"/>
        </w:rPr>
      </w:pPr>
      <w:r>
        <w:rPr>
          <w:rFonts w:hint="eastAsia" w:eastAsia="仿宋_GB2312" w:cs="Times New Roman"/>
          <w:color w:val="auto"/>
          <w:sz w:val="32"/>
          <w:szCs w:val="32"/>
          <w:highlight w:val="none"/>
          <w:lang w:val="en-US" w:eastAsia="zh-CN"/>
        </w:rPr>
        <w:t>5</w:t>
      </w:r>
      <w:r>
        <w:rPr>
          <w:rFonts w:eastAsia="仿宋_GB2312" w:cs="Times New Roman"/>
          <w:color w:val="auto"/>
          <w:sz w:val="32"/>
          <w:szCs w:val="32"/>
          <w:highlight w:val="none"/>
        </w:rPr>
        <w:t>.生命线工程规划</w:t>
      </w:r>
    </w:p>
    <w:p w14:paraId="06E06245">
      <w:pPr>
        <w:ind w:firstLine="640"/>
        <w:rPr>
          <w:rFonts w:eastAsia="仿宋_GB2312" w:cs="Times New Roman"/>
          <w:color w:val="auto"/>
          <w:sz w:val="32"/>
          <w:szCs w:val="32"/>
          <w:highlight w:val="none"/>
        </w:rPr>
      </w:pPr>
      <w:r>
        <w:rPr>
          <w:rFonts w:eastAsia="仿宋_GB2312" w:cs="Times New Roman"/>
          <w:color w:val="auto"/>
          <w:sz w:val="32"/>
          <w:szCs w:val="32"/>
          <w:highlight w:val="none"/>
        </w:rPr>
        <w:t>对道路交通、通讯、供水供</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、供煤气、热力、医疗卫生、粮食、消防、公安、广播</w:t>
      </w:r>
      <w:r>
        <w:rPr>
          <w:rFonts w:hint="eastAsia" w:eastAsia="仿宋_GB2312" w:cs="Times New Roman"/>
          <w:color w:val="auto"/>
          <w:sz w:val="32"/>
          <w:szCs w:val="32"/>
          <w:highlight w:val="none"/>
          <w:lang w:eastAsia="zh-CN"/>
        </w:rPr>
        <w:t>电</w:t>
      </w:r>
      <w:r>
        <w:rPr>
          <w:rFonts w:eastAsia="仿宋_GB2312" w:cs="Times New Roman"/>
          <w:color w:val="auto"/>
          <w:sz w:val="32"/>
          <w:szCs w:val="32"/>
          <w:highlight w:val="none"/>
        </w:rPr>
        <w:t>视、县政府、对外交通等生命线工程要制定抗震应急措施，在灾害发生时保障各生命线系统正常。</w:t>
      </w:r>
    </w:p>
    <w:p w14:paraId="7FD47FC2">
      <w:pPr>
        <w:pStyle w:val="4"/>
        <w:tabs>
          <w:tab w:val="clear" w:pos="0"/>
        </w:tabs>
        <w:spacing w:before="217" w:after="217"/>
        <w:rPr>
          <w:rFonts w:cs="Times New Roman"/>
          <w:color w:val="auto"/>
          <w:highlight w:val="none"/>
        </w:rPr>
      </w:pPr>
      <w:bookmarkStart w:id="108" w:name="_Toc360266033"/>
      <w:r>
        <w:rPr>
          <w:rFonts w:cs="Times New Roman"/>
          <w:color w:val="auto"/>
          <w:highlight w:val="none"/>
        </w:rPr>
        <w:t>消防</w:t>
      </w:r>
      <w:bookmarkEnd w:id="108"/>
    </w:p>
    <w:p w14:paraId="194859AA">
      <w:pPr>
        <w:ind w:firstLine="640"/>
        <w:rPr>
          <w:rFonts w:eastAsia="仿宋_GB2312" w:cs="Times New Roman"/>
          <w:color w:val="auto"/>
          <w:sz w:val="32"/>
          <w:szCs w:val="32"/>
          <w:highlight w:val="none"/>
        </w:rPr>
      </w:pPr>
      <w:bookmarkStart w:id="109" w:name="_Toc360266034"/>
      <w:r>
        <w:rPr>
          <w:rFonts w:eastAsia="仿宋_GB2312" w:cs="Times New Roman"/>
          <w:color w:val="auto"/>
          <w:sz w:val="32"/>
          <w:szCs w:val="32"/>
          <w:highlight w:val="none"/>
        </w:rPr>
        <w:t>1.消防安全布局</w:t>
      </w:r>
    </w:p>
    <w:p w14:paraId="525EA879">
      <w:pPr>
        <w:ind w:firstLine="640"/>
        <w:rPr>
          <w:rFonts w:eastAsia="仿宋_GB2312" w:cs="Times New Roman"/>
          <w:color w:val="auto"/>
          <w:sz w:val="32"/>
          <w:szCs w:val="32"/>
          <w:highlight w:val="none"/>
        </w:rPr>
      </w:pPr>
      <w:r>
        <w:rPr>
          <w:rFonts w:eastAsia="仿宋_GB2312" w:cs="Times New Roman"/>
          <w:color w:val="auto"/>
          <w:sz w:val="32"/>
          <w:szCs w:val="32"/>
          <w:highlight w:val="none"/>
        </w:rPr>
        <w:t>生产、储存和装卸易燃易爆危险品的工厂、仓库和专用车站、码头，必须设置在</w:t>
      </w:r>
      <w:r>
        <w:rPr>
          <w:rFonts w:hint="eastAsia" w:eastAsia="仿宋_GB2312" w:cs="Times New Roman"/>
          <w:color w:val="auto"/>
          <w:sz w:val="32"/>
          <w:szCs w:val="32"/>
          <w:highlight w:val="none"/>
          <w:lang w:val="en-US" w:eastAsia="zh-CN"/>
        </w:rPr>
        <w:t>乡</w:t>
      </w:r>
      <w:r>
        <w:rPr>
          <w:rFonts w:eastAsia="仿宋_GB2312" w:cs="Times New Roman"/>
          <w:color w:val="auto"/>
          <w:sz w:val="32"/>
          <w:szCs w:val="32"/>
          <w:highlight w:val="none"/>
        </w:rPr>
        <w:t>镇的边缘或相对独立的安全地带。易燃易爆气体和液体的充装站、供应站、调压站，应当设置在合理的位置，符合防火防爆要求。将易燃棚户区纳入旧区改造规划，积极改善防火条件，拆除阻塞道路的院墙，保证消防道路畅通。</w:t>
      </w:r>
    </w:p>
    <w:p w14:paraId="0CD2F07D">
      <w:pPr>
        <w:ind w:firstLine="640"/>
        <w:rPr>
          <w:rFonts w:eastAsia="仿宋_GB2312" w:cs="Times New Roman"/>
          <w:color w:val="auto"/>
          <w:sz w:val="32"/>
          <w:szCs w:val="32"/>
          <w:highlight w:val="none"/>
        </w:rPr>
      </w:pPr>
      <w:r>
        <w:rPr>
          <w:rFonts w:eastAsia="仿宋_GB2312" w:cs="Times New Roman"/>
          <w:color w:val="auto"/>
          <w:sz w:val="32"/>
          <w:szCs w:val="32"/>
          <w:highlight w:val="none"/>
        </w:rPr>
        <w:t>2.消防站布局</w:t>
      </w:r>
    </w:p>
    <w:p w14:paraId="66C83B18">
      <w:pPr>
        <w:ind w:firstLine="640"/>
        <w:rPr>
          <w:rFonts w:eastAsia="仿宋_GB2312" w:cs="Times New Roman"/>
          <w:color w:val="auto"/>
          <w:sz w:val="32"/>
          <w:szCs w:val="32"/>
          <w:highlight w:val="none"/>
        </w:rPr>
      </w:pPr>
      <w:r>
        <w:rPr>
          <w:rFonts w:eastAsia="仿宋_GB2312" w:cs="Times New Roman"/>
          <w:color w:val="auto"/>
          <w:sz w:val="32"/>
          <w:szCs w:val="32"/>
          <w:highlight w:val="none"/>
        </w:rPr>
        <w:t>根据《</w:t>
      </w:r>
      <w:bookmarkStart w:id="110" w:name="bookmark3"/>
      <w:bookmarkStart w:id="111" w:name="bookmark5"/>
      <w:bookmarkStart w:id="112" w:name="bookmark4"/>
      <w:r>
        <w:rPr>
          <w:rFonts w:eastAsia="仿宋_GB2312" w:cs="Times New Roman"/>
          <w:color w:val="auto"/>
          <w:sz w:val="32"/>
          <w:szCs w:val="32"/>
          <w:highlight w:val="none"/>
        </w:rPr>
        <w:t>乡镇消防队</w:t>
      </w:r>
      <w:bookmarkEnd w:id="110"/>
      <w:bookmarkEnd w:id="111"/>
      <w:bookmarkEnd w:id="112"/>
      <w:r>
        <w:rPr>
          <w:rFonts w:eastAsia="仿宋_GB2312" w:cs="Times New Roman"/>
          <w:color w:val="auto"/>
          <w:sz w:val="32"/>
          <w:szCs w:val="32"/>
          <w:highlight w:val="none"/>
        </w:rPr>
        <w:t>（GB/T35547-2017）》，地方人民政府需建立乡镇消防队，在乡镇、农村承担火灾扑救、应急救援和其他消防安全工作。根据</w:t>
      </w:r>
      <w:r>
        <w:rPr>
          <w:rFonts w:hint="eastAsia" w:eastAsia="仿宋_GB2312" w:cs="Times New Roman"/>
          <w:color w:val="auto"/>
          <w:sz w:val="32"/>
          <w:szCs w:val="32"/>
          <w:highlight w:val="none"/>
        </w:rPr>
        <w:t>东河乡乡政府驻地</w:t>
      </w:r>
      <w:r>
        <w:rPr>
          <w:rFonts w:eastAsia="仿宋_GB2312" w:cs="Times New Roman"/>
          <w:color w:val="auto"/>
          <w:sz w:val="32"/>
          <w:szCs w:val="32"/>
          <w:highlight w:val="none"/>
        </w:rPr>
        <w:t>人口及建成区面积，应建立乡镇志愿消防队一处。村庄建立微型消防站，提高初起火灾扑救能力</w:t>
      </w:r>
      <w:bookmarkStart w:id="113" w:name="_Hlk97725197"/>
      <w:r>
        <w:rPr>
          <w:rFonts w:eastAsia="仿宋_GB2312" w:cs="Times New Roman"/>
          <w:color w:val="auto"/>
          <w:sz w:val="32"/>
          <w:szCs w:val="32"/>
          <w:highlight w:val="none"/>
        </w:rPr>
        <w:t>。</w:t>
      </w:r>
      <w:bookmarkEnd w:id="113"/>
    </w:p>
    <w:p w14:paraId="05C0F808">
      <w:pPr>
        <w:ind w:firstLine="640"/>
        <w:rPr>
          <w:rFonts w:eastAsia="仿宋_GB2312" w:cs="Times New Roman"/>
          <w:color w:val="auto"/>
          <w:sz w:val="32"/>
          <w:szCs w:val="32"/>
          <w:highlight w:val="none"/>
        </w:rPr>
      </w:pPr>
      <w:r>
        <w:rPr>
          <w:rFonts w:eastAsia="仿宋_GB2312" w:cs="Times New Roman"/>
          <w:color w:val="auto"/>
          <w:sz w:val="32"/>
          <w:szCs w:val="32"/>
          <w:highlight w:val="none"/>
        </w:rPr>
        <w:t>3.消防车通道规划</w:t>
      </w:r>
    </w:p>
    <w:p w14:paraId="403037C5">
      <w:pPr>
        <w:ind w:firstLine="640"/>
        <w:rPr>
          <w:rFonts w:eastAsia="仿宋_GB2312" w:cs="Times New Roman"/>
          <w:color w:val="auto"/>
          <w:sz w:val="32"/>
          <w:szCs w:val="32"/>
          <w:highlight w:val="none"/>
        </w:rPr>
      </w:pPr>
      <w:r>
        <w:rPr>
          <w:rFonts w:eastAsia="仿宋_GB2312" w:cs="Times New Roman"/>
          <w:color w:val="auto"/>
          <w:sz w:val="32"/>
          <w:szCs w:val="32"/>
          <w:highlight w:val="none"/>
        </w:rPr>
        <w:t>结合基础设施改造、村庄整治等，打通消防车通道，提高消防车辆通行能力。对现有应急道路进行升级改造，提高其通行能力，并新建防火公路系统，提高防火应急道路路网密度。</w:t>
      </w:r>
    </w:p>
    <w:p w14:paraId="16F19C13">
      <w:pPr>
        <w:ind w:firstLine="640"/>
        <w:rPr>
          <w:rFonts w:eastAsia="仿宋_GB2312" w:cs="Times New Roman"/>
          <w:color w:val="auto"/>
          <w:sz w:val="32"/>
          <w:szCs w:val="32"/>
          <w:highlight w:val="none"/>
        </w:rPr>
      </w:pPr>
      <w:r>
        <w:rPr>
          <w:rFonts w:eastAsia="仿宋_GB2312" w:cs="Times New Roman"/>
          <w:color w:val="auto"/>
          <w:sz w:val="32"/>
          <w:szCs w:val="32"/>
          <w:highlight w:val="none"/>
        </w:rPr>
        <w:t>4.消防给水规划</w:t>
      </w:r>
    </w:p>
    <w:p w14:paraId="6955D18F">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规划消防供水主要以供水水源井为水源，采用生活—消防统一供水系统，消防采用低压制，要求供水管网实现环网供水。</w:t>
      </w:r>
    </w:p>
    <w:p w14:paraId="3E9EB086">
      <w:pPr>
        <w:pStyle w:val="4"/>
        <w:tabs>
          <w:tab w:val="clear" w:pos="0"/>
        </w:tabs>
        <w:spacing w:before="217" w:after="217"/>
        <w:rPr>
          <w:rFonts w:cs="Times New Roman"/>
          <w:color w:val="auto"/>
          <w:highlight w:val="none"/>
        </w:rPr>
      </w:pPr>
      <w:r>
        <w:rPr>
          <w:rFonts w:cs="Times New Roman"/>
          <w:color w:val="auto"/>
          <w:highlight w:val="none"/>
        </w:rPr>
        <w:t>防洪排涝规划</w:t>
      </w:r>
      <w:bookmarkEnd w:id="109"/>
    </w:p>
    <w:p w14:paraId="5D32A14C">
      <w:pPr>
        <w:pStyle w:val="14"/>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按照桦川县防洪标准要求，完成河流防洪工程查缺补漏工作，推进中小河流治理、病险水库除险加固、农村基层防汛预警体系等重点薄弱环节建设。巩固完善由“堤库结合、蓄洪兼施”所组成的防洪总体布局。</w:t>
      </w:r>
    </w:p>
    <w:p w14:paraId="09DC4DF1">
      <w:pPr>
        <w:pStyle w:val="4"/>
        <w:tabs>
          <w:tab w:val="clear" w:pos="0"/>
        </w:tabs>
        <w:spacing w:before="217" w:after="217"/>
        <w:rPr>
          <w:rFonts w:cs="Times New Roman"/>
          <w:color w:val="auto"/>
          <w:highlight w:val="none"/>
        </w:rPr>
      </w:pPr>
      <w:r>
        <w:rPr>
          <w:rFonts w:cs="Times New Roman"/>
          <w:color w:val="auto"/>
          <w:highlight w:val="none"/>
        </w:rPr>
        <w:t>防疫</w:t>
      </w:r>
    </w:p>
    <w:p w14:paraId="6A604E9E">
      <w:pPr>
        <w:ind w:firstLine="640"/>
        <w:rPr>
          <w:rFonts w:eastAsia="仿宋_GB2312" w:cs="Times New Roman"/>
          <w:color w:val="auto"/>
          <w:sz w:val="32"/>
          <w:szCs w:val="32"/>
          <w:highlight w:val="none"/>
        </w:rPr>
      </w:pPr>
      <w:r>
        <w:rPr>
          <w:rFonts w:eastAsia="仿宋_GB2312" w:cs="Times New Roman"/>
          <w:color w:val="auto"/>
          <w:sz w:val="32"/>
          <w:szCs w:val="32"/>
          <w:highlight w:val="none"/>
        </w:rPr>
        <w:t>建立应急联合防控网络，设置传染病相关公共卫生用地和应急疫情防控用地，提出用地布局上的“战略留白”。乡镇形成独立的疫情隔离单元，有效配备健康信息工作站、医疗救助站、物资发放站及小规模隔离区等。</w:t>
      </w:r>
    </w:p>
    <w:p w14:paraId="0C4BADB4">
      <w:pPr>
        <w:pStyle w:val="4"/>
        <w:tabs>
          <w:tab w:val="clear" w:pos="0"/>
        </w:tabs>
        <w:spacing w:before="217" w:after="217"/>
        <w:rPr>
          <w:rFonts w:cs="Times New Roman"/>
          <w:color w:val="auto"/>
          <w:highlight w:val="none"/>
        </w:rPr>
      </w:pPr>
      <w:r>
        <w:rPr>
          <w:rFonts w:cs="Times New Roman"/>
          <w:color w:val="auto"/>
          <w:highlight w:val="none"/>
        </w:rPr>
        <w:t>乡政府驻地综合防灾要求</w:t>
      </w:r>
    </w:p>
    <w:p w14:paraId="4F2EB491">
      <w:pPr>
        <w:ind w:firstLine="640"/>
        <w:rPr>
          <w:rFonts w:eastAsia="仿宋_GB2312" w:cs="Times New Roman"/>
          <w:color w:val="auto"/>
          <w:sz w:val="32"/>
          <w:szCs w:val="32"/>
          <w:highlight w:val="none"/>
        </w:rPr>
      </w:pPr>
      <w:r>
        <w:rPr>
          <w:rFonts w:eastAsia="仿宋_GB2312" w:cs="Times New Roman"/>
          <w:color w:val="auto"/>
          <w:sz w:val="32"/>
          <w:szCs w:val="32"/>
          <w:highlight w:val="none"/>
        </w:rPr>
        <w:t>1.防洪排涝工程</w:t>
      </w:r>
    </w:p>
    <w:p w14:paraId="4D946E45">
      <w:pPr>
        <w:ind w:firstLine="640"/>
        <w:rPr>
          <w:rFonts w:eastAsia="仿宋_GB2312" w:cs="Times New Roman"/>
          <w:color w:val="auto"/>
          <w:sz w:val="32"/>
          <w:szCs w:val="32"/>
          <w:highlight w:val="none"/>
        </w:rPr>
      </w:pPr>
      <w:r>
        <w:rPr>
          <w:rFonts w:eastAsia="仿宋_GB2312" w:cs="Times New Roman"/>
          <w:color w:val="auto"/>
          <w:sz w:val="32"/>
          <w:szCs w:val="32"/>
          <w:highlight w:val="none"/>
        </w:rPr>
        <w:t>根据国家《防洪标准》（GB50201-2014）的有关规定，</w:t>
      </w:r>
      <w:r>
        <w:rPr>
          <w:rFonts w:hint="eastAsia" w:eastAsia="仿宋_GB2312" w:cs="Times New Roman"/>
          <w:color w:val="auto"/>
          <w:sz w:val="32"/>
          <w:szCs w:val="32"/>
          <w:highlight w:val="none"/>
        </w:rPr>
        <w:t>东河乡乡政府驻地</w:t>
      </w:r>
      <w:r>
        <w:rPr>
          <w:rFonts w:eastAsia="仿宋_GB2312" w:cs="Times New Roman"/>
          <w:color w:val="auto"/>
          <w:sz w:val="32"/>
          <w:szCs w:val="32"/>
          <w:highlight w:val="none"/>
        </w:rPr>
        <w:t>按20年一遇标准设防。</w:t>
      </w:r>
    </w:p>
    <w:p w14:paraId="44D96BF8">
      <w:pPr>
        <w:ind w:firstLine="640"/>
        <w:rPr>
          <w:rFonts w:eastAsia="仿宋_GB2312" w:cs="Times New Roman"/>
          <w:color w:val="auto"/>
          <w:sz w:val="32"/>
          <w:szCs w:val="32"/>
          <w:highlight w:val="none"/>
        </w:rPr>
      </w:pPr>
      <w:r>
        <w:rPr>
          <w:rFonts w:eastAsia="仿宋_GB2312" w:cs="Times New Roman"/>
          <w:color w:val="auto"/>
          <w:sz w:val="32"/>
          <w:szCs w:val="32"/>
          <w:highlight w:val="none"/>
        </w:rPr>
        <w:t>2.消防设施</w:t>
      </w:r>
    </w:p>
    <w:p w14:paraId="5B3521DE">
      <w:pPr>
        <w:ind w:firstLine="640"/>
        <w:rPr>
          <w:rFonts w:eastAsia="仿宋_GB2312" w:cs="Times New Roman"/>
          <w:color w:val="auto"/>
          <w:sz w:val="32"/>
          <w:szCs w:val="32"/>
          <w:highlight w:val="none"/>
        </w:rPr>
      </w:pPr>
      <w:r>
        <w:rPr>
          <w:rFonts w:eastAsia="仿宋_GB2312" w:cs="Times New Roman"/>
          <w:color w:val="auto"/>
          <w:sz w:val="32"/>
          <w:szCs w:val="32"/>
          <w:highlight w:val="none"/>
        </w:rPr>
        <w:t>根据</w:t>
      </w:r>
      <w:r>
        <w:rPr>
          <w:rFonts w:hint="eastAsia" w:eastAsia="仿宋_GB2312" w:cs="Times New Roman"/>
          <w:color w:val="auto"/>
          <w:sz w:val="32"/>
          <w:szCs w:val="32"/>
          <w:highlight w:val="none"/>
        </w:rPr>
        <w:t>东河乡乡政府驻地</w:t>
      </w:r>
      <w:r>
        <w:rPr>
          <w:rFonts w:eastAsia="仿宋_GB2312" w:cs="Times New Roman"/>
          <w:color w:val="auto"/>
          <w:sz w:val="32"/>
          <w:szCs w:val="32"/>
          <w:highlight w:val="none"/>
        </w:rPr>
        <w:t>人口及建成区面积，应建立乡镇志愿消防队一处。</w:t>
      </w:r>
    </w:p>
    <w:p w14:paraId="74D2EE76">
      <w:pPr>
        <w:ind w:firstLine="640"/>
        <w:rPr>
          <w:rFonts w:eastAsia="仿宋_GB2312" w:cs="Times New Roman"/>
          <w:color w:val="auto"/>
          <w:sz w:val="32"/>
          <w:szCs w:val="32"/>
          <w:highlight w:val="none"/>
        </w:rPr>
      </w:pPr>
      <w:r>
        <w:rPr>
          <w:rFonts w:eastAsia="仿宋_GB2312" w:cs="Times New Roman"/>
          <w:color w:val="auto"/>
          <w:sz w:val="32"/>
          <w:szCs w:val="32"/>
          <w:highlight w:val="none"/>
        </w:rPr>
        <w:t>规划乡政府驻地消防采用生活—消防统一供水系统，消防采用低压制，要求供水管网实现环网供水，消防给水管道的管径应不小于DN100。</w:t>
      </w:r>
    </w:p>
    <w:p w14:paraId="6786EE36">
      <w:pPr>
        <w:ind w:firstLine="640"/>
        <w:rPr>
          <w:rFonts w:eastAsia="仿宋_GB2312" w:cs="Times New Roman"/>
          <w:color w:val="auto"/>
          <w:sz w:val="32"/>
          <w:szCs w:val="32"/>
          <w:highlight w:val="none"/>
        </w:rPr>
      </w:pPr>
      <w:r>
        <w:rPr>
          <w:rFonts w:eastAsia="仿宋_GB2312" w:cs="Times New Roman"/>
          <w:color w:val="auto"/>
          <w:sz w:val="32"/>
          <w:szCs w:val="32"/>
          <w:highlight w:val="none"/>
        </w:rPr>
        <w:t>3.应急避难场所</w:t>
      </w:r>
    </w:p>
    <w:p w14:paraId="021F3BEE">
      <w:pPr>
        <w:ind w:firstLine="640"/>
        <w:rPr>
          <w:rFonts w:eastAsia="仿宋_GB2312" w:cs="Times New Roman"/>
          <w:color w:val="auto"/>
          <w:sz w:val="32"/>
          <w:szCs w:val="32"/>
          <w:highlight w:val="none"/>
        </w:rPr>
      </w:pPr>
      <w:r>
        <w:rPr>
          <w:rFonts w:eastAsia="仿宋_GB2312" w:cs="Times New Roman"/>
          <w:color w:val="auto"/>
          <w:sz w:val="32"/>
          <w:szCs w:val="32"/>
          <w:highlight w:val="none"/>
        </w:rPr>
        <w:t>避难场所可划分为固定避难场所和紧急避难场所两种类型。</w:t>
      </w:r>
      <w:r>
        <w:rPr>
          <w:rFonts w:hint="eastAsia" w:eastAsia="仿宋_GB2312" w:cs="Times New Roman"/>
          <w:color w:val="auto"/>
          <w:sz w:val="32"/>
          <w:szCs w:val="32"/>
          <w:highlight w:val="none"/>
          <w:lang w:val="en-US" w:eastAsia="zh-CN"/>
        </w:rPr>
        <w:t>乡</w:t>
      </w:r>
      <w:r>
        <w:rPr>
          <w:rFonts w:eastAsia="仿宋_GB2312" w:cs="Times New Roman"/>
          <w:color w:val="auto"/>
          <w:sz w:val="32"/>
          <w:szCs w:val="32"/>
          <w:highlight w:val="none"/>
        </w:rPr>
        <w:t>镇中的广场、学校、公园、绿地及体育场，是城镇中分布较多的开放空间，是城镇主要的避难场所。大型广场、学校、公园可作为固定避难场所，绿地可作为紧急避难场所。</w:t>
      </w:r>
    </w:p>
    <w:p w14:paraId="5410A2ED">
      <w:pPr>
        <w:ind w:left="0" w:leftChars="0" w:firstLine="0" w:firstLineChars="0"/>
        <w:rPr>
          <w:rFonts w:eastAsia="仿宋_GB2312" w:cs="Times New Roman"/>
          <w:color w:val="auto"/>
          <w:sz w:val="32"/>
          <w:szCs w:val="32"/>
          <w:highlight w:val="none"/>
        </w:rPr>
      </w:pPr>
      <w:r>
        <w:rPr>
          <w:rFonts w:eastAsia="仿宋_GB2312" w:cs="Times New Roman"/>
          <w:color w:val="auto"/>
          <w:sz w:val="32"/>
          <w:szCs w:val="32"/>
          <w:highlight w:val="none"/>
        </w:rPr>
        <w:t>固定避难场所的建筑物应进行抗震加固。</w:t>
      </w:r>
    </w:p>
    <w:p w14:paraId="539AFD59">
      <w:pPr>
        <w:ind w:firstLine="640"/>
        <w:rPr>
          <w:rFonts w:eastAsia="仿宋_GB2312" w:cs="Times New Roman"/>
          <w:color w:val="auto"/>
          <w:sz w:val="32"/>
          <w:szCs w:val="32"/>
          <w:highlight w:val="none"/>
        </w:rPr>
      </w:pPr>
      <w:r>
        <w:rPr>
          <w:rFonts w:eastAsia="仿宋_GB2312" w:cs="Times New Roman"/>
          <w:color w:val="auto"/>
          <w:sz w:val="32"/>
          <w:szCs w:val="32"/>
          <w:highlight w:val="none"/>
        </w:rPr>
        <w:t>4.避灾通道</w:t>
      </w:r>
    </w:p>
    <w:p w14:paraId="1507E8B5">
      <w:pPr>
        <w:ind w:firstLine="640"/>
        <w:rPr>
          <w:rFonts w:eastAsia="仿宋_GB2312" w:cs="Times New Roman"/>
          <w:color w:val="auto"/>
          <w:sz w:val="32"/>
          <w:szCs w:val="32"/>
          <w:highlight w:val="none"/>
        </w:rPr>
      </w:pPr>
      <w:r>
        <w:rPr>
          <w:rFonts w:eastAsia="仿宋_GB2312" w:cs="Times New Roman"/>
          <w:color w:val="auto"/>
          <w:sz w:val="32"/>
          <w:szCs w:val="32"/>
          <w:highlight w:val="none"/>
        </w:rPr>
        <w:t>根据疏散需要，规划确定主要对外出入口，并与外部的主要公路衔接。各住宅区到避难场所应有避灾道路连接，避灾道路应建成相互贯通的、可供车辆通行的网络，形成完善的避灾道路系统。</w:t>
      </w:r>
    </w:p>
    <w:p w14:paraId="5BDAB884">
      <w:pPr>
        <w:ind w:firstLine="640"/>
        <w:rPr>
          <w:rFonts w:eastAsia="仿宋_GB2312" w:cs="Times New Roman"/>
          <w:color w:val="auto"/>
          <w:sz w:val="32"/>
          <w:szCs w:val="32"/>
          <w:highlight w:val="none"/>
        </w:rPr>
      </w:pPr>
      <w:r>
        <w:rPr>
          <w:rFonts w:eastAsia="仿宋_GB2312" w:cs="Times New Roman"/>
          <w:color w:val="auto"/>
          <w:sz w:val="32"/>
          <w:szCs w:val="32"/>
          <w:highlight w:val="none"/>
        </w:rPr>
        <w:t>5.生命线系统保障</w:t>
      </w:r>
    </w:p>
    <w:p w14:paraId="2D9F9CDC">
      <w:pPr>
        <w:ind w:firstLine="640"/>
        <w:rPr>
          <w:rFonts w:eastAsia="仿宋_GB2312" w:cs="Times New Roman"/>
          <w:color w:val="auto"/>
          <w:sz w:val="32"/>
          <w:szCs w:val="32"/>
          <w:highlight w:val="none"/>
        </w:rPr>
      </w:pPr>
      <w:r>
        <w:rPr>
          <w:rFonts w:eastAsia="仿宋_GB2312" w:cs="Times New Roman"/>
          <w:color w:val="auto"/>
          <w:sz w:val="32"/>
          <w:szCs w:val="32"/>
          <w:highlight w:val="none"/>
        </w:rPr>
        <w:t>按照桦川县制定的《桦川县地震应急预案》的方案，由</w:t>
      </w:r>
      <w:r>
        <w:rPr>
          <w:rFonts w:hint="eastAsia" w:eastAsia="仿宋_GB2312" w:cs="Times New Roman"/>
          <w:color w:val="auto"/>
          <w:sz w:val="32"/>
          <w:szCs w:val="32"/>
          <w:highlight w:val="none"/>
          <w:lang w:val="en-US" w:eastAsia="zh-CN"/>
        </w:rPr>
        <w:t>乡</w:t>
      </w:r>
      <w:r>
        <w:rPr>
          <w:rFonts w:eastAsia="仿宋_GB2312" w:cs="Times New Roman"/>
          <w:color w:val="auto"/>
          <w:sz w:val="32"/>
          <w:szCs w:val="32"/>
          <w:highlight w:val="none"/>
        </w:rPr>
        <w:t>镇医院、疾病控制中心、卫生院及社区卫生中心作为救灾援助物资调配站及救护点，共同组成生命线保障系统。</w:t>
      </w:r>
    </w:p>
    <w:p w14:paraId="23780DBA">
      <w:pPr>
        <w:ind w:firstLine="640"/>
        <w:rPr>
          <w:rFonts w:eastAsia="仿宋_GB2312" w:cs="Times New Roman"/>
          <w:color w:val="auto"/>
          <w:sz w:val="32"/>
          <w:szCs w:val="32"/>
          <w:highlight w:val="none"/>
        </w:rPr>
      </w:pPr>
      <w:r>
        <w:rPr>
          <w:rFonts w:eastAsia="仿宋_GB2312" w:cs="Times New Roman"/>
          <w:color w:val="auto"/>
          <w:sz w:val="32"/>
          <w:szCs w:val="32"/>
          <w:highlight w:val="none"/>
        </w:rPr>
        <w:t>6.公共卫生安全</w:t>
      </w:r>
    </w:p>
    <w:p w14:paraId="7AD23869">
      <w:pPr>
        <w:ind w:firstLine="640"/>
        <w:rPr>
          <w:rFonts w:eastAsia="仿宋_GB2312" w:cs="Times New Roman"/>
          <w:color w:val="auto"/>
          <w:sz w:val="32"/>
          <w:szCs w:val="32"/>
          <w:highlight w:val="none"/>
        </w:rPr>
      </w:pPr>
      <w:bookmarkStart w:id="114" w:name="_Toc72862784"/>
      <w:r>
        <w:rPr>
          <w:rFonts w:eastAsia="仿宋_GB2312" w:cs="Times New Roman"/>
          <w:color w:val="auto"/>
          <w:sz w:val="32"/>
          <w:szCs w:val="32"/>
          <w:highlight w:val="none"/>
        </w:rPr>
        <w:t>建设公共卫生安全防控体系</w:t>
      </w:r>
      <w:bookmarkEnd w:id="114"/>
      <w:r>
        <w:rPr>
          <w:rFonts w:eastAsia="仿宋_GB2312" w:cs="Times New Roman"/>
          <w:color w:val="auto"/>
          <w:sz w:val="32"/>
          <w:szCs w:val="32"/>
          <w:highlight w:val="none"/>
        </w:rPr>
        <w:t>，建立大数据应用系统，重点布局疫情防控设施和用地。根据城镇规模，设置传染病相关公共卫生用地和应急疫情防控用地。搭建应急联合防控网络，形成联防联控机制，并定期开展防灾演练训练。防控物资储备库应能满足城镇一定时期内的物资供给。</w:t>
      </w:r>
    </w:p>
    <w:p w14:paraId="0F8C434B">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115" w:name="_Toc17533"/>
      <w:bookmarkStart w:id="116" w:name="_Toc27937"/>
      <w:r>
        <w:rPr>
          <w:rFonts w:ascii="Times New Roman" w:hAnsi="Times New Roman" w:cs="Times New Roman"/>
          <w:color w:val="auto"/>
          <w:szCs w:val="32"/>
          <w:highlight w:val="none"/>
        </w:rPr>
        <w:t>加强水利基础设施建设</w:t>
      </w:r>
      <w:bookmarkEnd w:id="115"/>
      <w:bookmarkEnd w:id="116"/>
    </w:p>
    <w:p w14:paraId="4F612EB6">
      <w:pPr>
        <w:pStyle w:val="4"/>
        <w:tabs>
          <w:tab w:val="clear" w:pos="0"/>
        </w:tabs>
        <w:spacing w:before="217" w:after="217"/>
        <w:rPr>
          <w:rFonts w:cs="Times New Roman"/>
          <w:color w:val="auto"/>
          <w:highlight w:val="none"/>
        </w:rPr>
      </w:pPr>
      <w:r>
        <w:rPr>
          <w:rFonts w:cs="Times New Roman"/>
          <w:color w:val="auto"/>
          <w:highlight w:val="none"/>
        </w:rPr>
        <w:t>节约用水规划</w:t>
      </w:r>
    </w:p>
    <w:p w14:paraId="309AB1C1">
      <w:pPr>
        <w:ind w:firstLine="640"/>
        <w:rPr>
          <w:rFonts w:eastAsia="仿宋_GB2312" w:cs="Times New Roman"/>
          <w:color w:val="auto"/>
          <w:sz w:val="32"/>
          <w:szCs w:val="32"/>
          <w:highlight w:val="none"/>
        </w:rPr>
      </w:pPr>
      <w:r>
        <w:rPr>
          <w:rFonts w:eastAsia="仿宋_GB2312" w:cs="Times New Roman"/>
          <w:color w:val="auto"/>
          <w:sz w:val="32"/>
          <w:szCs w:val="32"/>
          <w:highlight w:val="none"/>
        </w:rPr>
        <w:t>根据《中华人民共和国水法》规定，国家厉行节约用水，大力推行节约用水措施，推广节约用水新技术、新工艺，发展节水型工业、农业和服务业，建立节水型社会。各级人民政府应当采取措施，加强对节约用水的管理，建立节约用水技术开发推广体系，培育和发展节约用水产业。</w:t>
      </w:r>
    </w:p>
    <w:p w14:paraId="48760810">
      <w:pPr>
        <w:pStyle w:val="4"/>
        <w:tabs>
          <w:tab w:val="clear" w:pos="0"/>
        </w:tabs>
        <w:spacing w:before="217" w:after="217"/>
        <w:rPr>
          <w:rFonts w:cs="Times New Roman"/>
          <w:color w:val="auto"/>
          <w:highlight w:val="none"/>
        </w:rPr>
      </w:pPr>
      <w:r>
        <w:rPr>
          <w:rFonts w:cs="Times New Roman"/>
          <w:color w:val="auto"/>
          <w:highlight w:val="none"/>
        </w:rPr>
        <w:t>完</w:t>
      </w:r>
      <w:r>
        <w:rPr>
          <w:rFonts w:hint="eastAsia" w:cs="Times New Roman"/>
          <w:color w:val="auto"/>
          <w:highlight w:val="none"/>
        </w:rPr>
        <w:t>善和</w:t>
      </w:r>
      <w:r>
        <w:rPr>
          <w:rFonts w:cs="Times New Roman"/>
          <w:color w:val="auto"/>
          <w:highlight w:val="none"/>
        </w:rPr>
        <w:t>优化水利设施</w:t>
      </w:r>
    </w:p>
    <w:p w14:paraId="142931F7">
      <w:pPr>
        <w:ind w:firstLine="640"/>
        <w:rPr>
          <w:rFonts w:eastAsia="仿宋_GB2312" w:cs="Times New Roman"/>
          <w:color w:val="auto"/>
          <w:sz w:val="32"/>
          <w:szCs w:val="32"/>
          <w:highlight w:val="none"/>
        </w:rPr>
      </w:pPr>
      <w:r>
        <w:rPr>
          <w:rFonts w:eastAsia="仿宋_GB2312" w:cs="Times New Roman"/>
          <w:color w:val="auto"/>
          <w:sz w:val="32"/>
          <w:szCs w:val="32"/>
          <w:highlight w:val="none"/>
        </w:rPr>
        <w:t>1.灌区节水配套建设</w:t>
      </w:r>
    </w:p>
    <w:p w14:paraId="7DA602BF">
      <w:pPr>
        <w:ind w:firstLine="640"/>
        <w:rPr>
          <w:rFonts w:eastAsia="仿宋_GB2312" w:cs="Times New Roman"/>
          <w:color w:val="auto"/>
          <w:sz w:val="32"/>
          <w:szCs w:val="32"/>
          <w:highlight w:val="none"/>
        </w:rPr>
      </w:pPr>
      <w:r>
        <w:rPr>
          <w:rFonts w:eastAsia="仿宋_GB2312" w:cs="Times New Roman"/>
          <w:color w:val="auto"/>
          <w:sz w:val="32"/>
          <w:szCs w:val="32"/>
          <w:highlight w:val="none"/>
        </w:rPr>
        <w:t>完成中小型灌区水利工程管理与保护范围划界工作，进一步谋划现代灌区新建和改扩建工程，持续提高灌区覆盖农田灌溉面积比例，为东河乡现代农业建设和全面乡村振兴提供水利支撑和保障。</w:t>
      </w:r>
    </w:p>
    <w:p w14:paraId="32E24963">
      <w:pPr>
        <w:ind w:firstLine="640"/>
        <w:rPr>
          <w:rFonts w:eastAsia="仿宋_GB2312" w:cs="Times New Roman"/>
          <w:color w:val="auto"/>
          <w:sz w:val="32"/>
          <w:szCs w:val="32"/>
          <w:highlight w:val="none"/>
        </w:rPr>
      </w:pPr>
      <w:r>
        <w:rPr>
          <w:rFonts w:eastAsia="仿宋_GB2312" w:cs="Times New Roman"/>
          <w:color w:val="auto"/>
          <w:sz w:val="32"/>
          <w:szCs w:val="32"/>
          <w:highlight w:val="none"/>
        </w:rPr>
        <w:t>管理范围，干渠两侧不小于10米，支渠两侧不小于5米，建筑物工程不小于50米；保护范围，干、支渠以管理范围边界以外不小于20米为界，建筑物工程以建筑物管理范围边界以外不小于50米为界。</w:t>
      </w:r>
    </w:p>
    <w:p w14:paraId="7A5F9F97">
      <w:pPr>
        <w:ind w:firstLine="640"/>
        <w:rPr>
          <w:rFonts w:eastAsia="仿宋_GB2312" w:cs="Times New Roman"/>
          <w:color w:val="auto"/>
          <w:sz w:val="32"/>
          <w:szCs w:val="32"/>
          <w:highlight w:val="none"/>
        </w:rPr>
      </w:pPr>
      <w:r>
        <w:rPr>
          <w:rFonts w:eastAsia="仿宋_GB2312" w:cs="Times New Roman"/>
          <w:color w:val="auto"/>
          <w:sz w:val="32"/>
          <w:szCs w:val="32"/>
          <w:highlight w:val="none"/>
        </w:rPr>
        <w:t>2.防洪提升</w:t>
      </w:r>
    </w:p>
    <w:p w14:paraId="1EB1B8E9">
      <w:pPr>
        <w:ind w:firstLine="640"/>
        <w:rPr>
          <w:rFonts w:ascii="Times New Roman" w:hAnsi="Times New Roman"/>
          <w:color w:val="auto"/>
          <w:highlight w:val="none"/>
        </w:rPr>
      </w:pPr>
      <w:r>
        <w:rPr>
          <w:rFonts w:eastAsia="仿宋_GB2312" w:cs="Times New Roman"/>
          <w:color w:val="auto"/>
          <w:sz w:val="32"/>
          <w:szCs w:val="32"/>
          <w:highlight w:val="none"/>
        </w:rPr>
        <w:t>规划全面提高堤防标准，河道规划防洪标准为20年一遇。</w:t>
      </w:r>
    </w:p>
    <w:p w14:paraId="0993B8B0">
      <w:pPr>
        <w:ind w:firstLine="640"/>
        <w:rPr>
          <w:rFonts w:eastAsia="仿宋_GB2312" w:cs="Times New Roman"/>
          <w:color w:val="auto"/>
          <w:sz w:val="32"/>
          <w:szCs w:val="32"/>
          <w:highlight w:val="none"/>
        </w:rPr>
      </w:pPr>
      <w:r>
        <w:rPr>
          <w:rFonts w:eastAsia="仿宋_GB2312" w:cs="Times New Roman"/>
          <w:color w:val="auto"/>
          <w:sz w:val="32"/>
          <w:szCs w:val="32"/>
          <w:highlight w:val="none"/>
        </w:rPr>
        <w:br w:type="page"/>
      </w:r>
    </w:p>
    <w:p w14:paraId="0B498FD6">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pPr>
      <w:bookmarkStart w:id="117" w:name="_Toc376"/>
      <w:r>
        <w:rPr>
          <w:rFonts w:cs="Times New Roman"/>
          <w:bCs/>
          <w:color w:val="auto"/>
          <w:szCs w:val="36"/>
          <w:highlight w:val="none"/>
        </w:rPr>
        <w:t>历史文化与地方风貌特色</w:t>
      </w:r>
      <w:bookmarkEnd w:id="117"/>
    </w:p>
    <w:p w14:paraId="5F827C1A">
      <w:pPr>
        <w:pStyle w:val="3"/>
        <w:numPr>
          <w:ilvl w:val="0"/>
          <w:numId w:val="20"/>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118" w:name="_Toc24096"/>
      <w:bookmarkStart w:id="119" w:name="_Toc143"/>
      <w:r>
        <w:rPr>
          <w:rFonts w:ascii="Times New Roman" w:hAnsi="Times New Roman" w:cs="Times New Roman"/>
          <w:color w:val="auto"/>
          <w:szCs w:val="32"/>
          <w:highlight w:val="none"/>
        </w:rPr>
        <w:t>历史文化保护</w:t>
      </w:r>
      <w:bookmarkEnd w:id="118"/>
      <w:bookmarkEnd w:id="119"/>
    </w:p>
    <w:p w14:paraId="1E877957">
      <w:pPr>
        <w:pStyle w:val="4"/>
        <w:tabs>
          <w:tab w:val="clear" w:pos="0"/>
        </w:tabs>
        <w:spacing w:before="217" w:after="217"/>
        <w:rPr>
          <w:rFonts w:cs="Times New Roman"/>
          <w:color w:val="auto"/>
          <w:highlight w:val="none"/>
        </w:rPr>
      </w:pPr>
      <w:r>
        <w:rPr>
          <w:rFonts w:cs="Times New Roman"/>
          <w:color w:val="auto"/>
          <w:highlight w:val="none"/>
        </w:rPr>
        <w:t>历史文化保护对象</w:t>
      </w:r>
    </w:p>
    <w:p w14:paraId="3F38B57D">
      <w:pPr>
        <w:pStyle w:val="14"/>
        <w:ind w:firstLine="64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6"/>
          <w:highlight w:val="none"/>
        </w:rPr>
        <w:t>东河乡乡域</w:t>
      </w:r>
      <w:r>
        <w:rPr>
          <w:rFonts w:ascii="Times New Roman" w:hAnsi="Times New Roman" w:eastAsia="仿宋_GB2312"/>
          <w:color w:val="auto"/>
          <w:sz w:val="32"/>
          <w:szCs w:val="36"/>
          <w:highlight w:val="none"/>
        </w:rPr>
        <w:t>内现存2处县级文物保护单位，为黄花岗遗址、东河村遗址。</w:t>
      </w:r>
      <w:r>
        <w:rPr>
          <w:rFonts w:ascii="Times New Roman" w:hAnsi="Times New Roman" w:eastAsia="仿宋_GB2312"/>
          <w:color w:val="auto"/>
          <w:sz w:val="32"/>
          <w:szCs w:val="32"/>
          <w:highlight w:val="none"/>
        </w:rPr>
        <w:t>以文保单位为中心，划定核心保护范围及建设控制地带。</w:t>
      </w:r>
    </w:p>
    <w:p w14:paraId="34B44018">
      <w:pPr>
        <w:pStyle w:val="4"/>
        <w:tabs>
          <w:tab w:val="clear" w:pos="0"/>
        </w:tabs>
        <w:spacing w:before="217" w:after="217"/>
        <w:rPr>
          <w:rFonts w:cs="Times New Roman"/>
          <w:color w:val="auto"/>
          <w:highlight w:val="none"/>
        </w:rPr>
      </w:pPr>
      <w:r>
        <w:rPr>
          <w:rFonts w:cs="Times New Roman"/>
          <w:color w:val="auto"/>
          <w:highlight w:val="none"/>
        </w:rPr>
        <w:t>文物保护单位保护措施</w:t>
      </w:r>
    </w:p>
    <w:p w14:paraId="2AC32C10">
      <w:pPr>
        <w:ind w:firstLine="640"/>
        <w:rPr>
          <w:rFonts w:eastAsia="仿宋_GB2312" w:cs="Times New Roman"/>
          <w:color w:val="auto"/>
          <w:sz w:val="32"/>
          <w:szCs w:val="28"/>
          <w:highlight w:val="none"/>
        </w:rPr>
      </w:pPr>
      <w:r>
        <w:rPr>
          <w:rFonts w:eastAsia="仿宋_GB2312" w:cs="Times New Roman"/>
          <w:color w:val="auto"/>
          <w:sz w:val="32"/>
          <w:szCs w:val="32"/>
          <w:highlight w:val="none"/>
        </w:rPr>
        <w:t>执行《中华人民共和国文物保护法</w:t>
      </w:r>
      <w:r>
        <w:rPr>
          <w:rFonts w:hint="eastAsia" w:eastAsia="仿宋_GB2312" w:cs="Times New Roman"/>
          <w:color w:val="auto"/>
          <w:sz w:val="32"/>
          <w:szCs w:val="32"/>
          <w:highlight w:val="none"/>
        </w:rPr>
        <w:t>》的</w:t>
      </w:r>
      <w:r>
        <w:rPr>
          <w:rFonts w:eastAsia="仿宋_GB2312" w:cs="Times New Roman"/>
          <w:color w:val="auto"/>
          <w:sz w:val="32"/>
          <w:szCs w:val="32"/>
          <w:highlight w:val="none"/>
        </w:rPr>
        <w:t>有关规定，</w:t>
      </w:r>
      <w:r>
        <w:rPr>
          <w:rFonts w:eastAsia="仿宋_GB2312" w:cs="Times New Roman"/>
          <w:color w:val="auto"/>
          <w:sz w:val="32"/>
          <w:szCs w:val="28"/>
          <w:highlight w:val="none"/>
        </w:rPr>
        <w:t>在保护范围和控制地带范围内禁止取土、耕种、放牧破坏文物的生产活动。文物保护单位的保护范围内不得进行其他建设工程或者爆破、钻探、挖掘等作业。但是，因特殊情况需要在文物保护单位的保护范围内进行其他建设工程或者爆破、钻探、挖掘等作业的，必须保证文物保护单位的安全，在批准前应当征得上一级人民政府文物行政部门同意；在全国重点文物保护单位的保护范围内进行其他建设工程或者爆破、钻探、挖掘等作业的，必须经省、自治区、直辖市人民政府批准，在批准前应当征得国务院文物行政部门同意。</w:t>
      </w:r>
    </w:p>
    <w:p w14:paraId="1C3A62CD">
      <w:pPr>
        <w:ind w:firstLine="640"/>
        <w:rPr>
          <w:rFonts w:eastAsia="仿宋_GB2312" w:cs="Times New Roman"/>
          <w:color w:val="auto"/>
          <w:sz w:val="32"/>
          <w:szCs w:val="28"/>
          <w:highlight w:val="none"/>
        </w:rPr>
      </w:pPr>
      <w:r>
        <w:rPr>
          <w:rFonts w:eastAsia="仿宋_GB2312" w:cs="Times New Roman"/>
          <w:color w:val="auto"/>
          <w:sz w:val="32"/>
          <w:szCs w:val="28"/>
          <w:highlight w:val="none"/>
        </w:rPr>
        <w:t>在文物保护单位的保护范围和建设控制地带内，不得建设污染文物保护单位及其环境的设施，不得进行可能影响文物保护单位安全及其环境的活动。对已有的污染文物保护单位及其环境的设施，应当限期治理。在文物保护单位的建设控制地带内进行建设工程，不得破坏文物保护单位的历史风貌。</w:t>
      </w:r>
    </w:p>
    <w:p w14:paraId="04ADD488">
      <w:pPr>
        <w:pStyle w:val="4"/>
        <w:tabs>
          <w:tab w:val="clear" w:pos="0"/>
        </w:tabs>
        <w:spacing w:before="217" w:after="217"/>
        <w:rPr>
          <w:rFonts w:cs="Times New Roman"/>
          <w:color w:val="auto"/>
          <w:highlight w:val="none"/>
        </w:rPr>
      </w:pPr>
      <w:r>
        <w:rPr>
          <w:rFonts w:cs="Times New Roman"/>
          <w:color w:val="auto"/>
          <w:highlight w:val="none"/>
        </w:rPr>
        <w:t>加强地名管理，保护地名文化</w:t>
      </w:r>
    </w:p>
    <w:p w14:paraId="7BCC39EE">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加大乡村地名信息化管理，助力乡村振兴。对乡村地区自然地理实体、居民点、道路街巷、交通水利、公共服务、文化旅游、农业产业等地名信息实现应收尽收、常态更新、规范上图。</w:t>
      </w:r>
    </w:p>
    <w:p w14:paraId="6A3820D4">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加强地名文化保护并加以宣传，传承乡村特色文化。实现历史地名稳定、实用，复苏有文化底蕴但未使用的老地名。因城乡建设、改造或行政区划调整等原因，修改老地名或规划新地名时，应符合《地名管理条例</w:t>
      </w:r>
      <w:r>
        <w:rPr>
          <w:rFonts w:ascii="Times New Roman" w:hAnsi="Times New Roman" w:eastAsia="仿宋_GB2312"/>
          <w:color w:val="auto"/>
          <w:sz w:val="32"/>
          <w:szCs w:val="32"/>
          <w:highlight w:val="none"/>
          <w:shd w:val="clear" w:color="auto" w:fill="FFFFFF"/>
        </w:rPr>
        <w:t>》《</w:t>
      </w:r>
      <w:r>
        <w:rPr>
          <w:rFonts w:ascii="Times New Roman" w:hAnsi="Times New Roman" w:eastAsia="仿宋_GB2312"/>
          <w:color w:val="auto"/>
          <w:sz w:val="32"/>
          <w:szCs w:val="32"/>
          <w:highlight w:val="none"/>
        </w:rPr>
        <w:t>关于印发黑龙江省开展“乡村著名行动”助力乡村振兴实施方案的通知》（</w:t>
      </w:r>
      <w:r>
        <w:rPr>
          <w:rFonts w:ascii="Times New Roman" w:hAnsi="Times New Roman" w:eastAsia="仿宋_GB2312"/>
          <w:color w:val="auto"/>
          <w:sz w:val="32"/>
          <w:szCs w:val="32"/>
          <w:highlight w:val="none"/>
          <w:shd w:val="clear" w:color="auto" w:fill="FFFFFF"/>
        </w:rPr>
        <w:t>黑民</w:t>
      </w:r>
      <w:r>
        <w:rPr>
          <w:rFonts w:ascii="Times New Roman" w:hAnsi="Times New Roman" w:eastAsia="仿宋_GB2312"/>
          <w:color w:val="auto"/>
          <w:sz w:val="32"/>
          <w:szCs w:val="32"/>
          <w:highlight w:val="none"/>
        </w:rPr>
        <w:t>发〔2024〕4号）《佳木斯市地名方案（2024—2026年）》等相关要求。</w:t>
      </w:r>
    </w:p>
    <w:p w14:paraId="454018B6">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120" w:name="_Toc7524"/>
      <w:bookmarkStart w:id="121" w:name="_Toc14116"/>
      <w:r>
        <w:rPr>
          <w:rFonts w:ascii="Times New Roman" w:hAnsi="Times New Roman" w:cs="Times New Roman"/>
          <w:color w:val="auto"/>
          <w:szCs w:val="32"/>
          <w:highlight w:val="none"/>
        </w:rPr>
        <w:t>城乡风貌指引</w:t>
      </w:r>
      <w:bookmarkEnd w:id="120"/>
      <w:bookmarkEnd w:id="121"/>
    </w:p>
    <w:p w14:paraId="08EE3D1E">
      <w:pPr>
        <w:pStyle w:val="4"/>
        <w:tabs>
          <w:tab w:val="clear" w:pos="0"/>
        </w:tabs>
        <w:spacing w:before="217" w:after="217"/>
        <w:rPr>
          <w:rFonts w:cs="Times New Roman"/>
          <w:color w:val="auto"/>
          <w:highlight w:val="none"/>
        </w:rPr>
      </w:pPr>
      <w:r>
        <w:rPr>
          <w:rFonts w:cs="Times New Roman"/>
          <w:color w:val="auto"/>
          <w:highlight w:val="none"/>
        </w:rPr>
        <w:t>城乡风貌格局</w:t>
      </w:r>
    </w:p>
    <w:p w14:paraId="402C96B6">
      <w:pPr>
        <w:ind w:firstLine="640"/>
        <w:rPr>
          <w:rFonts w:eastAsia="仿宋_GB2312" w:cs="Times New Roman"/>
          <w:color w:val="auto"/>
          <w:sz w:val="32"/>
          <w:szCs w:val="36"/>
          <w:highlight w:val="none"/>
        </w:rPr>
      </w:pPr>
      <w:r>
        <w:rPr>
          <w:rFonts w:eastAsia="仿宋_GB2312" w:cs="Times New Roman"/>
          <w:color w:val="auto"/>
          <w:sz w:val="32"/>
          <w:szCs w:val="36"/>
          <w:highlight w:val="none"/>
        </w:rPr>
        <w:t>以山水林田等自然资源为本底，结合地形地貌及用地空间形态，整体形成“一轴、两区”的北国田园景观风貌。</w:t>
      </w:r>
    </w:p>
    <w:p w14:paraId="1740D413">
      <w:pPr>
        <w:ind w:firstLine="640"/>
        <w:rPr>
          <w:rFonts w:eastAsia="仿宋_GB2312" w:cs="Times New Roman"/>
          <w:color w:val="auto"/>
          <w:sz w:val="32"/>
          <w:szCs w:val="36"/>
          <w:highlight w:val="none"/>
        </w:rPr>
      </w:pPr>
      <w:r>
        <w:rPr>
          <w:rFonts w:eastAsia="仿宋_GB2312" w:cs="Times New Roman"/>
          <w:color w:val="auto"/>
          <w:sz w:val="32"/>
          <w:szCs w:val="36"/>
          <w:highlight w:val="none"/>
        </w:rPr>
        <w:t>“一轴”：滨江湿地生态景观廊道。</w:t>
      </w:r>
    </w:p>
    <w:p w14:paraId="5DFB20E3">
      <w:pPr>
        <w:ind w:firstLine="640"/>
        <w:rPr>
          <w:rFonts w:eastAsia="仿宋_GB2312" w:cs="Times New Roman"/>
          <w:color w:val="auto"/>
          <w:sz w:val="32"/>
          <w:szCs w:val="36"/>
          <w:highlight w:val="none"/>
        </w:rPr>
      </w:pPr>
      <w:r>
        <w:rPr>
          <w:rFonts w:eastAsia="仿宋_GB2312" w:cs="Times New Roman"/>
          <w:color w:val="auto"/>
          <w:sz w:val="32"/>
          <w:szCs w:val="36"/>
          <w:highlight w:val="none"/>
        </w:rPr>
        <w:t>“两区”：全域划分为北部滨江景观风貌区、南部田园生活风貌区，两大风貌分区。</w:t>
      </w:r>
    </w:p>
    <w:p w14:paraId="0314C34E">
      <w:pPr>
        <w:ind w:firstLine="640"/>
        <w:rPr>
          <w:rFonts w:eastAsia="仿宋_GB2312" w:cs="Times New Roman"/>
          <w:color w:val="auto"/>
          <w:sz w:val="32"/>
          <w:szCs w:val="36"/>
          <w:highlight w:val="none"/>
        </w:rPr>
      </w:pPr>
      <w:r>
        <w:rPr>
          <w:rFonts w:eastAsia="仿宋_GB2312" w:cs="Times New Roman"/>
          <w:color w:val="auto"/>
          <w:sz w:val="32"/>
          <w:szCs w:val="36"/>
          <w:highlight w:val="none"/>
        </w:rPr>
        <w:t>北部滨江景观风貌区：依托松花江湿地景观和临江乡村丰富的耕地空间，打造山水林田湖草沙融合的绿色田园风貌片区。</w:t>
      </w:r>
    </w:p>
    <w:p w14:paraId="626FEEFC">
      <w:pPr>
        <w:ind w:firstLine="640"/>
        <w:rPr>
          <w:rFonts w:eastAsia="仿宋_GB2312" w:cs="Times New Roman"/>
          <w:color w:val="auto"/>
          <w:sz w:val="32"/>
          <w:szCs w:val="36"/>
          <w:highlight w:val="none"/>
        </w:rPr>
      </w:pPr>
      <w:r>
        <w:rPr>
          <w:rFonts w:eastAsia="仿宋_GB2312" w:cs="Times New Roman"/>
          <w:color w:val="auto"/>
          <w:sz w:val="32"/>
          <w:szCs w:val="36"/>
          <w:highlight w:val="none"/>
        </w:rPr>
        <w:t>南部田园生活风貌区：依托南部村庄密集和便利的交通条件，主要发展休闲产业。结合乡村特色，整治乡村风貌，展现美好乡村图景。</w:t>
      </w:r>
    </w:p>
    <w:p w14:paraId="02A3B416">
      <w:pPr>
        <w:pStyle w:val="4"/>
        <w:tabs>
          <w:tab w:val="clear" w:pos="0"/>
        </w:tabs>
        <w:spacing w:before="217" w:after="217"/>
        <w:rPr>
          <w:rFonts w:cs="Times New Roman"/>
          <w:color w:val="auto"/>
          <w:highlight w:val="none"/>
        </w:rPr>
      </w:pPr>
      <w:r>
        <w:rPr>
          <w:rFonts w:cs="Times New Roman"/>
          <w:color w:val="auto"/>
          <w:highlight w:val="none"/>
        </w:rPr>
        <w:t>乡村风貌指引</w:t>
      </w:r>
    </w:p>
    <w:p w14:paraId="468F3AD4">
      <w:pPr>
        <w:ind w:firstLine="640"/>
        <w:rPr>
          <w:rFonts w:eastAsia="仿宋_GB2312" w:cs="Times New Roman"/>
          <w:color w:val="auto"/>
          <w:sz w:val="32"/>
          <w:szCs w:val="36"/>
          <w:highlight w:val="none"/>
        </w:rPr>
      </w:pPr>
      <w:r>
        <w:rPr>
          <w:rFonts w:eastAsia="仿宋_GB2312" w:cs="Times New Roman"/>
          <w:color w:val="auto"/>
          <w:sz w:val="32"/>
          <w:szCs w:val="36"/>
          <w:highlight w:val="none"/>
        </w:rPr>
        <w:t>延续具有东北特色的聚落肌理、生态景观和田园风光。构筑生态基底，凸显“北国田园”的原生态自然风貌和乡土景观特色。</w:t>
      </w:r>
    </w:p>
    <w:p w14:paraId="60FB9E46">
      <w:pPr>
        <w:pStyle w:val="4"/>
        <w:tabs>
          <w:tab w:val="clear" w:pos="0"/>
        </w:tabs>
        <w:spacing w:before="217" w:after="217"/>
        <w:rPr>
          <w:rFonts w:cs="Times New Roman"/>
          <w:color w:val="auto"/>
          <w:highlight w:val="none"/>
        </w:rPr>
      </w:pPr>
      <w:r>
        <w:rPr>
          <w:rFonts w:cs="Times New Roman"/>
          <w:color w:val="auto"/>
          <w:highlight w:val="none"/>
        </w:rPr>
        <w:t>乡政府驻地开发强度控制</w:t>
      </w:r>
    </w:p>
    <w:p w14:paraId="70651496">
      <w:pPr>
        <w:pStyle w:val="25"/>
        <w:spacing w:line="600" w:lineRule="exact"/>
        <w:ind w:firstLine="640" w:firstLineChars="200"/>
        <w:jc w:val="both"/>
        <w:rPr>
          <w:rFonts w:ascii="Times New Roman" w:hAnsi="Times New Roman" w:eastAsia="仿宋_GB2312"/>
          <w:bCs w:val="0"/>
          <w:color w:val="auto"/>
          <w:sz w:val="32"/>
          <w:szCs w:val="32"/>
          <w:highlight w:val="none"/>
        </w:rPr>
      </w:pPr>
      <w:bookmarkStart w:id="122" w:name="_Hlk175294620"/>
      <w:r>
        <w:rPr>
          <w:rFonts w:hint="eastAsia" w:ascii="Times New Roman" w:hAnsi="Times New Roman" w:eastAsia="仿宋_GB2312"/>
          <w:bCs w:val="0"/>
          <w:color w:val="auto"/>
          <w:sz w:val="32"/>
          <w:szCs w:val="32"/>
          <w:highlight w:val="none"/>
        </w:rPr>
        <w:t>东河乡乡政府驻地</w:t>
      </w:r>
      <w:r>
        <w:rPr>
          <w:rFonts w:ascii="Times New Roman" w:hAnsi="Times New Roman" w:eastAsia="仿宋_GB2312"/>
          <w:bCs w:val="0"/>
          <w:color w:val="auto"/>
          <w:sz w:val="32"/>
          <w:szCs w:val="32"/>
          <w:highlight w:val="none"/>
        </w:rPr>
        <w:t>实施分片开发强度管控，划分I级强度区、</w:t>
      </w:r>
      <w:r>
        <w:rPr>
          <w:rFonts w:hint="eastAsia" w:ascii="Times New Roman" w:hAnsi="Times New Roman" w:eastAsia="仿宋_GB2312"/>
          <w:bCs w:val="0"/>
          <w:color w:val="auto"/>
          <w:sz w:val="32"/>
          <w:szCs w:val="32"/>
          <w:highlight w:val="none"/>
          <w:shd w:val="clear" w:color="auto" w:fill="FFFFFF"/>
        </w:rPr>
        <w:t>Ⅱ级</w:t>
      </w:r>
      <w:r>
        <w:rPr>
          <w:rFonts w:ascii="Times New Roman" w:hAnsi="Times New Roman" w:eastAsia="仿宋_GB2312"/>
          <w:bCs w:val="0"/>
          <w:color w:val="auto"/>
          <w:sz w:val="32"/>
          <w:szCs w:val="32"/>
          <w:highlight w:val="none"/>
        </w:rPr>
        <w:t>强度区二类分区。对重点地段依据地方性法规和城市设计的要求，经论证可适当调整容积率。</w:t>
      </w:r>
    </w:p>
    <w:bookmarkEnd w:id="122"/>
    <w:p w14:paraId="48D73A52">
      <w:pPr>
        <w:pStyle w:val="25"/>
        <w:spacing w:line="600" w:lineRule="exact"/>
        <w:ind w:firstLine="640" w:firstLineChars="200"/>
        <w:jc w:val="left"/>
        <w:rPr>
          <w:rFonts w:ascii="Times New Roman" w:hAnsi="Times New Roman" w:eastAsia="仿宋_GB2312"/>
          <w:bCs w:val="0"/>
          <w:color w:val="auto"/>
          <w:sz w:val="32"/>
          <w:szCs w:val="32"/>
          <w:highlight w:val="none"/>
          <w:vertAlign w:val="subscript"/>
        </w:rPr>
      </w:pPr>
      <w:r>
        <w:rPr>
          <w:rFonts w:ascii="Times New Roman" w:hAnsi="Times New Roman" w:eastAsia="仿宋_GB2312"/>
          <w:bCs w:val="0"/>
          <w:color w:val="auto"/>
          <w:sz w:val="32"/>
          <w:highlight w:val="none"/>
        </w:rPr>
        <w:t>I级强度区。</w:t>
      </w:r>
      <w:r>
        <w:rPr>
          <w:rFonts w:ascii="Times New Roman" w:hAnsi="Times New Roman" w:eastAsia="仿宋_GB2312"/>
          <w:bCs w:val="0"/>
          <w:color w:val="auto"/>
          <w:sz w:val="32"/>
          <w:szCs w:val="32"/>
          <w:highlight w:val="none"/>
        </w:rPr>
        <w:t>包括公共服务、教育设施、市政设施、产业等功能用地，容积率建议控制在1.0-2.0。</w:t>
      </w:r>
    </w:p>
    <w:p w14:paraId="56BEB9D0">
      <w:pPr>
        <w:ind w:firstLine="640"/>
        <w:rPr>
          <w:rFonts w:eastAsia="仿宋_GB2312" w:cs="Times New Roman"/>
          <w:color w:val="auto"/>
          <w:sz w:val="32"/>
          <w:szCs w:val="36"/>
          <w:highlight w:val="none"/>
        </w:rPr>
      </w:pPr>
      <w:r>
        <w:rPr>
          <w:rFonts w:hint="eastAsia" w:eastAsia="仿宋_GB2312" w:cs="Times New Roman"/>
          <w:color w:val="auto"/>
          <w:sz w:val="32"/>
          <w:szCs w:val="36"/>
          <w:highlight w:val="none"/>
          <w:shd w:val="clear" w:color="auto" w:fill="FFFFFF"/>
        </w:rPr>
        <w:t>Ⅱ级</w:t>
      </w:r>
      <w:r>
        <w:rPr>
          <w:rFonts w:eastAsia="仿宋_GB2312" w:cs="Times New Roman"/>
          <w:color w:val="auto"/>
          <w:sz w:val="32"/>
          <w:szCs w:val="36"/>
          <w:highlight w:val="none"/>
        </w:rPr>
        <w:t>强度区。为乡政府驻地内大部分地区，主要包括传统居住片区和绿地广场。容积率建议在1.0以下。</w:t>
      </w:r>
    </w:p>
    <w:p w14:paraId="6347960A">
      <w:pPr>
        <w:ind w:firstLine="640"/>
        <w:rPr>
          <w:rFonts w:eastAsia="仿宋_GB2312" w:cs="Times New Roman"/>
          <w:color w:val="auto"/>
          <w:sz w:val="32"/>
          <w:szCs w:val="28"/>
          <w:highlight w:val="none"/>
        </w:rPr>
      </w:pPr>
      <w:r>
        <w:rPr>
          <w:rFonts w:eastAsia="仿宋_GB2312" w:cs="Times New Roman"/>
          <w:color w:val="auto"/>
          <w:sz w:val="32"/>
          <w:szCs w:val="28"/>
          <w:highlight w:val="none"/>
        </w:rPr>
        <w:br w:type="page"/>
      </w:r>
    </w:p>
    <w:p w14:paraId="7B9BE687">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pPr>
      <w:bookmarkStart w:id="123" w:name="_Toc32582"/>
      <w:r>
        <w:rPr>
          <w:rFonts w:cs="Times New Roman"/>
          <w:bCs/>
          <w:color w:val="auto"/>
          <w:szCs w:val="36"/>
          <w:highlight w:val="none"/>
        </w:rPr>
        <w:t>生态修复和国土综合整治</w:t>
      </w:r>
      <w:bookmarkEnd w:id="123"/>
    </w:p>
    <w:bookmarkEnd w:id="66"/>
    <w:bookmarkEnd w:id="67"/>
    <w:bookmarkEnd w:id="68"/>
    <w:bookmarkEnd w:id="69"/>
    <w:p w14:paraId="22E0DCD8">
      <w:pPr>
        <w:pStyle w:val="3"/>
        <w:numPr>
          <w:ilvl w:val="0"/>
          <w:numId w:val="21"/>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124" w:name="_Toc24257"/>
      <w:bookmarkStart w:id="125" w:name="_Toc16885"/>
      <w:bookmarkStart w:id="126" w:name="_Toc3315"/>
      <w:bookmarkStart w:id="127" w:name="_Toc12634"/>
      <w:r>
        <w:rPr>
          <w:rFonts w:ascii="Times New Roman" w:hAnsi="Times New Roman" w:cs="Times New Roman"/>
          <w:color w:val="auto"/>
          <w:szCs w:val="32"/>
          <w:highlight w:val="none"/>
        </w:rPr>
        <w:t>推进山水林田湖草系统修复</w:t>
      </w:r>
      <w:bookmarkEnd w:id="124"/>
      <w:bookmarkEnd w:id="125"/>
      <w:bookmarkEnd w:id="126"/>
    </w:p>
    <w:p w14:paraId="6176D3C4">
      <w:pPr>
        <w:pStyle w:val="4"/>
        <w:tabs>
          <w:tab w:val="clear" w:pos="0"/>
        </w:tabs>
        <w:spacing w:before="217" w:after="217"/>
        <w:rPr>
          <w:rFonts w:cs="Times New Roman"/>
          <w:color w:val="auto"/>
          <w:highlight w:val="none"/>
        </w:rPr>
      </w:pPr>
      <w:r>
        <w:rPr>
          <w:rFonts w:cs="Times New Roman"/>
          <w:color w:val="auto"/>
          <w:highlight w:val="none"/>
        </w:rPr>
        <w:t>生态修复措施</w:t>
      </w:r>
    </w:p>
    <w:p w14:paraId="69AA4B17">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自然恢复为主，人工恢复为辅。根据生态系统退化、受损程度和恢</w:t>
      </w:r>
      <w:r>
        <w:rPr>
          <w:rFonts w:hint="eastAsia" w:ascii="Times New Roman" w:hAnsi="Times New Roman" w:eastAsia="仿宋_GB2312" w:cs="Times New Roman"/>
          <w:color w:val="auto"/>
          <w:sz w:val="32"/>
          <w:szCs w:val="28"/>
          <w:highlight w:val="none"/>
        </w:rPr>
        <w:t>复能</w:t>
      </w:r>
      <w:r>
        <w:rPr>
          <w:rFonts w:ascii="Times New Roman" w:hAnsi="Times New Roman" w:eastAsia="仿宋_GB2312" w:cs="Times New Roman"/>
          <w:color w:val="auto"/>
          <w:sz w:val="32"/>
          <w:szCs w:val="28"/>
          <w:highlight w:val="none"/>
        </w:rPr>
        <w:t>力，合理选择保育保护、自然恢复、辅助再生和生态重建等措施，恢复生态系统结构和功能，增强生态系统稳定性和生态供给能力。</w:t>
      </w:r>
    </w:p>
    <w:p w14:paraId="7700A00F">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按照总体规划、整体设计、分期部署、分段实施的思路，科学确定生态保护修复目标、合理布局和项目安排，协同推进山上山下、地上地下、岸上岸下、流域上下</w:t>
      </w:r>
      <w:r>
        <w:rPr>
          <w:rFonts w:ascii="Times New Roman" w:hAnsi="Times New Roman" w:eastAsia="仿宋_GB2312" w:cs="Times New Roman"/>
          <w:color w:val="auto"/>
          <w:sz w:val="32"/>
          <w:szCs w:val="28"/>
          <w:highlight w:val="none"/>
          <w:shd w:val="clear" w:color="auto" w:fill="FFFFFF"/>
        </w:rPr>
        <w:t>游山水林田湖草沙一体化</w:t>
      </w:r>
      <w:r>
        <w:rPr>
          <w:rFonts w:ascii="Times New Roman" w:hAnsi="Times New Roman" w:eastAsia="仿宋_GB2312" w:cs="Times New Roman"/>
          <w:color w:val="auto"/>
          <w:sz w:val="32"/>
          <w:szCs w:val="28"/>
          <w:highlight w:val="none"/>
        </w:rPr>
        <w:t>保护和修复、增强保护修复效果。</w:t>
      </w:r>
    </w:p>
    <w:p w14:paraId="6D30040E">
      <w:pPr>
        <w:pStyle w:val="4"/>
        <w:tabs>
          <w:tab w:val="clear" w:pos="0"/>
        </w:tabs>
        <w:spacing w:before="217" w:after="217"/>
        <w:rPr>
          <w:rFonts w:cs="Times New Roman"/>
          <w:color w:val="auto"/>
          <w:highlight w:val="none"/>
        </w:rPr>
      </w:pPr>
      <w:r>
        <w:rPr>
          <w:rFonts w:cs="Times New Roman"/>
          <w:color w:val="auto"/>
          <w:highlight w:val="none"/>
        </w:rPr>
        <w:t>生态修复规划</w:t>
      </w:r>
    </w:p>
    <w:p w14:paraId="587EBBEB">
      <w:pPr>
        <w:pStyle w:val="55"/>
        <w:spacing w:line="600" w:lineRule="atLeast"/>
        <w:ind w:firstLine="640"/>
        <w:rPr>
          <w:color w:val="auto"/>
          <w:szCs w:val="28"/>
          <w:highlight w:val="none"/>
        </w:rPr>
      </w:pPr>
      <w:r>
        <w:rPr>
          <w:color w:val="auto"/>
          <w:szCs w:val="32"/>
          <w:highlight w:val="none"/>
        </w:rPr>
        <w:t>落实县级划定的</w:t>
      </w:r>
      <w:r>
        <w:rPr>
          <w:color w:val="auto"/>
          <w:szCs w:val="28"/>
          <w:highlight w:val="none"/>
        </w:rPr>
        <w:t>生态修复重点区，依托山水林田湖草系统修复等项目，提升林、草、湿地生态系统，实现生态服务功能显著提高。</w:t>
      </w:r>
    </w:p>
    <w:bookmarkEnd w:id="127"/>
    <w:p w14:paraId="3950495B">
      <w:pPr>
        <w:pStyle w:val="3"/>
        <w:numPr>
          <w:ilvl w:val="0"/>
          <w:numId w:val="21"/>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128" w:name="_Toc29855"/>
      <w:r>
        <w:rPr>
          <w:rFonts w:hint="eastAsia" w:ascii="Times New Roman" w:hAnsi="Times New Roman" w:cs="Times New Roman"/>
          <w:color w:val="auto"/>
          <w:szCs w:val="32"/>
          <w:highlight w:val="none"/>
        </w:rPr>
        <w:t>全域土地综合整治</w:t>
      </w:r>
      <w:bookmarkEnd w:id="128"/>
    </w:p>
    <w:p w14:paraId="640EDECF">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坚持问题导向，聚焦问题突出的区域和要素，围绕水体污染等问题，系统开展生态修复工作，分析村居环境不佳和耕地碎片化、水土流失等问题，综合整治农业空间，识别违法建设、低效用地和棚户区等问题全面治理乡镇空间。以实现生态空间网络化、生产空间集约化、生活空间宜居化为目标，保护自然资源，系统推进整治修复工作，筑牢粮食、生态安全。</w:t>
      </w:r>
    </w:p>
    <w:p w14:paraId="77467CB5">
      <w:pPr>
        <w:pStyle w:val="4"/>
        <w:tabs>
          <w:tab w:val="clear" w:pos="0"/>
        </w:tabs>
        <w:spacing w:before="217" w:after="217"/>
        <w:rPr>
          <w:rFonts w:cs="Times New Roman"/>
          <w:color w:val="auto"/>
          <w:highlight w:val="none"/>
        </w:rPr>
      </w:pPr>
      <w:r>
        <w:rPr>
          <w:rFonts w:cs="Times New Roman"/>
          <w:color w:val="auto"/>
          <w:highlight w:val="none"/>
        </w:rPr>
        <w:t>确定农用地综合整治目标</w:t>
      </w:r>
    </w:p>
    <w:p w14:paraId="50AED0E6">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以保证粮食安全为重点目标。一是采用合理工程措施调整土地利用的结构，增加耕地的数量，如耕地后备资源的开发等。二是通过实施旱改水措施、建设高标准农田等措施来提高耕地质量。</w:t>
      </w:r>
    </w:p>
    <w:p w14:paraId="42EF7586">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以耕地保有量、永久基本农田规模、高标准农田建设规模作为农用地综合整治的重要约束性指标。耕地质量提高程度、补偿耕地总量作为立项基础。突出永久基本农田保护的“底线”和对“藏粮于地，高标准建设、高标准管护、高标准利用”要求的落实。</w:t>
      </w:r>
    </w:p>
    <w:p w14:paraId="20CCA184">
      <w:pPr>
        <w:pStyle w:val="4"/>
        <w:tabs>
          <w:tab w:val="clear" w:pos="0"/>
        </w:tabs>
        <w:spacing w:before="217" w:after="217"/>
        <w:rPr>
          <w:rFonts w:cs="Times New Roman"/>
          <w:color w:val="auto"/>
          <w:highlight w:val="none"/>
        </w:rPr>
      </w:pPr>
      <w:r>
        <w:rPr>
          <w:rFonts w:cs="Times New Roman"/>
          <w:color w:val="auto"/>
          <w:highlight w:val="none"/>
        </w:rPr>
        <w:t>农用地综合整治规划</w:t>
      </w:r>
    </w:p>
    <w:p w14:paraId="43BA584D">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1.明确农用地整治任务</w:t>
      </w:r>
    </w:p>
    <w:p w14:paraId="351C2712">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寻找耕地量、质双向提高的突破点，寻找适宜的农用地综合整治重点区域，优化区域整治发展布局安排。</w:t>
      </w:r>
    </w:p>
    <w:p w14:paraId="6619214F">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加强高标准基本农田建设，夯实农田基础设施。通过田、水、路、林、村的综合整治，开展国土综合整治项目、高标准农田建设项目等，做好耕地保护与质量提升。</w:t>
      </w:r>
    </w:p>
    <w:p w14:paraId="1B787C70">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推进农用地整理，增加有效耕地面积，适度开发宜耕后备资源，增强粮食安全保障能力。</w:t>
      </w:r>
    </w:p>
    <w:p w14:paraId="7623948F">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2.探索推进其他农用地整治建设</w:t>
      </w:r>
    </w:p>
    <w:p w14:paraId="3CBBD854">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科学合理引导</w:t>
      </w:r>
      <w:r>
        <w:rPr>
          <w:rFonts w:ascii="Times New Roman" w:hAnsi="Times New Roman" w:eastAsia="仿宋_GB2312" w:cs="Times New Roman"/>
          <w:color w:val="auto"/>
          <w:sz w:val="32"/>
          <w:szCs w:val="32"/>
          <w:highlight w:val="none"/>
          <w:shd w:val="clear" w:color="auto" w:fill="FFFFFF"/>
        </w:rPr>
        <w:t>乡域</w:t>
      </w:r>
      <w:r>
        <w:rPr>
          <w:rFonts w:ascii="Times New Roman" w:hAnsi="Times New Roman" w:eastAsia="仿宋_GB2312" w:cs="Times New Roman"/>
          <w:color w:val="auto"/>
          <w:sz w:val="32"/>
          <w:szCs w:val="32"/>
          <w:highlight w:val="none"/>
        </w:rPr>
        <w:t>农业产业结构调整。完善配套基础设施，促进园地集约利用、改善生态，发展特色品种，提高园地生态经济综合效益。</w:t>
      </w:r>
    </w:p>
    <w:p w14:paraId="60C083EC">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3.结合地质灾害分区开展农用地整治</w:t>
      </w:r>
    </w:p>
    <w:p w14:paraId="1A71D0B5">
      <w:pPr>
        <w:pStyle w:val="36"/>
        <w:ind w:firstLine="64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在桦川县存在地质灾害中危险区、高危险区、极高危险区三个类型的地质灾害危险区域，在这三种等级的地质灾害危险区当中的农用地整治重点</w:t>
      </w:r>
      <w:r>
        <w:rPr>
          <w:rFonts w:hint="eastAsia" w:ascii="Times New Roman" w:hAnsi="Times New Roman" w:eastAsia="仿宋_GB2312" w:cs="Times New Roman"/>
          <w:color w:val="auto"/>
          <w:sz w:val="32"/>
          <w:szCs w:val="32"/>
          <w:highlight w:val="none"/>
        </w:rPr>
        <w:t>区域</w:t>
      </w:r>
      <w:r>
        <w:rPr>
          <w:rFonts w:ascii="Times New Roman" w:hAnsi="Times New Roman" w:eastAsia="仿宋_GB2312" w:cs="Times New Roman"/>
          <w:color w:val="auto"/>
          <w:sz w:val="32"/>
          <w:szCs w:val="32"/>
          <w:highlight w:val="none"/>
        </w:rPr>
        <w:t>应根据地质灾害危险类型、灾害发生频率及危害程度安排相应的地质灾害预防、治理措施。</w:t>
      </w:r>
    </w:p>
    <w:p w14:paraId="72847F4C">
      <w:pPr>
        <w:pStyle w:val="4"/>
        <w:tabs>
          <w:tab w:val="clear" w:pos="0"/>
        </w:tabs>
        <w:spacing w:before="217" w:after="217"/>
        <w:rPr>
          <w:rFonts w:cs="Times New Roman"/>
          <w:color w:val="auto"/>
          <w:highlight w:val="none"/>
        </w:rPr>
      </w:pPr>
      <w:r>
        <w:rPr>
          <w:rFonts w:cs="Times New Roman"/>
          <w:color w:val="auto"/>
          <w:highlight w:val="none"/>
        </w:rPr>
        <w:t>确定建设用地整治目标</w:t>
      </w:r>
    </w:p>
    <w:p w14:paraId="0209933A">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农村建设用地整治以提升农村人居环境、改善生活品质为目标，优化村庄布局，扎实推进社会主义新农村建设。重视村庄绿化整治，改善农村居住环境，加强道路的绿化建设，有效提高生态用地规模；重点改善村居环境和耕地碎片化状态，实施田水路林村全域土地综合整治，整</w:t>
      </w:r>
      <w:r>
        <w:rPr>
          <w:rFonts w:hint="eastAsia" w:ascii="Times New Roman" w:hAnsi="Times New Roman" w:eastAsia="仿宋_GB2312" w:cs="Times New Roman"/>
          <w:color w:val="auto"/>
          <w:sz w:val="32"/>
          <w:szCs w:val="28"/>
          <w:highlight w:val="none"/>
        </w:rPr>
        <w:t>治和</w:t>
      </w:r>
      <w:r>
        <w:rPr>
          <w:rFonts w:ascii="Times New Roman" w:hAnsi="Times New Roman" w:eastAsia="仿宋_GB2312" w:cs="Times New Roman"/>
          <w:color w:val="auto"/>
          <w:sz w:val="32"/>
          <w:szCs w:val="28"/>
          <w:highlight w:val="none"/>
        </w:rPr>
        <w:t>提升各类低效用地效率，保护自然人文景观；人居环境整治</w:t>
      </w:r>
      <w:r>
        <w:rPr>
          <w:rFonts w:hint="eastAsia" w:ascii="Times New Roman" w:hAnsi="Times New Roman" w:eastAsia="仿宋_GB2312" w:cs="Times New Roman"/>
          <w:color w:val="auto"/>
          <w:sz w:val="32"/>
          <w:szCs w:val="28"/>
          <w:highlight w:val="none"/>
        </w:rPr>
        <w:t>以及</w:t>
      </w:r>
      <w:r>
        <w:rPr>
          <w:rFonts w:ascii="Times New Roman" w:hAnsi="Times New Roman" w:eastAsia="仿宋_GB2312" w:cs="Times New Roman"/>
          <w:color w:val="auto"/>
          <w:sz w:val="32"/>
          <w:szCs w:val="28"/>
          <w:highlight w:val="none"/>
        </w:rPr>
        <w:t>排水、环卫等设施规划建设及村庄治危拆违等，推进美丽宜居乡村建设。</w:t>
      </w:r>
    </w:p>
    <w:p w14:paraId="66259845">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城镇化区域建设用地整治以节约集约用地为原则。以城乡结构优化、功能完善为目标。提升人居环境、公共管理与公共服务设施配套等，整合用地资源，提升土地利用率。定期实施城乡建设存量更新，明确重点区域、重点工程及项目。</w:t>
      </w:r>
    </w:p>
    <w:p w14:paraId="6AC00B2E">
      <w:pPr>
        <w:pStyle w:val="4"/>
        <w:tabs>
          <w:tab w:val="clear" w:pos="0"/>
        </w:tabs>
        <w:spacing w:before="217" w:after="217"/>
        <w:rPr>
          <w:rFonts w:cs="Times New Roman"/>
          <w:color w:val="auto"/>
          <w:highlight w:val="none"/>
        </w:rPr>
      </w:pPr>
      <w:r>
        <w:rPr>
          <w:rFonts w:cs="Times New Roman"/>
          <w:color w:val="auto"/>
          <w:highlight w:val="none"/>
        </w:rPr>
        <w:t>建设用地整治规划</w:t>
      </w:r>
    </w:p>
    <w:p w14:paraId="31D48CF5">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1.加快推进农村人居环境整治</w:t>
      </w:r>
    </w:p>
    <w:p w14:paraId="4F7302E0">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推进美丽乡村建设，力争到2025年，70%以上村庄达到美丽宜居村标准。全域推进干净整洁村建设。力争到2035年，全部村庄达到干净整洁村标准。推进厕所革命，建立健全无害化卫生厕所长效管护机制。开展违法用地和违法建设整治行动，基本化解农村历史遗留问题。推进农村生活垃圾处理，强化生活垃圾收运源头管控，稳步推进生活垃圾强制分类。</w:t>
      </w:r>
    </w:p>
    <w:p w14:paraId="7762FB72">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2.推进全域土地综合整治试点</w:t>
      </w:r>
    </w:p>
    <w:p w14:paraId="1D81A538">
      <w:pPr>
        <w:pStyle w:val="36"/>
        <w:ind w:firstLine="640"/>
        <w:rPr>
          <w:rFonts w:ascii="Times New Roman" w:hAnsi="Times New Roman" w:eastAsia="仿宋_GB2312" w:cs="Times New Roman"/>
          <w:color w:val="auto"/>
          <w:sz w:val="32"/>
          <w:szCs w:val="28"/>
          <w:highlight w:val="none"/>
        </w:rPr>
      </w:pPr>
      <w:r>
        <w:rPr>
          <w:rFonts w:ascii="Times New Roman" w:hAnsi="Times New Roman" w:eastAsia="仿宋_GB2312" w:cs="Times New Roman"/>
          <w:color w:val="auto"/>
          <w:sz w:val="32"/>
          <w:szCs w:val="28"/>
          <w:highlight w:val="none"/>
        </w:rPr>
        <w:t>以多个行政村或乡镇为整治单元，按照“生态优先、保护优先、节约优先”的原则，对农村空心房、空心村及其他低效闲置建设用地、城乡闲散土地等存量低效用地实施土地综合治理。</w:t>
      </w:r>
    </w:p>
    <w:p w14:paraId="762053FF">
      <w:pPr>
        <w:pStyle w:val="36"/>
        <w:ind w:firstLine="560"/>
        <w:rPr>
          <w:rFonts w:ascii="Times New Roman" w:hAnsi="Times New Roman" w:eastAsia="仿宋_GB2312" w:cs="Times New Roman"/>
          <w:color w:val="auto"/>
          <w:highlight w:val="none"/>
        </w:rPr>
      </w:pPr>
    </w:p>
    <w:p w14:paraId="6A03D8F9">
      <w:pPr>
        <w:pStyle w:val="36"/>
        <w:ind w:firstLine="560"/>
        <w:rPr>
          <w:rFonts w:ascii="Times New Roman" w:hAnsi="Times New Roman" w:eastAsia="仿宋_GB2312" w:cs="Times New Roman"/>
          <w:color w:val="auto"/>
          <w:highlight w:val="none"/>
        </w:rPr>
      </w:pPr>
    </w:p>
    <w:p w14:paraId="3221A941">
      <w:pPr>
        <w:ind w:firstLine="560"/>
        <w:rPr>
          <w:rFonts w:eastAsia="仿宋_GB2312" w:cs="Times New Roman"/>
          <w:color w:val="auto"/>
          <w:highlight w:val="none"/>
        </w:rPr>
      </w:pPr>
      <w:r>
        <w:rPr>
          <w:rFonts w:eastAsia="仿宋_GB2312" w:cs="Times New Roman"/>
          <w:color w:val="auto"/>
          <w:highlight w:val="none"/>
        </w:rPr>
        <w:br w:type="page"/>
      </w:r>
    </w:p>
    <w:p w14:paraId="61DACE06">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pPr>
      <w:bookmarkStart w:id="129" w:name="_Toc689"/>
      <w:r>
        <w:rPr>
          <w:rFonts w:cs="Times New Roman"/>
          <w:bCs/>
          <w:color w:val="auto"/>
          <w:szCs w:val="36"/>
          <w:highlight w:val="none"/>
        </w:rPr>
        <w:t>规划传导与实施</w:t>
      </w:r>
      <w:bookmarkEnd w:id="129"/>
    </w:p>
    <w:p w14:paraId="4A8F6AA6">
      <w:pPr>
        <w:pStyle w:val="3"/>
        <w:numPr>
          <w:ilvl w:val="0"/>
          <w:numId w:val="22"/>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130" w:name="_Toc25518"/>
      <w:r>
        <w:rPr>
          <w:rFonts w:ascii="Times New Roman" w:hAnsi="Times New Roman" w:cs="Times New Roman"/>
          <w:color w:val="auto"/>
          <w:szCs w:val="32"/>
          <w:highlight w:val="none"/>
        </w:rPr>
        <w:t>全域规划传导与实施</w:t>
      </w:r>
      <w:bookmarkEnd w:id="130"/>
    </w:p>
    <w:p w14:paraId="770D8A2E">
      <w:pPr>
        <w:pStyle w:val="4"/>
        <w:tabs>
          <w:tab w:val="clear" w:pos="0"/>
        </w:tabs>
        <w:spacing w:before="217" w:after="217"/>
        <w:rPr>
          <w:rFonts w:cs="Times New Roman"/>
          <w:color w:val="auto"/>
          <w:highlight w:val="none"/>
        </w:rPr>
      </w:pPr>
      <w:bookmarkStart w:id="131" w:name="_Toc8583"/>
      <w:r>
        <w:rPr>
          <w:rFonts w:cs="Times New Roman"/>
          <w:color w:val="auto"/>
          <w:highlight w:val="none"/>
        </w:rPr>
        <w:t>城镇开发边界内管控</w:t>
      </w:r>
      <w:bookmarkEnd w:id="131"/>
    </w:p>
    <w:p w14:paraId="1A0FC0FD">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城镇开发边界内各类建设活动严格实行用途管制，按照规划用途依法办理有关手续，并加强与城市蓝线、城市绿线、城市黄线、城市紫线、主次干路的走向等协同管控。城镇开发边界内确定的涉及强制性内容的用地，禁止擅自改变用途，确需改变应按照规定的权限和程序先修改本规划。在符合本规划的前提下，其他用地已编制控制性详细规划且对用地兼容性作出规定的，应当按照控制性详细规划执行；控制性详细规划未作出规定或未编制控制性详细规划的，可以根据本规划及有关专项规划，并结合实际修编控制性详细规划或新编控制性详细规划进行用地兼容性规定。</w:t>
      </w:r>
    </w:p>
    <w:p w14:paraId="247D9374">
      <w:pPr>
        <w:pStyle w:val="14"/>
        <w:overflowPunct w:val="0"/>
        <w:ind w:firstLine="64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严格城镇开发边界外的空间准入，城镇开发边界外可以存在少量对选址有特殊要求的城</w:t>
      </w:r>
      <w:r>
        <w:rPr>
          <w:rFonts w:hint="eastAsia" w:ascii="Times New Roman" w:hAnsi="Times New Roman" w:eastAsia="仿宋_GB2312"/>
          <w:color w:val="auto"/>
          <w:sz w:val="32"/>
          <w:szCs w:val="32"/>
          <w:highlight w:val="none"/>
          <w:lang w:val="en-US" w:eastAsia="zh-CN"/>
        </w:rPr>
        <w:t>乡</w:t>
      </w:r>
      <w:r>
        <w:rPr>
          <w:rFonts w:ascii="Times New Roman" w:hAnsi="Times New Roman" w:eastAsia="仿宋_GB2312"/>
          <w:color w:val="auto"/>
          <w:sz w:val="32"/>
          <w:szCs w:val="32"/>
          <w:highlight w:val="none"/>
        </w:rPr>
        <w:t>建设用地，但不得进行城</w:t>
      </w:r>
      <w:r>
        <w:rPr>
          <w:rFonts w:hint="eastAsia" w:ascii="Times New Roman" w:hAnsi="Times New Roman" w:eastAsia="仿宋_GB2312"/>
          <w:color w:val="auto"/>
          <w:sz w:val="32"/>
          <w:szCs w:val="32"/>
          <w:highlight w:val="none"/>
          <w:lang w:val="en-US" w:eastAsia="zh-CN"/>
        </w:rPr>
        <w:t>乡</w:t>
      </w:r>
      <w:r>
        <w:rPr>
          <w:rFonts w:ascii="Times New Roman" w:hAnsi="Times New Roman" w:eastAsia="仿宋_GB2312"/>
          <w:color w:val="auto"/>
          <w:sz w:val="32"/>
          <w:szCs w:val="32"/>
          <w:highlight w:val="none"/>
        </w:rPr>
        <w:t>集中建设、不得设立各类开发区。</w:t>
      </w:r>
    </w:p>
    <w:p w14:paraId="57B09F45">
      <w:pPr>
        <w:pStyle w:val="4"/>
        <w:tabs>
          <w:tab w:val="clear" w:pos="0"/>
        </w:tabs>
        <w:spacing w:before="217" w:after="217"/>
        <w:rPr>
          <w:rFonts w:cs="Times New Roman"/>
          <w:color w:val="auto"/>
          <w:highlight w:val="none"/>
        </w:rPr>
      </w:pPr>
      <w:r>
        <w:rPr>
          <w:rFonts w:cs="Times New Roman"/>
          <w:color w:val="auto"/>
          <w:highlight w:val="none"/>
        </w:rPr>
        <w:t>城镇开发边界外管控</w:t>
      </w:r>
    </w:p>
    <w:p w14:paraId="6AE60C7E">
      <w:pPr>
        <w:pStyle w:val="25"/>
        <w:spacing w:before="87" w:line="600" w:lineRule="exact"/>
        <w:ind w:firstLine="640" w:firstLineChars="200"/>
        <w:jc w:val="left"/>
        <w:rPr>
          <w:rFonts w:hint="eastAsia" w:ascii="Times New Roman" w:hAnsi="Times New Roman" w:eastAsia="仿宋_GB2312" w:cs="Times New Roman"/>
          <w:color w:val="auto"/>
          <w:sz w:val="32"/>
          <w:szCs w:val="32"/>
          <w:highlight w:val="none"/>
          <w:lang w:eastAsia="zh-CN"/>
        </w:rPr>
      </w:pPr>
      <w:r>
        <w:rPr>
          <w:rFonts w:ascii="Times New Roman" w:hAnsi="Times New Roman" w:eastAsia="仿宋_GB2312"/>
          <w:bCs w:val="0"/>
          <w:color w:val="auto"/>
          <w:sz w:val="32"/>
          <w:szCs w:val="32"/>
          <w:highlight w:val="none"/>
        </w:rPr>
        <w:t>东河乡除乡政府驻地</w:t>
      </w:r>
      <w:r>
        <w:rPr>
          <w:rFonts w:ascii="Times New Roman" w:hAnsi="Times New Roman" w:eastAsia="仿宋_GB2312"/>
          <w:bCs w:val="0"/>
          <w:color w:val="auto"/>
          <w:sz w:val="32"/>
          <w:szCs w:val="32"/>
          <w:highlight w:val="none"/>
          <w:shd w:val="clear" w:color="auto" w:fill="FFFFFF"/>
        </w:rPr>
        <w:t>九</w:t>
      </w:r>
      <w:r>
        <w:rPr>
          <w:rFonts w:ascii="Times New Roman" w:hAnsi="Times New Roman" w:eastAsia="仿宋_GB2312"/>
          <w:bCs w:val="0"/>
          <w:color w:val="auto"/>
          <w:sz w:val="32"/>
          <w:szCs w:val="32"/>
          <w:highlight w:val="none"/>
        </w:rPr>
        <w:t>阳村外，共6个村需要编制村庄规划，分别为</w:t>
      </w:r>
      <w:r>
        <w:rPr>
          <w:rFonts w:ascii="Times New Roman" w:hAnsi="Times New Roman" w:eastAsia="仿宋_GB2312"/>
          <w:color w:val="auto"/>
          <w:sz w:val="32"/>
          <w:szCs w:val="28"/>
          <w:highlight w:val="none"/>
        </w:rPr>
        <w:t>兴安村、东方红村、东升村、东宏村、东河村和兴国村。</w:t>
      </w:r>
      <w:r>
        <w:rPr>
          <w:rFonts w:hint="eastAsia" w:ascii="Times New Roman" w:hAnsi="Times New Roman" w:eastAsia="仿宋_GB2312"/>
          <w:color w:val="auto"/>
          <w:sz w:val="32"/>
          <w:szCs w:val="28"/>
          <w:highlight w:val="none"/>
          <w:lang w:val="en-US" w:eastAsia="zh-CN"/>
        </w:rPr>
        <w:t>采用</w:t>
      </w:r>
      <w:r>
        <w:rPr>
          <w:rFonts w:ascii="Times New Roman" w:hAnsi="Times New Roman" w:eastAsia="仿宋_GB2312" w:cs="Times New Roman"/>
          <w:color w:val="auto"/>
          <w:sz w:val="32"/>
          <w:szCs w:val="32"/>
          <w:highlight w:val="none"/>
        </w:rPr>
        <w:t>“通则式”规划管理</w:t>
      </w:r>
      <w:r>
        <w:rPr>
          <w:rFonts w:hint="eastAsia" w:ascii="Times New Roman" w:hAnsi="Times New Roman" w:eastAsia="仿宋_GB2312" w:cs="Times New Roman"/>
          <w:color w:val="auto"/>
          <w:sz w:val="32"/>
          <w:szCs w:val="32"/>
          <w:highlight w:val="none"/>
          <w:lang w:eastAsia="zh-CN"/>
        </w:rPr>
        <w:t>。</w:t>
      </w:r>
    </w:p>
    <w:p w14:paraId="5C47379A">
      <w:pPr>
        <w:pStyle w:val="3"/>
        <w:numPr>
          <w:ilvl w:val="0"/>
          <w:numId w:val="13"/>
        </w:numPr>
        <w:tabs>
          <w:tab w:val="clear" w:pos="2577"/>
          <w:tab w:val="clear" w:pos="2860"/>
        </w:tabs>
        <w:adjustRightInd/>
        <w:spacing w:beforeLines="50" w:afterLines="50" w:line="600" w:lineRule="exact"/>
        <w:ind w:firstLine="0"/>
        <w:rPr>
          <w:rFonts w:ascii="Times New Roman" w:hAnsi="Times New Roman" w:cs="Times New Roman"/>
          <w:color w:val="auto"/>
          <w:szCs w:val="32"/>
          <w:highlight w:val="none"/>
        </w:rPr>
      </w:pPr>
      <w:bookmarkStart w:id="132" w:name="_Toc15909"/>
      <w:bookmarkStart w:id="133" w:name="_Toc4375"/>
      <w:bookmarkStart w:id="134" w:name="_Toc20426"/>
      <w:r>
        <w:rPr>
          <w:rFonts w:ascii="Times New Roman" w:hAnsi="Times New Roman" w:cs="Times New Roman"/>
          <w:color w:val="auto"/>
          <w:szCs w:val="32"/>
          <w:highlight w:val="none"/>
        </w:rPr>
        <w:t>近期重点建设项目及实施保障</w:t>
      </w:r>
      <w:bookmarkEnd w:id="132"/>
      <w:bookmarkEnd w:id="133"/>
      <w:bookmarkEnd w:id="134"/>
    </w:p>
    <w:p w14:paraId="7713619F">
      <w:pPr>
        <w:pStyle w:val="4"/>
        <w:tabs>
          <w:tab w:val="clear" w:pos="0"/>
        </w:tabs>
        <w:spacing w:before="217" w:after="217"/>
        <w:rPr>
          <w:rFonts w:cs="Times New Roman"/>
          <w:color w:val="auto"/>
          <w:highlight w:val="none"/>
        </w:rPr>
      </w:pPr>
      <w:r>
        <w:rPr>
          <w:rFonts w:cs="Times New Roman"/>
          <w:color w:val="auto"/>
          <w:highlight w:val="none"/>
        </w:rPr>
        <w:t>近期发展目标</w:t>
      </w:r>
    </w:p>
    <w:p w14:paraId="68EABBF8">
      <w:pPr>
        <w:ind w:firstLine="640"/>
        <w:rPr>
          <w:rFonts w:eastAsia="仿宋_GB2312" w:cs="Times New Roman"/>
          <w:color w:val="auto"/>
          <w:sz w:val="32"/>
          <w:szCs w:val="36"/>
          <w:highlight w:val="none"/>
        </w:rPr>
      </w:pPr>
      <w:r>
        <w:rPr>
          <w:rFonts w:eastAsia="仿宋_GB2312" w:cs="Times New Roman"/>
          <w:color w:val="auto"/>
          <w:sz w:val="32"/>
          <w:szCs w:val="36"/>
          <w:highlight w:val="none"/>
        </w:rPr>
        <w:t>到2025年，</w:t>
      </w:r>
      <w:r>
        <w:rPr>
          <w:rFonts w:hint="eastAsia" w:eastAsia="仿宋_GB2312" w:cs="Times New Roman"/>
          <w:color w:val="auto"/>
          <w:sz w:val="32"/>
          <w:szCs w:val="36"/>
          <w:highlight w:val="none"/>
        </w:rPr>
        <w:t>东河乡乡域</w:t>
      </w:r>
      <w:r>
        <w:rPr>
          <w:rFonts w:eastAsia="仿宋_GB2312" w:cs="Times New Roman"/>
          <w:color w:val="auto"/>
          <w:sz w:val="32"/>
          <w:szCs w:val="36"/>
          <w:highlight w:val="none"/>
          <w:shd w:val="clear" w:color="auto" w:fill="FFFFFF"/>
        </w:rPr>
        <w:t>常住人口</w:t>
      </w:r>
      <w:r>
        <w:rPr>
          <w:rFonts w:eastAsia="仿宋_GB2312" w:cs="Times New Roman"/>
          <w:color w:val="auto"/>
          <w:sz w:val="32"/>
          <w:szCs w:val="36"/>
          <w:highlight w:val="none"/>
        </w:rPr>
        <w:t>规模为3960人，乡政府驻地常住人口约为1450人，乡政府驻地建设用地</w:t>
      </w:r>
      <w:r>
        <w:rPr>
          <w:rFonts w:hint="eastAsia" w:eastAsia="仿宋_GB2312" w:cs="Times New Roman"/>
          <w:color w:val="auto"/>
          <w:sz w:val="32"/>
          <w:szCs w:val="36"/>
          <w:highlight w:val="none"/>
        </w:rPr>
        <w:t>节约集约有效利用</w:t>
      </w:r>
      <w:r>
        <w:rPr>
          <w:rFonts w:eastAsia="仿宋_GB2312" w:cs="Times New Roman"/>
          <w:color w:val="auto"/>
          <w:sz w:val="32"/>
          <w:szCs w:val="36"/>
          <w:highlight w:val="none"/>
        </w:rPr>
        <w:t>。</w:t>
      </w:r>
    </w:p>
    <w:p w14:paraId="7E94E170">
      <w:pPr>
        <w:ind w:firstLine="640"/>
        <w:rPr>
          <w:rFonts w:eastAsia="仿宋_GB2312" w:cs="Times New Roman"/>
          <w:color w:val="auto"/>
          <w:sz w:val="32"/>
          <w:szCs w:val="36"/>
          <w:highlight w:val="none"/>
        </w:rPr>
      </w:pPr>
      <w:r>
        <w:rPr>
          <w:rFonts w:eastAsia="仿宋_GB2312" w:cs="Times New Roman"/>
          <w:color w:val="auto"/>
          <w:sz w:val="32"/>
          <w:szCs w:val="36"/>
          <w:highlight w:val="none"/>
        </w:rPr>
        <w:t>到2025年，国土空间开发与保护格局初步形成，生态、农业、城</w:t>
      </w:r>
      <w:r>
        <w:rPr>
          <w:rFonts w:hint="eastAsia" w:eastAsia="仿宋_GB2312" w:cs="Times New Roman"/>
          <w:color w:val="auto"/>
          <w:sz w:val="32"/>
          <w:szCs w:val="36"/>
          <w:highlight w:val="none"/>
          <w:lang w:val="en-US" w:eastAsia="zh-CN"/>
        </w:rPr>
        <w:t>乡</w:t>
      </w:r>
      <w:r>
        <w:rPr>
          <w:rFonts w:eastAsia="仿宋_GB2312" w:cs="Times New Roman"/>
          <w:color w:val="auto"/>
          <w:sz w:val="32"/>
          <w:szCs w:val="36"/>
          <w:highlight w:val="none"/>
        </w:rPr>
        <w:t>空间功能逐步清晰；自然生态与黑土地农业安全保障能力逐步增强；乡村风貌和人居环境明显改善；城乡融合发展、民生补短板工程、重点基础设施建设取得积极成效，东</w:t>
      </w:r>
      <w:r>
        <w:rPr>
          <w:rFonts w:eastAsia="仿宋_GB2312" w:cs="Times New Roman"/>
          <w:color w:val="auto"/>
          <w:sz w:val="32"/>
          <w:szCs w:val="36"/>
          <w:highlight w:val="none"/>
          <w:shd w:val="clear" w:color="auto" w:fill="FFFFFF"/>
        </w:rPr>
        <w:t>河乡经济高质量</w:t>
      </w:r>
      <w:r>
        <w:rPr>
          <w:rFonts w:eastAsia="仿宋_GB2312" w:cs="Times New Roman"/>
          <w:color w:val="auto"/>
          <w:sz w:val="32"/>
          <w:szCs w:val="36"/>
          <w:highlight w:val="none"/>
        </w:rPr>
        <w:t>发展的空间支撑能力逐步增强。</w:t>
      </w:r>
    </w:p>
    <w:p w14:paraId="09EDD783">
      <w:pPr>
        <w:pStyle w:val="4"/>
        <w:tabs>
          <w:tab w:val="clear" w:pos="0"/>
        </w:tabs>
        <w:spacing w:before="217" w:after="217"/>
        <w:rPr>
          <w:rFonts w:cs="Times New Roman"/>
          <w:color w:val="auto"/>
          <w:highlight w:val="none"/>
        </w:rPr>
      </w:pPr>
      <w:r>
        <w:rPr>
          <w:rFonts w:cs="Times New Roman"/>
          <w:color w:val="auto"/>
          <w:highlight w:val="none"/>
        </w:rPr>
        <w:t>近期重点建设项目</w:t>
      </w:r>
    </w:p>
    <w:p w14:paraId="7A35633A">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规划与上位规划做好衔接，从基础设施、公共服务设施、环保、民生等方面列出重大项目清单，对项目布局和时序做出统筹安排。至 2035 年，东河乡共规划重点建设项目</w:t>
      </w:r>
      <w:r>
        <w:rPr>
          <w:rFonts w:hint="eastAsia" w:ascii="Times New Roman" w:hAnsi="Times New Roman" w:eastAsia="仿宋_GB2312"/>
          <w:bCs w:val="0"/>
          <w:color w:val="auto"/>
          <w:sz w:val="32"/>
          <w:szCs w:val="32"/>
          <w:highlight w:val="none"/>
        </w:rPr>
        <w:t>13</w:t>
      </w:r>
      <w:r>
        <w:rPr>
          <w:rFonts w:ascii="Times New Roman" w:hAnsi="Times New Roman" w:eastAsia="仿宋_GB2312"/>
          <w:bCs w:val="0"/>
          <w:color w:val="auto"/>
          <w:sz w:val="32"/>
          <w:szCs w:val="32"/>
          <w:highlight w:val="none"/>
        </w:rPr>
        <w:t xml:space="preserve"> 个，</w:t>
      </w:r>
      <w:r>
        <w:rPr>
          <w:rFonts w:hint="eastAsia" w:ascii="Times New Roman" w:hAnsi="Times New Roman" w:eastAsia="仿宋_GB2312"/>
          <w:bCs w:val="0"/>
          <w:color w:val="auto"/>
          <w:sz w:val="32"/>
          <w:szCs w:val="32"/>
          <w:highlight w:val="none"/>
        </w:rPr>
        <w:t>其中6项为</w:t>
      </w:r>
      <w:r>
        <w:rPr>
          <w:rFonts w:ascii="Times New Roman" w:hAnsi="Times New Roman" w:eastAsia="仿宋_GB2312"/>
          <w:bCs w:val="0"/>
          <w:color w:val="auto"/>
          <w:sz w:val="32"/>
          <w:szCs w:val="32"/>
          <w:highlight w:val="none"/>
        </w:rPr>
        <w:t>近期重点建设项目。</w:t>
      </w:r>
    </w:p>
    <w:p w14:paraId="7FFA6411">
      <w:pPr>
        <w:pStyle w:val="4"/>
        <w:tabs>
          <w:tab w:val="clear" w:pos="0"/>
        </w:tabs>
        <w:spacing w:before="217" w:after="217"/>
        <w:rPr>
          <w:rFonts w:cs="Times New Roman"/>
          <w:color w:val="auto"/>
          <w:highlight w:val="none"/>
        </w:rPr>
      </w:pPr>
      <w:r>
        <w:rPr>
          <w:rFonts w:cs="Times New Roman"/>
          <w:color w:val="auto"/>
          <w:highlight w:val="none"/>
        </w:rPr>
        <w:t>实施保障</w:t>
      </w:r>
    </w:p>
    <w:p w14:paraId="13F4A47D">
      <w:pPr>
        <w:pStyle w:val="25"/>
        <w:spacing w:line="600" w:lineRule="exact"/>
        <w:ind w:firstLine="640" w:firstLineChars="200"/>
        <w:jc w:val="both"/>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加强组织领导，健全管理机制。加强规划宣传，强化公众参与。建立长效机制，推进工作开展。建立健全“一年一体检、五年一评估”规划体检评估机制。</w:t>
      </w:r>
    </w:p>
    <w:p w14:paraId="22523EAD">
      <w:pPr>
        <w:pStyle w:val="2"/>
        <w:keepLines/>
        <w:pageBreakBefore/>
        <w:numPr>
          <w:ilvl w:val="0"/>
          <w:numId w:val="7"/>
        </w:numPr>
        <w:tabs>
          <w:tab w:val="left" w:pos="0"/>
        </w:tabs>
        <w:spacing w:beforeLines="50" w:afterLines="50" w:line="600" w:lineRule="exact"/>
        <w:ind w:firstLine="0"/>
        <w:rPr>
          <w:rFonts w:cs="Times New Roman"/>
          <w:bCs/>
          <w:color w:val="auto"/>
          <w:szCs w:val="36"/>
          <w:highlight w:val="none"/>
        </w:rPr>
      </w:pPr>
      <w:bookmarkStart w:id="135" w:name="_Toc3117"/>
      <w:r>
        <w:rPr>
          <w:rFonts w:cs="Times New Roman"/>
          <w:bCs/>
          <w:color w:val="auto"/>
          <w:szCs w:val="36"/>
          <w:highlight w:val="none"/>
        </w:rPr>
        <w:t>村庄“通则式”规划管理规定</w:t>
      </w:r>
      <w:bookmarkEnd w:id="135"/>
    </w:p>
    <w:p w14:paraId="6C5430C6">
      <w:pPr>
        <w:pStyle w:val="25"/>
        <w:spacing w:line="600" w:lineRule="exact"/>
        <w:ind w:firstLine="640" w:firstLineChars="200"/>
        <w:jc w:val="both"/>
        <w:rPr>
          <w:rFonts w:hint="eastAsia"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村庄</w:t>
      </w:r>
      <w:r>
        <w:rPr>
          <w:rFonts w:hint="eastAsia" w:ascii="Times New Roman" w:hAnsi="Times New Roman" w:eastAsia="仿宋_GB2312"/>
          <w:bCs w:val="0"/>
          <w:color w:val="auto"/>
          <w:sz w:val="32"/>
          <w:szCs w:val="32"/>
          <w:highlight w:val="none"/>
        </w:rPr>
        <w:t>“</w:t>
      </w:r>
      <w:r>
        <w:rPr>
          <w:rFonts w:ascii="Times New Roman" w:hAnsi="Times New Roman" w:eastAsia="仿宋_GB2312"/>
          <w:bCs w:val="0"/>
          <w:color w:val="auto"/>
          <w:sz w:val="32"/>
          <w:szCs w:val="32"/>
          <w:highlight w:val="none"/>
        </w:rPr>
        <w:t>通则式</w:t>
      </w:r>
      <w:r>
        <w:rPr>
          <w:rFonts w:hint="eastAsia" w:ascii="Times New Roman" w:hAnsi="Times New Roman" w:eastAsia="仿宋_GB2312"/>
          <w:bCs w:val="0"/>
          <w:color w:val="auto"/>
          <w:sz w:val="32"/>
          <w:szCs w:val="32"/>
          <w:highlight w:val="none"/>
        </w:rPr>
        <w:t>”</w:t>
      </w:r>
      <w:r>
        <w:rPr>
          <w:rFonts w:ascii="Times New Roman" w:hAnsi="Times New Roman" w:eastAsia="仿宋_GB2312"/>
          <w:bCs w:val="0"/>
          <w:color w:val="auto"/>
          <w:sz w:val="32"/>
          <w:szCs w:val="32"/>
          <w:highlight w:val="none"/>
        </w:rPr>
        <w:t>规划管理规定适用于</w:t>
      </w:r>
      <w:r>
        <w:rPr>
          <w:rFonts w:hint="eastAsia" w:ascii="Times New Roman" w:hAnsi="Times New Roman" w:eastAsia="仿宋_GB2312"/>
          <w:bCs w:val="0"/>
          <w:color w:val="auto"/>
          <w:sz w:val="32"/>
          <w:szCs w:val="32"/>
          <w:highlight w:val="none"/>
        </w:rPr>
        <w:t>桦川县乡镇内未编制村庄规划的行政村，包括</w:t>
      </w:r>
      <w:r>
        <w:rPr>
          <w:rFonts w:ascii="Times New Roman" w:hAnsi="Times New Roman" w:eastAsia="仿宋_GB2312"/>
          <w:bCs w:val="0"/>
          <w:color w:val="auto"/>
          <w:sz w:val="32"/>
          <w:szCs w:val="32"/>
          <w:highlight w:val="none"/>
        </w:rPr>
        <w:t>城镇开发边界外暂不编制村庄规划的村庄</w:t>
      </w:r>
      <w:r>
        <w:rPr>
          <w:rFonts w:hint="eastAsia" w:ascii="Times New Roman" w:hAnsi="Times New Roman" w:eastAsia="仿宋_GB2312"/>
          <w:bCs w:val="0"/>
          <w:color w:val="auto"/>
          <w:sz w:val="32"/>
          <w:szCs w:val="32"/>
          <w:highlight w:val="none"/>
        </w:rPr>
        <w:t>（含乡政府驻地村庄）以及城镇开发边界内（主要为镇政府驻地）未明确城镇化任务的村庄。</w:t>
      </w:r>
      <w:r>
        <w:rPr>
          <w:rFonts w:ascii="Times New Roman" w:hAnsi="Times New Roman" w:eastAsia="仿宋_GB2312"/>
          <w:bCs w:val="0"/>
          <w:color w:val="auto"/>
          <w:sz w:val="32"/>
          <w:szCs w:val="32"/>
          <w:highlight w:val="none"/>
        </w:rPr>
        <w:t>村庄建设项目的规划管理</w:t>
      </w:r>
      <w:r>
        <w:rPr>
          <w:rFonts w:hint="eastAsia" w:ascii="Times New Roman" w:hAnsi="Times New Roman" w:eastAsia="仿宋_GB2312"/>
          <w:bCs w:val="0"/>
          <w:color w:val="auto"/>
          <w:sz w:val="32"/>
          <w:szCs w:val="32"/>
          <w:highlight w:val="none"/>
        </w:rPr>
        <w:t>，</w:t>
      </w:r>
      <w:r>
        <w:rPr>
          <w:rFonts w:ascii="Times New Roman" w:hAnsi="Times New Roman" w:eastAsia="仿宋_GB2312"/>
          <w:bCs w:val="0"/>
          <w:color w:val="auto"/>
          <w:sz w:val="32"/>
          <w:szCs w:val="32"/>
          <w:highlight w:val="none"/>
        </w:rPr>
        <w:t>主要包括宅</w:t>
      </w:r>
      <w:r>
        <w:rPr>
          <w:rFonts w:hint="eastAsia" w:ascii="Times New Roman" w:hAnsi="Times New Roman" w:eastAsia="仿宋_GB2312"/>
          <w:bCs w:val="0"/>
          <w:color w:val="auto"/>
          <w:sz w:val="32"/>
          <w:szCs w:val="32"/>
          <w:highlight w:val="none"/>
        </w:rPr>
        <w:t>基</w:t>
      </w:r>
      <w:r>
        <w:rPr>
          <w:rFonts w:ascii="Times New Roman" w:hAnsi="Times New Roman" w:eastAsia="仿宋_GB2312"/>
          <w:bCs w:val="0"/>
          <w:color w:val="auto"/>
          <w:sz w:val="32"/>
          <w:szCs w:val="32"/>
          <w:highlight w:val="none"/>
        </w:rPr>
        <w:t>地、</w:t>
      </w:r>
      <w:r>
        <w:rPr>
          <w:rFonts w:hint="eastAsia" w:ascii="Times New Roman" w:hAnsi="Times New Roman" w:eastAsia="仿宋_GB2312"/>
          <w:bCs w:val="0"/>
          <w:color w:val="auto"/>
          <w:sz w:val="32"/>
          <w:szCs w:val="32"/>
          <w:highlight w:val="none"/>
        </w:rPr>
        <w:t>公共服务</w:t>
      </w:r>
      <w:r>
        <w:rPr>
          <w:rFonts w:ascii="Times New Roman" w:hAnsi="Times New Roman" w:eastAsia="仿宋_GB2312"/>
          <w:bCs w:val="0"/>
          <w:color w:val="auto"/>
          <w:sz w:val="32"/>
          <w:szCs w:val="32"/>
          <w:highlight w:val="none"/>
        </w:rPr>
        <w:t>设施用地、乡村产业用地</w:t>
      </w:r>
      <w:r>
        <w:rPr>
          <w:rFonts w:hint="eastAsia" w:ascii="Times New Roman" w:hAnsi="Times New Roman" w:eastAsia="仿宋_GB2312"/>
          <w:bCs w:val="0"/>
          <w:color w:val="auto"/>
          <w:sz w:val="32"/>
          <w:szCs w:val="32"/>
          <w:highlight w:val="none"/>
        </w:rPr>
        <w:t>、基础设施用地</w:t>
      </w:r>
      <w:r>
        <w:rPr>
          <w:rFonts w:ascii="Times New Roman" w:hAnsi="Times New Roman" w:eastAsia="仿宋_GB2312"/>
          <w:bCs w:val="0"/>
          <w:color w:val="auto"/>
          <w:sz w:val="32"/>
          <w:szCs w:val="32"/>
          <w:highlight w:val="none"/>
        </w:rPr>
        <w:t>等各类项目的新建、改建、扩建。</w:t>
      </w:r>
      <w:r>
        <w:rPr>
          <w:rFonts w:hint="eastAsia" w:ascii="Times New Roman" w:hAnsi="Times New Roman" w:eastAsia="仿宋_GB2312"/>
          <w:bCs w:val="0"/>
          <w:color w:val="auto"/>
          <w:sz w:val="32"/>
          <w:szCs w:val="32"/>
          <w:highlight w:val="none"/>
        </w:rPr>
        <w:t>已编制并</w:t>
      </w:r>
      <w:r>
        <w:rPr>
          <w:rFonts w:ascii="Times New Roman" w:hAnsi="Times New Roman" w:eastAsia="仿宋_GB2312"/>
          <w:bCs w:val="0"/>
          <w:color w:val="auto"/>
          <w:sz w:val="32"/>
          <w:szCs w:val="32"/>
          <w:highlight w:val="none"/>
        </w:rPr>
        <w:t>依法批准详细规划（村庄规划）</w:t>
      </w:r>
      <w:r>
        <w:rPr>
          <w:rFonts w:hint="eastAsia" w:ascii="Times New Roman" w:hAnsi="Times New Roman" w:eastAsia="仿宋_GB2312"/>
          <w:bCs w:val="0"/>
          <w:color w:val="auto"/>
          <w:sz w:val="32"/>
          <w:szCs w:val="32"/>
          <w:highlight w:val="none"/>
        </w:rPr>
        <w:t>的，以</w:t>
      </w:r>
      <w:r>
        <w:rPr>
          <w:rFonts w:ascii="Times New Roman" w:hAnsi="Times New Roman" w:eastAsia="仿宋_GB2312"/>
          <w:bCs w:val="0"/>
          <w:color w:val="auto"/>
          <w:sz w:val="32"/>
          <w:szCs w:val="32"/>
          <w:highlight w:val="none"/>
        </w:rPr>
        <w:t>详细规划（村庄规划）</w:t>
      </w:r>
      <w:r>
        <w:rPr>
          <w:rFonts w:hint="eastAsia" w:ascii="Times New Roman" w:hAnsi="Times New Roman" w:eastAsia="仿宋_GB2312"/>
          <w:bCs w:val="0"/>
          <w:color w:val="auto"/>
          <w:sz w:val="32"/>
          <w:szCs w:val="32"/>
          <w:highlight w:val="none"/>
        </w:rPr>
        <w:t>为依据。城镇开发边界内及边界处已明确城镇化任务的村庄，可纳入城镇控制性详细规划统筹编制。</w:t>
      </w:r>
    </w:p>
    <w:sectPr>
      <w:headerReference r:id="rId12" w:type="default"/>
      <w:footerReference r:id="rId13"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D7603">
    <w:pPr>
      <w:pStyle w:val="1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FA39A">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FEA7F">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2DD99">
    <w:pPr>
      <w:pStyle w:val="18"/>
      <w:ind w:firstLine="360"/>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v:imagedata o:title=""/>
          <o:lock v:ext="edit" aspectratio="f"/>
          <v:textbox inset="0mm,0mm,0mm,0mm" style="mso-fit-shape-to-text:t;">
            <w:txbxContent>
              <w:p w14:paraId="619DA929">
                <w:pPr>
                  <w:pStyle w:val="18"/>
                  <w:ind w:firstLine="420"/>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rPr>
                  <w:t>III</w:t>
                </w:r>
                <w:r>
                  <w:rPr>
                    <w:rFonts w:hint="eastAsia"/>
                    <w:sz w:val="21"/>
                    <w:szCs w:val="21"/>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35D46">
    <w:pPr>
      <w:pStyle w:val="18"/>
      <w:ind w:firstLine="360"/>
      <w:jc w:val="center"/>
    </w:pP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path/>
          <v:fill on="f" focussize="0,0"/>
          <v:stroke on="f" weight="0.5pt" joinstyle="miter"/>
          <v:imagedata o:title=""/>
          <o:lock v:ext="edit"/>
          <v:textbox inset="0mm,0mm,0mm,0mm" style="mso-fit-shape-to-text:t;">
            <w:txbxContent>
              <w:p w14:paraId="662DB397">
                <w:pPr>
                  <w:pStyle w:val="18"/>
                  <w:ind w:firstLine="360"/>
                </w:pPr>
                <w:r>
                  <w:fldChar w:fldCharType="begin"/>
                </w:r>
                <w:r>
                  <w:instrText xml:space="preserve"> PAGE  \* MERGEFORMAT </w:instrText>
                </w:r>
                <w:r>
                  <w:fldChar w:fldCharType="separate"/>
                </w:r>
                <w:r>
                  <w:t>118</w:t>
                </w:r>
                <w:r>
                  <w:fldChar w:fldCharType="end"/>
                </w:r>
              </w:p>
            </w:txbxContent>
          </v:textbox>
        </v:shape>
      </w:pict>
    </w:r>
  </w:p>
  <w:p w14:paraId="188E20F4">
    <w:pPr>
      <w:pStyle w:val="1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43C0D">
    <w:pPr>
      <w:pStyle w:val="19"/>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76CC6">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6237D">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0A363">
    <w:pPr>
      <w:pStyle w:val="19"/>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78CFB2"/>
    <w:multiLevelType w:val="singleLevel"/>
    <w:tmpl w:val="8C78CFB2"/>
    <w:lvl w:ilvl="0" w:tentative="0">
      <w:start w:val="1"/>
      <w:numFmt w:val="decimal"/>
      <w:pStyle w:val="48"/>
      <w:lvlText w:val="%1."/>
      <w:lvlJc w:val="left"/>
      <w:pPr>
        <w:ind w:left="425" w:hanging="425"/>
      </w:pPr>
    </w:lvl>
  </w:abstractNum>
  <w:abstractNum w:abstractNumId="1">
    <w:nsid w:val="A9CD4D46"/>
    <w:multiLevelType w:val="singleLevel"/>
    <w:tmpl w:val="A9CD4D46"/>
    <w:lvl w:ilvl="0" w:tentative="0">
      <w:start w:val="1"/>
      <w:numFmt w:val="chineseCounting"/>
      <w:pStyle w:val="3"/>
      <w:suff w:val="nothing"/>
      <w:lvlText w:val="第%1节 "/>
      <w:lvlJc w:val="left"/>
      <w:pPr>
        <w:tabs>
          <w:tab w:val="left" w:pos="0"/>
        </w:tabs>
        <w:ind w:left="0" w:firstLine="420"/>
      </w:pPr>
      <w:rPr>
        <w:rFonts w:hint="eastAsia" w:ascii="Times New Roman" w:hAnsi="Times New Roman" w:eastAsia="黑体" w:cs="黑体"/>
        <w:sz w:val="32"/>
        <w:szCs w:val="32"/>
      </w:rPr>
    </w:lvl>
  </w:abstractNum>
  <w:abstractNum w:abstractNumId="2">
    <w:nsid w:val="AC555949"/>
    <w:multiLevelType w:val="singleLevel"/>
    <w:tmpl w:val="AC555949"/>
    <w:lvl w:ilvl="0" w:tentative="0">
      <w:start w:val="1"/>
      <w:numFmt w:val="decimal"/>
      <w:suff w:val="nothing"/>
      <w:lvlText w:val="%1、"/>
      <w:lvlJc w:val="left"/>
    </w:lvl>
  </w:abstractNum>
  <w:abstractNum w:abstractNumId="3">
    <w:nsid w:val="ACF50EC0"/>
    <w:multiLevelType w:val="singleLevel"/>
    <w:tmpl w:val="ACF50EC0"/>
    <w:lvl w:ilvl="0" w:tentative="0">
      <w:start w:val="1"/>
      <w:numFmt w:val="decimal"/>
      <w:suff w:val="nothing"/>
      <w:lvlText w:val="%1、"/>
      <w:lvlJc w:val="left"/>
    </w:lvl>
  </w:abstractNum>
  <w:abstractNum w:abstractNumId="4">
    <w:nsid w:val="AEB3E7D4"/>
    <w:multiLevelType w:val="singleLevel"/>
    <w:tmpl w:val="AEB3E7D4"/>
    <w:lvl w:ilvl="0" w:tentative="0">
      <w:start w:val="1"/>
      <w:numFmt w:val="decimal"/>
      <w:suff w:val="nothing"/>
      <w:lvlText w:val="(%1)"/>
      <w:lvlJc w:val="left"/>
      <w:pPr>
        <w:ind w:left="425" w:hanging="385"/>
      </w:pPr>
      <w:rPr>
        <w:rFonts w:hint="default" w:ascii="仿宋_GB2312" w:hAnsi="仿宋_GB2312" w:eastAsia="仿宋_GB2312"/>
        <w:sz w:val="32"/>
        <w:szCs w:val="32"/>
      </w:rPr>
    </w:lvl>
  </w:abstractNum>
  <w:abstractNum w:abstractNumId="5">
    <w:nsid w:val="DB9A3BB7"/>
    <w:multiLevelType w:val="singleLevel"/>
    <w:tmpl w:val="DB9A3BB7"/>
    <w:lvl w:ilvl="0" w:tentative="0">
      <w:start w:val="1"/>
      <w:numFmt w:val="decimal"/>
      <w:pStyle w:val="5"/>
      <w:lvlText w:val="%1."/>
      <w:lvlJc w:val="left"/>
      <w:pPr>
        <w:ind w:left="16" w:firstLine="624"/>
      </w:pPr>
      <w:rPr>
        <w:rFonts w:hint="default" w:eastAsia="仿宋"/>
      </w:rPr>
    </w:lvl>
  </w:abstractNum>
  <w:abstractNum w:abstractNumId="6">
    <w:nsid w:val="DF5D9F5C"/>
    <w:multiLevelType w:val="singleLevel"/>
    <w:tmpl w:val="DF5D9F5C"/>
    <w:lvl w:ilvl="0" w:tentative="0">
      <w:start w:val="1"/>
      <w:numFmt w:val="chineseCounting"/>
      <w:suff w:val="nothing"/>
      <w:lvlText w:val="第%1节 "/>
      <w:lvlJc w:val="left"/>
      <w:pPr>
        <w:tabs>
          <w:tab w:val="left" w:pos="0"/>
        </w:tabs>
        <w:ind w:left="0" w:firstLine="420"/>
      </w:pPr>
      <w:rPr>
        <w:rFonts w:hint="eastAsia" w:ascii="宋体" w:hAnsi="宋体" w:eastAsia="方正小标宋简体" w:cs="宋体"/>
      </w:rPr>
    </w:lvl>
  </w:abstractNum>
  <w:abstractNum w:abstractNumId="7">
    <w:nsid w:val="E88D7937"/>
    <w:multiLevelType w:val="singleLevel"/>
    <w:tmpl w:val="E88D7937"/>
    <w:lvl w:ilvl="0" w:tentative="0">
      <w:start w:val="1"/>
      <w:numFmt w:val="chineseCounting"/>
      <w:pStyle w:val="2"/>
      <w:suff w:val="nothing"/>
      <w:lvlText w:val="第%1章 "/>
      <w:lvlJc w:val="left"/>
      <w:pPr>
        <w:tabs>
          <w:tab w:val="left" w:pos="5251"/>
        </w:tabs>
        <w:ind w:left="5251" w:firstLine="420"/>
      </w:pPr>
      <w:rPr>
        <w:rFonts w:hint="eastAsia" w:ascii="Times New Roman" w:hAnsi="Times New Roman" w:eastAsia="方正小标宋简体" w:cs="Times New Roman"/>
      </w:rPr>
    </w:lvl>
  </w:abstractNum>
  <w:abstractNum w:abstractNumId="8">
    <w:nsid w:val="F7B50B13"/>
    <w:multiLevelType w:val="singleLevel"/>
    <w:tmpl w:val="F7B50B13"/>
    <w:lvl w:ilvl="0" w:tentative="0">
      <w:start w:val="1"/>
      <w:numFmt w:val="decimal"/>
      <w:pStyle w:val="6"/>
      <w:lvlText w:val="（%1）"/>
      <w:lvlJc w:val="left"/>
      <w:pPr>
        <w:tabs>
          <w:tab w:val="left" w:pos="420"/>
        </w:tabs>
        <w:ind w:left="425" w:hanging="425"/>
      </w:pPr>
      <w:rPr>
        <w:rFonts w:hint="default" w:eastAsia="Times New Roman"/>
      </w:rPr>
    </w:lvl>
  </w:abstractNum>
  <w:abstractNum w:abstractNumId="9">
    <w:nsid w:val="FA4AEBAF"/>
    <w:multiLevelType w:val="multilevel"/>
    <w:tmpl w:val="FA4AEBA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0">
    <w:nsid w:val="0FA64FF9"/>
    <w:multiLevelType w:val="singleLevel"/>
    <w:tmpl w:val="0FA64FF9"/>
    <w:lvl w:ilvl="0" w:tentative="0">
      <w:start w:val="1"/>
      <w:numFmt w:val="decimal"/>
      <w:suff w:val="nothing"/>
      <w:lvlText w:val="(%1)"/>
      <w:lvlJc w:val="left"/>
      <w:pPr>
        <w:ind w:left="425" w:hanging="385"/>
      </w:pPr>
      <w:rPr>
        <w:rFonts w:hint="default" w:ascii="仿宋_GB2312" w:hAnsi="仿宋_GB2312" w:eastAsia="仿宋_GB2312"/>
        <w:sz w:val="32"/>
        <w:szCs w:val="32"/>
      </w:rPr>
    </w:lvl>
  </w:abstractNum>
  <w:abstractNum w:abstractNumId="11">
    <w:nsid w:val="1681101C"/>
    <w:multiLevelType w:val="multilevel"/>
    <w:tmpl w:val="1681101C"/>
    <w:lvl w:ilvl="0" w:tentative="0">
      <w:start w:val="1"/>
      <w:numFmt w:val="decimal"/>
      <w:lvlText w:val="%1."/>
      <w:lvlJc w:val="left"/>
      <w:pPr>
        <w:ind w:left="770" w:hanging="21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12">
    <w:nsid w:val="1D5FA662"/>
    <w:multiLevelType w:val="singleLevel"/>
    <w:tmpl w:val="1D5FA662"/>
    <w:lvl w:ilvl="0" w:tentative="0">
      <w:start w:val="1"/>
      <w:numFmt w:val="decimal"/>
      <w:suff w:val="nothing"/>
      <w:lvlText w:val="(%1)"/>
      <w:lvlJc w:val="left"/>
      <w:pPr>
        <w:ind w:left="425" w:hanging="385"/>
      </w:pPr>
      <w:rPr>
        <w:rFonts w:hint="default" w:ascii="仿宋_GB2312" w:hAnsi="仿宋_GB2312" w:eastAsia="仿宋_GB2312"/>
        <w:sz w:val="32"/>
        <w:szCs w:val="32"/>
      </w:rPr>
    </w:lvl>
  </w:abstractNum>
  <w:abstractNum w:abstractNumId="13">
    <w:nsid w:val="4679E19B"/>
    <w:multiLevelType w:val="singleLevel"/>
    <w:tmpl w:val="4679E19B"/>
    <w:lvl w:ilvl="0" w:tentative="0">
      <w:start w:val="1"/>
      <w:numFmt w:val="decimal"/>
      <w:pStyle w:val="4"/>
      <w:suff w:val="nothing"/>
      <w:lvlText w:val="第%1条 "/>
      <w:lvlJc w:val="left"/>
      <w:pPr>
        <w:tabs>
          <w:tab w:val="left" w:pos="0"/>
        </w:tabs>
        <w:ind w:left="0" w:firstLine="0"/>
      </w:pPr>
      <w:rPr>
        <w:rFonts w:hint="default" w:eastAsia="楷体_GB2312"/>
        <w:b/>
        <w:bCs/>
        <w:sz w:val="32"/>
        <w:szCs w:val="32"/>
      </w:rPr>
    </w:lvl>
  </w:abstractNum>
  <w:abstractNum w:abstractNumId="14">
    <w:nsid w:val="57CDA4FA"/>
    <w:multiLevelType w:val="singleLevel"/>
    <w:tmpl w:val="57CDA4FA"/>
    <w:lvl w:ilvl="0" w:tentative="0">
      <w:start w:val="1"/>
      <w:numFmt w:val="decimal"/>
      <w:suff w:val="nothing"/>
      <w:lvlText w:val="(%1)"/>
      <w:lvlJc w:val="left"/>
      <w:pPr>
        <w:ind w:left="425" w:hanging="385"/>
      </w:pPr>
      <w:rPr>
        <w:rFonts w:hint="default" w:ascii="仿宋_GB2312" w:hAnsi="仿宋_GB2312" w:eastAsia="仿宋_GB2312"/>
        <w:sz w:val="32"/>
        <w:szCs w:val="32"/>
      </w:rPr>
    </w:lvl>
  </w:abstractNum>
  <w:num w:numId="1">
    <w:abstractNumId w:val="7"/>
  </w:num>
  <w:num w:numId="2">
    <w:abstractNumId w:val="1"/>
  </w:num>
  <w:num w:numId="3">
    <w:abstractNumId w:val="13"/>
  </w:num>
  <w:num w:numId="4">
    <w:abstractNumId w:val="5"/>
  </w:num>
  <w:num w:numId="5">
    <w:abstractNumId w:val="8"/>
  </w:num>
  <w:num w:numId="6">
    <w:abstractNumId w:val="0"/>
  </w:num>
  <w:num w:numId="7">
    <w:abstractNumId w:val="9"/>
  </w:num>
  <w:num w:numId="8">
    <w:abstractNumId w:val="11"/>
  </w:num>
  <w:num w:numId="9">
    <w:abstractNumId w:val="10"/>
  </w:num>
  <w:num w:numId="10">
    <w:abstractNumId w:val="4"/>
  </w:num>
  <w:num w:numId="11">
    <w:abstractNumId w:val="12"/>
  </w:num>
  <w:num w:numId="12">
    <w:abstractNumId w:val="14"/>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num>
  <w:num w:numId="17">
    <w:abstractNumId w:val="6"/>
    <w:lvlOverride w:ilvl="0">
      <w:startOverride w:val="1"/>
    </w:lvlOverride>
  </w:num>
  <w:num w:numId="18">
    <w:abstractNumId w:val="2"/>
  </w:num>
  <w:num w:numId="19">
    <w:abstractNumId w:val="3"/>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hideSpellingErrors/>
  <w:documentProtection w:enforcement="0"/>
  <w:defaultTabStop w:val="210"/>
  <w:drawingGridVerticalSpacing w:val="156"/>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JjMGM3ZmM5NzdjYTBhODU0ZmE3NDhmMGEwZWQwZDMifQ=="/>
  </w:docVars>
  <w:rsids>
    <w:rsidRoot w:val="00172A27"/>
    <w:rsid w:val="000002CF"/>
    <w:rsid w:val="000009BA"/>
    <w:rsid w:val="00011D0A"/>
    <w:rsid w:val="00015A63"/>
    <w:rsid w:val="0002081A"/>
    <w:rsid w:val="0002282F"/>
    <w:rsid w:val="00022A17"/>
    <w:rsid w:val="000232C5"/>
    <w:rsid w:val="0002418F"/>
    <w:rsid w:val="000378D4"/>
    <w:rsid w:val="00044193"/>
    <w:rsid w:val="00050532"/>
    <w:rsid w:val="00053BB9"/>
    <w:rsid w:val="0006616F"/>
    <w:rsid w:val="000674AB"/>
    <w:rsid w:val="000752AB"/>
    <w:rsid w:val="00084C3F"/>
    <w:rsid w:val="000874EB"/>
    <w:rsid w:val="000919F0"/>
    <w:rsid w:val="00094738"/>
    <w:rsid w:val="0009485D"/>
    <w:rsid w:val="000B0ED7"/>
    <w:rsid w:val="000B108A"/>
    <w:rsid w:val="000C4555"/>
    <w:rsid w:val="000D1646"/>
    <w:rsid w:val="000D382D"/>
    <w:rsid w:val="000E04AB"/>
    <w:rsid w:val="000E062D"/>
    <w:rsid w:val="000E72EB"/>
    <w:rsid w:val="000F1777"/>
    <w:rsid w:val="000F3D15"/>
    <w:rsid w:val="001039D2"/>
    <w:rsid w:val="00111F0A"/>
    <w:rsid w:val="00114DD4"/>
    <w:rsid w:val="00117619"/>
    <w:rsid w:val="00121E88"/>
    <w:rsid w:val="00123943"/>
    <w:rsid w:val="00132384"/>
    <w:rsid w:val="00133D93"/>
    <w:rsid w:val="00134C57"/>
    <w:rsid w:val="001404E0"/>
    <w:rsid w:val="00145079"/>
    <w:rsid w:val="00150827"/>
    <w:rsid w:val="00154FC6"/>
    <w:rsid w:val="00162DE5"/>
    <w:rsid w:val="001701AB"/>
    <w:rsid w:val="00170647"/>
    <w:rsid w:val="001716A4"/>
    <w:rsid w:val="00172A27"/>
    <w:rsid w:val="0017592D"/>
    <w:rsid w:val="001772F6"/>
    <w:rsid w:val="00187DC5"/>
    <w:rsid w:val="001956E2"/>
    <w:rsid w:val="001A0092"/>
    <w:rsid w:val="001A34F1"/>
    <w:rsid w:val="001A594A"/>
    <w:rsid w:val="001B0387"/>
    <w:rsid w:val="001B7B1A"/>
    <w:rsid w:val="001C2D74"/>
    <w:rsid w:val="001C38D1"/>
    <w:rsid w:val="001C4BEF"/>
    <w:rsid w:val="001C75E9"/>
    <w:rsid w:val="001E4DFD"/>
    <w:rsid w:val="001F0533"/>
    <w:rsid w:val="001F1554"/>
    <w:rsid w:val="001F5825"/>
    <w:rsid w:val="001F78AB"/>
    <w:rsid w:val="001F7CED"/>
    <w:rsid w:val="00201045"/>
    <w:rsid w:val="00203090"/>
    <w:rsid w:val="00206CCF"/>
    <w:rsid w:val="00211672"/>
    <w:rsid w:val="00213046"/>
    <w:rsid w:val="00214FA0"/>
    <w:rsid w:val="00215351"/>
    <w:rsid w:val="00216474"/>
    <w:rsid w:val="00223105"/>
    <w:rsid w:val="00223C1B"/>
    <w:rsid w:val="00234418"/>
    <w:rsid w:val="0023526F"/>
    <w:rsid w:val="0024642C"/>
    <w:rsid w:val="00251163"/>
    <w:rsid w:val="002543B8"/>
    <w:rsid w:val="00257D63"/>
    <w:rsid w:val="0026289D"/>
    <w:rsid w:val="00263FAD"/>
    <w:rsid w:val="002723A0"/>
    <w:rsid w:val="00283621"/>
    <w:rsid w:val="0029033F"/>
    <w:rsid w:val="00292C17"/>
    <w:rsid w:val="00295DE5"/>
    <w:rsid w:val="002A3762"/>
    <w:rsid w:val="002A42EC"/>
    <w:rsid w:val="002A53FB"/>
    <w:rsid w:val="002B2183"/>
    <w:rsid w:val="002B2C19"/>
    <w:rsid w:val="002C1E22"/>
    <w:rsid w:val="002D43DF"/>
    <w:rsid w:val="002D4B13"/>
    <w:rsid w:val="002D74DB"/>
    <w:rsid w:val="003030EB"/>
    <w:rsid w:val="00303101"/>
    <w:rsid w:val="003140B2"/>
    <w:rsid w:val="003204A0"/>
    <w:rsid w:val="00322BC7"/>
    <w:rsid w:val="0032666B"/>
    <w:rsid w:val="0032713C"/>
    <w:rsid w:val="00330733"/>
    <w:rsid w:val="00334A69"/>
    <w:rsid w:val="003478B8"/>
    <w:rsid w:val="00347909"/>
    <w:rsid w:val="003501A4"/>
    <w:rsid w:val="0035151F"/>
    <w:rsid w:val="00361CEF"/>
    <w:rsid w:val="00373521"/>
    <w:rsid w:val="00375C5B"/>
    <w:rsid w:val="00380279"/>
    <w:rsid w:val="0038364A"/>
    <w:rsid w:val="00386E23"/>
    <w:rsid w:val="0039214E"/>
    <w:rsid w:val="003A4B53"/>
    <w:rsid w:val="003B0E03"/>
    <w:rsid w:val="003B4041"/>
    <w:rsid w:val="003C04A5"/>
    <w:rsid w:val="003C4B29"/>
    <w:rsid w:val="003C6552"/>
    <w:rsid w:val="003C7BCC"/>
    <w:rsid w:val="003E29F3"/>
    <w:rsid w:val="003F1326"/>
    <w:rsid w:val="003F7947"/>
    <w:rsid w:val="004031AA"/>
    <w:rsid w:val="004106C8"/>
    <w:rsid w:val="00411B32"/>
    <w:rsid w:val="00420953"/>
    <w:rsid w:val="00422BC5"/>
    <w:rsid w:val="00433ACE"/>
    <w:rsid w:val="0043519D"/>
    <w:rsid w:val="0043584F"/>
    <w:rsid w:val="00437E52"/>
    <w:rsid w:val="0045464F"/>
    <w:rsid w:val="00460BD5"/>
    <w:rsid w:val="004623DD"/>
    <w:rsid w:val="0046773C"/>
    <w:rsid w:val="00470868"/>
    <w:rsid w:val="004736CE"/>
    <w:rsid w:val="00475A5E"/>
    <w:rsid w:val="00486236"/>
    <w:rsid w:val="004909F6"/>
    <w:rsid w:val="00491B0F"/>
    <w:rsid w:val="00494657"/>
    <w:rsid w:val="004A7716"/>
    <w:rsid w:val="004B2CCD"/>
    <w:rsid w:val="004B6A2E"/>
    <w:rsid w:val="004B6F9E"/>
    <w:rsid w:val="004E2140"/>
    <w:rsid w:val="004E73BD"/>
    <w:rsid w:val="004E7673"/>
    <w:rsid w:val="004F063D"/>
    <w:rsid w:val="004F27B7"/>
    <w:rsid w:val="00502C2B"/>
    <w:rsid w:val="005050D5"/>
    <w:rsid w:val="00510815"/>
    <w:rsid w:val="005206E4"/>
    <w:rsid w:val="00521E63"/>
    <w:rsid w:val="0052245E"/>
    <w:rsid w:val="005226F2"/>
    <w:rsid w:val="00522F7E"/>
    <w:rsid w:val="00523C7F"/>
    <w:rsid w:val="005248AE"/>
    <w:rsid w:val="00525E40"/>
    <w:rsid w:val="00545993"/>
    <w:rsid w:val="00553467"/>
    <w:rsid w:val="00556016"/>
    <w:rsid w:val="005629F6"/>
    <w:rsid w:val="00562ED2"/>
    <w:rsid w:val="00574FD6"/>
    <w:rsid w:val="0057532D"/>
    <w:rsid w:val="00576FE9"/>
    <w:rsid w:val="00577184"/>
    <w:rsid w:val="00594CC6"/>
    <w:rsid w:val="00595CC4"/>
    <w:rsid w:val="005A2E0E"/>
    <w:rsid w:val="005C0494"/>
    <w:rsid w:val="005C0930"/>
    <w:rsid w:val="005C2873"/>
    <w:rsid w:val="005C6FD2"/>
    <w:rsid w:val="005D5847"/>
    <w:rsid w:val="005D6398"/>
    <w:rsid w:val="005E0C5D"/>
    <w:rsid w:val="005E36DA"/>
    <w:rsid w:val="005F17E5"/>
    <w:rsid w:val="005F3FB3"/>
    <w:rsid w:val="00602509"/>
    <w:rsid w:val="00604C76"/>
    <w:rsid w:val="00605798"/>
    <w:rsid w:val="00610C8E"/>
    <w:rsid w:val="00613E89"/>
    <w:rsid w:val="00617FED"/>
    <w:rsid w:val="00636DCE"/>
    <w:rsid w:val="00637ADE"/>
    <w:rsid w:val="00640722"/>
    <w:rsid w:val="006416E3"/>
    <w:rsid w:val="006452AD"/>
    <w:rsid w:val="00654182"/>
    <w:rsid w:val="006602B0"/>
    <w:rsid w:val="00661709"/>
    <w:rsid w:val="00662D68"/>
    <w:rsid w:val="0066357C"/>
    <w:rsid w:val="0067067F"/>
    <w:rsid w:val="00676308"/>
    <w:rsid w:val="006810C9"/>
    <w:rsid w:val="006848D5"/>
    <w:rsid w:val="00685DE8"/>
    <w:rsid w:val="00695B2D"/>
    <w:rsid w:val="006963A2"/>
    <w:rsid w:val="00696CBF"/>
    <w:rsid w:val="00697053"/>
    <w:rsid w:val="006A3368"/>
    <w:rsid w:val="006A4A87"/>
    <w:rsid w:val="006B3129"/>
    <w:rsid w:val="006C50BF"/>
    <w:rsid w:val="006D2291"/>
    <w:rsid w:val="006D4401"/>
    <w:rsid w:val="006D5F18"/>
    <w:rsid w:val="006D6EC1"/>
    <w:rsid w:val="006E0B71"/>
    <w:rsid w:val="006E438F"/>
    <w:rsid w:val="006E7977"/>
    <w:rsid w:val="006F242E"/>
    <w:rsid w:val="006F4FEA"/>
    <w:rsid w:val="0070029D"/>
    <w:rsid w:val="00703A49"/>
    <w:rsid w:val="007041EC"/>
    <w:rsid w:val="00705C66"/>
    <w:rsid w:val="007101B7"/>
    <w:rsid w:val="007107C4"/>
    <w:rsid w:val="00717C5C"/>
    <w:rsid w:val="00723B31"/>
    <w:rsid w:val="00730508"/>
    <w:rsid w:val="00732DBD"/>
    <w:rsid w:val="0074512D"/>
    <w:rsid w:val="00750124"/>
    <w:rsid w:val="00750A42"/>
    <w:rsid w:val="00756A90"/>
    <w:rsid w:val="00757AF7"/>
    <w:rsid w:val="007648CD"/>
    <w:rsid w:val="00772F18"/>
    <w:rsid w:val="00776535"/>
    <w:rsid w:val="00777894"/>
    <w:rsid w:val="00777DD2"/>
    <w:rsid w:val="00781955"/>
    <w:rsid w:val="00784C49"/>
    <w:rsid w:val="00784F41"/>
    <w:rsid w:val="00787623"/>
    <w:rsid w:val="007A157F"/>
    <w:rsid w:val="007A78AA"/>
    <w:rsid w:val="007D6A53"/>
    <w:rsid w:val="007D732F"/>
    <w:rsid w:val="007D7953"/>
    <w:rsid w:val="007E0605"/>
    <w:rsid w:val="007E3B34"/>
    <w:rsid w:val="007E615F"/>
    <w:rsid w:val="007E65E4"/>
    <w:rsid w:val="007F1CEA"/>
    <w:rsid w:val="007F1D16"/>
    <w:rsid w:val="00803D6E"/>
    <w:rsid w:val="0081003D"/>
    <w:rsid w:val="008100DB"/>
    <w:rsid w:val="008103A8"/>
    <w:rsid w:val="00833052"/>
    <w:rsid w:val="008405F9"/>
    <w:rsid w:val="00840B56"/>
    <w:rsid w:val="008550EC"/>
    <w:rsid w:val="00857AED"/>
    <w:rsid w:val="0086040C"/>
    <w:rsid w:val="00860F51"/>
    <w:rsid w:val="00864266"/>
    <w:rsid w:val="00873840"/>
    <w:rsid w:val="00873B62"/>
    <w:rsid w:val="00873C0C"/>
    <w:rsid w:val="00873D6E"/>
    <w:rsid w:val="00874C24"/>
    <w:rsid w:val="008800CE"/>
    <w:rsid w:val="00881528"/>
    <w:rsid w:val="00881C72"/>
    <w:rsid w:val="00882236"/>
    <w:rsid w:val="008860AE"/>
    <w:rsid w:val="00893F58"/>
    <w:rsid w:val="008971C8"/>
    <w:rsid w:val="008A4DC2"/>
    <w:rsid w:val="008A7AD4"/>
    <w:rsid w:val="008B4414"/>
    <w:rsid w:val="008B7B39"/>
    <w:rsid w:val="008B7B3E"/>
    <w:rsid w:val="008D03E4"/>
    <w:rsid w:val="008D5221"/>
    <w:rsid w:val="008E279E"/>
    <w:rsid w:val="008F02F0"/>
    <w:rsid w:val="008F6272"/>
    <w:rsid w:val="00903D7B"/>
    <w:rsid w:val="00906732"/>
    <w:rsid w:val="00916E66"/>
    <w:rsid w:val="00927150"/>
    <w:rsid w:val="00927DB7"/>
    <w:rsid w:val="00930E48"/>
    <w:rsid w:val="009408CB"/>
    <w:rsid w:val="009424B1"/>
    <w:rsid w:val="00952DD0"/>
    <w:rsid w:val="0095512C"/>
    <w:rsid w:val="009551D5"/>
    <w:rsid w:val="00956B84"/>
    <w:rsid w:val="00957ABD"/>
    <w:rsid w:val="00961361"/>
    <w:rsid w:val="00971178"/>
    <w:rsid w:val="0097169A"/>
    <w:rsid w:val="0099097E"/>
    <w:rsid w:val="009912C4"/>
    <w:rsid w:val="00995A1F"/>
    <w:rsid w:val="009A068B"/>
    <w:rsid w:val="009A19EC"/>
    <w:rsid w:val="009A3D6D"/>
    <w:rsid w:val="009B0188"/>
    <w:rsid w:val="009B0E32"/>
    <w:rsid w:val="009B3143"/>
    <w:rsid w:val="009B4A51"/>
    <w:rsid w:val="009B696D"/>
    <w:rsid w:val="009C1969"/>
    <w:rsid w:val="009C1CC5"/>
    <w:rsid w:val="009C3D97"/>
    <w:rsid w:val="009C584A"/>
    <w:rsid w:val="009D08E9"/>
    <w:rsid w:val="009D4A19"/>
    <w:rsid w:val="009D4B7E"/>
    <w:rsid w:val="009E1D3A"/>
    <w:rsid w:val="009E5F87"/>
    <w:rsid w:val="009E7C0D"/>
    <w:rsid w:val="009F04BA"/>
    <w:rsid w:val="009F1FDB"/>
    <w:rsid w:val="00A03D67"/>
    <w:rsid w:val="00A05F93"/>
    <w:rsid w:val="00A160CF"/>
    <w:rsid w:val="00A16892"/>
    <w:rsid w:val="00A20FE2"/>
    <w:rsid w:val="00A21F7E"/>
    <w:rsid w:val="00A22C5F"/>
    <w:rsid w:val="00A234BA"/>
    <w:rsid w:val="00A23609"/>
    <w:rsid w:val="00A31DB4"/>
    <w:rsid w:val="00A54AF1"/>
    <w:rsid w:val="00A572CE"/>
    <w:rsid w:val="00A66894"/>
    <w:rsid w:val="00A745E1"/>
    <w:rsid w:val="00A74D00"/>
    <w:rsid w:val="00A74EE9"/>
    <w:rsid w:val="00A81920"/>
    <w:rsid w:val="00A83721"/>
    <w:rsid w:val="00A870BD"/>
    <w:rsid w:val="00A973EF"/>
    <w:rsid w:val="00AA1E25"/>
    <w:rsid w:val="00AA22F5"/>
    <w:rsid w:val="00AA2807"/>
    <w:rsid w:val="00AA345C"/>
    <w:rsid w:val="00AA7069"/>
    <w:rsid w:val="00AB4EBB"/>
    <w:rsid w:val="00AC2E6F"/>
    <w:rsid w:val="00AC418A"/>
    <w:rsid w:val="00AC5499"/>
    <w:rsid w:val="00AD19B7"/>
    <w:rsid w:val="00AD1E9B"/>
    <w:rsid w:val="00AE0D69"/>
    <w:rsid w:val="00AE4625"/>
    <w:rsid w:val="00AF238E"/>
    <w:rsid w:val="00AF353F"/>
    <w:rsid w:val="00B012DE"/>
    <w:rsid w:val="00B02525"/>
    <w:rsid w:val="00B117CE"/>
    <w:rsid w:val="00B13945"/>
    <w:rsid w:val="00B1690B"/>
    <w:rsid w:val="00B2077A"/>
    <w:rsid w:val="00B25226"/>
    <w:rsid w:val="00B26B48"/>
    <w:rsid w:val="00B276D5"/>
    <w:rsid w:val="00B36A56"/>
    <w:rsid w:val="00B37B07"/>
    <w:rsid w:val="00B4293E"/>
    <w:rsid w:val="00B473D0"/>
    <w:rsid w:val="00B50604"/>
    <w:rsid w:val="00B51B23"/>
    <w:rsid w:val="00B61A3E"/>
    <w:rsid w:val="00B61C41"/>
    <w:rsid w:val="00B65337"/>
    <w:rsid w:val="00B803CB"/>
    <w:rsid w:val="00B85A51"/>
    <w:rsid w:val="00B8693F"/>
    <w:rsid w:val="00BA327C"/>
    <w:rsid w:val="00BA41D0"/>
    <w:rsid w:val="00BC0C99"/>
    <w:rsid w:val="00BC14AF"/>
    <w:rsid w:val="00BC6C0A"/>
    <w:rsid w:val="00BC6CE1"/>
    <w:rsid w:val="00BD65C6"/>
    <w:rsid w:val="00BE6106"/>
    <w:rsid w:val="00BE708E"/>
    <w:rsid w:val="00BF2986"/>
    <w:rsid w:val="00BF7787"/>
    <w:rsid w:val="00C33C5D"/>
    <w:rsid w:val="00C36A05"/>
    <w:rsid w:val="00C4148E"/>
    <w:rsid w:val="00C432A3"/>
    <w:rsid w:val="00C5101F"/>
    <w:rsid w:val="00C515A3"/>
    <w:rsid w:val="00C617EB"/>
    <w:rsid w:val="00C6410A"/>
    <w:rsid w:val="00C668B0"/>
    <w:rsid w:val="00C66BD5"/>
    <w:rsid w:val="00C70C10"/>
    <w:rsid w:val="00C7116B"/>
    <w:rsid w:val="00C738ED"/>
    <w:rsid w:val="00C7501A"/>
    <w:rsid w:val="00C75483"/>
    <w:rsid w:val="00C776B2"/>
    <w:rsid w:val="00C81379"/>
    <w:rsid w:val="00C81574"/>
    <w:rsid w:val="00C81CC7"/>
    <w:rsid w:val="00C86C41"/>
    <w:rsid w:val="00CB198A"/>
    <w:rsid w:val="00CB493F"/>
    <w:rsid w:val="00CC512D"/>
    <w:rsid w:val="00CD1222"/>
    <w:rsid w:val="00CD232F"/>
    <w:rsid w:val="00CD4ACF"/>
    <w:rsid w:val="00CD6CAC"/>
    <w:rsid w:val="00CE01D1"/>
    <w:rsid w:val="00CE274F"/>
    <w:rsid w:val="00CE662D"/>
    <w:rsid w:val="00CF7C8E"/>
    <w:rsid w:val="00D01BEE"/>
    <w:rsid w:val="00D03C00"/>
    <w:rsid w:val="00D23AD9"/>
    <w:rsid w:val="00D251A2"/>
    <w:rsid w:val="00D258F0"/>
    <w:rsid w:val="00D3120E"/>
    <w:rsid w:val="00D34ABE"/>
    <w:rsid w:val="00D355FA"/>
    <w:rsid w:val="00D379DB"/>
    <w:rsid w:val="00D4099A"/>
    <w:rsid w:val="00D41184"/>
    <w:rsid w:val="00D42BDB"/>
    <w:rsid w:val="00D5059B"/>
    <w:rsid w:val="00D54353"/>
    <w:rsid w:val="00D60050"/>
    <w:rsid w:val="00D62C1E"/>
    <w:rsid w:val="00D64228"/>
    <w:rsid w:val="00D65ADE"/>
    <w:rsid w:val="00D67026"/>
    <w:rsid w:val="00D842B6"/>
    <w:rsid w:val="00D8729E"/>
    <w:rsid w:val="00D94664"/>
    <w:rsid w:val="00DA51F1"/>
    <w:rsid w:val="00DA5E63"/>
    <w:rsid w:val="00DB1C00"/>
    <w:rsid w:val="00DB4DF9"/>
    <w:rsid w:val="00DB6612"/>
    <w:rsid w:val="00DC34CE"/>
    <w:rsid w:val="00DD0840"/>
    <w:rsid w:val="00DD4375"/>
    <w:rsid w:val="00DE2438"/>
    <w:rsid w:val="00DE4326"/>
    <w:rsid w:val="00DE7782"/>
    <w:rsid w:val="00DF00A0"/>
    <w:rsid w:val="00DF2F0B"/>
    <w:rsid w:val="00DF7CAC"/>
    <w:rsid w:val="00E046B2"/>
    <w:rsid w:val="00E05A75"/>
    <w:rsid w:val="00E10767"/>
    <w:rsid w:val="00E107C2"/>
    <w:rsid w:val="00E11F4B"/>
    <w:rsid w:val="00E16259"/>
    <w:rsid w:val="00E2044B"/>
    <w:rsid w:val="00E30D7A"/>
    <w:rsid w:val="00E37EEF"/>
    <w:rsid w:val="00E4421B"/>
    <w:rsid w:val="00E47842"/>
    <w:rsid w:val="00E50098"/>
    <w:rsid w:val="00E536D7"/>
    <w:rsid w:val="00E5589A"/>
    <w:rsid w:val="00E62BB2"/>
    <w:rsid w:val="00E65D92"/>
    <w:rsid w:val="00E758A7"/>
    <w:rsid w:val="00E76002"/>
    <w:rsid w:val="00E86409"/>
    <w:rsid w:val="00E91139"/>
    <w:rsid w:val="00EA2558"/>
    <w:rsid w:val="00EA75B8"/>
    <w:rsid w:val="00EB0B8C"/>
    <w:rsid w:val="00EB1413"/>
    <w:rsid w:val="00EB179D"/>
    <w:rsid w:val="00EB3354"/>
    <w:rsid w:val="00EB5A30"/>
    <w:rsid w:val="00EB69D6"/>
    <w:rsid w:val="00EC1EBC"/>
    <w:rsid w:val="00EC52F8"/>
    <w:rsid w:val="00ED1015"/>
    <w:rsid w:val="00ED22A9"/>
    <w:rsid w:val="00ED3D6E"/>
    <w:rsid w:val="00ED3F21"/>
    <w:rsid w:val="00ED7511"/>
    <w:rsid w:val="00ED7F9E"/>
    <w:rsid w:val="00EE0195"/>
    <w:rsid w:val="00EE265E"/>
    <w:rsid w:val="00EE4E64"/>
    <w:rsid w:val="00EE7E4B"/>
    <w:rsid w:val="00EF0399"/>
    <w:rsid w:val="00EF3862"/>
    <w:rsid w:val="00F02320"/>
    <w:rsid w:val="00F03878"/>
    <w:rsid w:val="00F04CB5"/>
    <w:rsid w:val="00F053FB"/>
    <w:rsid w:val="00F12A57"/>
    <w:rsid w:val="00F13839"/>
    <w:rsid w:val="00F15E7D"/>
    <w:rsid w:val="00F22F63"/>
    <w:rsid w:val="00F30500"/>
    <w:rsid w:val="00F322F8"/>
    <w:rsid w:val="00F414CB"/>
    <w:rsid w:val="00F4769C"/>
    <w:rsid w:val="00F47B3F"/>
    <w:rsid w:val="00F53DFA"/>
    <w:rsid w:val="00F602D4"/>
    <w:rsid w:val="00F61033"/>
    <w:rsid w:val="00F6275D"/>
    <w:rsid w:val="00F62BE7"/>
    <w:rsid w:val="00F70040"/>
    <w:rsid w:val="00F7195E"/>
    <w:rsid w:val="00F729EF"/>
    <w:rsid w:val="00F73A1A"/>
    <w:rsid w:val="00F74B9C"/>
    <w:rsid w:val="00F80C5F"/>
    <w:rsid w:val="00F814A7"/>
    <w:rsid w:val="00F82208"/>
    <w:rsid w:val="00F85629"/>
    <w:rsid w:val="00F92519"/>
    <w:rsid w:val="00F927AA"/>
    <w:rsid w:val="00F92862"/>
    <w:rsid w:val="00F94559"/>
    <w:rsid w:val="00F96109"/>
    <w:rsid w:val="00F96D6E"/>
    <w:rsid w:val="00FA4DD6"/>
    <w:rsid w:val="00FB29F6"/>
    <w:rsid w:val="00FB42F7"/>
    <w:rsid w:val="00FB4590"/>
    <w:rsid w:val="00FB4E7C"/>
    <w:rsid w:val="00FC0C0C"/>
    <w:rsid w:val="00FC3109"/>
    <w:rsid w:val="00FC5379"/>
    <w:rsid w:val="00FD1235"/>
    <w:rsid w:val="00FE1BCC"/>
    <w:rsid w:val="00FE375C"/>
    <w:rsid w:val="00FE7F10"/>
    <w:rsid w:val="00FF1572"/>
    <w:rsid w:val="00FF2E84"/>
    <w:rsid w:val="00FF795A"/>
    <w:rsid w:val="010E4D53"/>
    <w:rsid w:val="01124329"/>
    <w:rsid w:val="01211109"/>
    <w:rsid w:val="01254FBE"/>
    <w:rsid w:val="01255120"/>
    <w:rsid w:val="014A1C5D"/>
    <w:rsid w:val="01565F62"/>
    <w:rsid w:val="015C799D"/>
    <w:rsid w:val="01867942"/>
    <w:rsid w:val="019E4ED3"/>
    <w:rsid w:val="01B92907"/>
    <w:rsid w:val="01C8187D"/>
    <w:rsid w:val="02051702"/>
    <w:rsid w:val="020B4644"/>
    <w:rsid w:val="024B3ADB"/>
    <w:rsid w:val="025B5FE7"/>
    <w:rsid w:val="026D4C89"/>
    <w:rsid w:val="02C32E43"/>
    <w:rsid w:val="02D037B2"/>
    <w:rsid w:val="02D65F29"/>
    <w:rsid w:val="02D86315"/>
    <w:rsid w:val="02E56A49"/>
    <w:rsid w:val="02F55684"/>
    <w:rsid w:val="03004097"/>
    <w:rsid w:val="03151431"/>
    <w:rsid w:val="03457CFC"/>
    <w:rsid w:val="03561F09"/>
    <w:rsid w:val="03A40867"/>
    <w:rsid w:val="03C020B7"/>
    <w:rsid w:val="03D461F6"/>
    <w:rsid w:val="03D472D2"/>
    <w:rsid w:val="03FB03BA"/>
    <w:rsid w:val="0405748B"/>
    <w:rsid w:val="0414781A"/>
    <w:rsid w:val="042207A6"/>
    <w:rsid w:val="04376E88"/>
    <w:rsid w:val="045A602D"/>
    <w:rsid w:val="0465461E"/>
    <w:rsid w:val="04A874B9"/>
    <w:rsid w:val="04AC5B58"/>
    <w:rsid w:val="04D360AB"/>
    <w:rsid w:val="04DA6F87"/>
    <w:rsid w:val="050815D5"/>
    <w:rsid w:val="050A47E7"/>
    <w:rsid w:val="057E58BF"/>
    <w:rsid w:val="05FE4192"/>
    <w:rsid w:val="061D6D0E"/>
    <w:rsid w:val="06365FBA"/>
    <w:rsid w:val="06787900"/>
    <w:rsid w:val="067B1C86"/>
    <w:rsid w:val="06A3767D"/>
    <w:rsid w:val="07416FEF"/>
    <w:rsid w:val="07584D1B"/>
    <w:rsid w:val="075C7F64"/>
    <w:rsid w:val="077246F4"/>
    <w:rsid w:val="07754051"/>
    <w:rsid w:val="077B7B58"/>
    <w:rsid w:val="077E5E75"/>
    <w:rsid w:val="07853406"/>
    <w:rsid w:val="079254DA"/>
    <w:rsid w:val="07B60104"/>
    <w:rsid w:val="07C448CE"/>
    <w:rsid w:val="07C87639"/>
    <w:rsid w:val="07EE0D71"/>
    <w:rsid w:val="08275E02"/>
    <w:rsid w:val="0831488A"/>
    <w:rsid w:val="08634780"/>
    <w:rsid w:val="087921F6"/>
    <w:rsid w:val="087D73BC"/>
    <w:rsid w:val="089D1DED"/>
    <w:rsid w:val="089D3380"/>
    <w:rsid w:val="089F1491"/>
    <w:rsid w:val="08CE5EA0"/>
    <w:rsid w:val="08D11048"/>
    <w:rsid w:val="08D8598F"/>
    <w:rsid w:val="08D85C23"/>
    <w:rsid w:val="08DD0629"/>
    <w:rsid w:val="08E21B49"/>
    <w:rsid w:val="08E939E4"/>
    <w:rsid w:val="08FB43F5"/>
    <w:rsid w:val="091921B9"/>
    <w:rsid w:val="09624B9B"/>
    <w:rsid w:val="097719F7"/>
    <w:rsid w:val="09A30B9F"/>
    <w:rsid w:val="09F13277"/>
    <w:rsid w:val="09F2400E"/>
    <w:rsid w:val="09F764F5"/>
    <w:rsid w:val="09F96F16"/>
    <w:rsid w:val="09FC74A5"/>
    <w:rsid w:val="0A264AC3"/>
    <w:rsid w:val="0A3A0A98"/>
    <w:rsid w:val="0A6A0880"/>
    <w:rsid w:val="0A926513"/>
    <w:rsid w:val="0ABA2D7D"/>
    <w:rsid w:val="0AF02C43"/>
    <w:rsid w:val="0AF65D7F"/>
    <w:rsid w:val="0B0E0CE8"/>
    <w:rsid w:val="0B7A2B83"/>
    <w:rsid w:val="0B825C9B"/>
    <w:rsid w:val="0BAB4DCA"/>
    <w:rsid w:val="0BC400BF"/>
    <w:rsid w:val="0BC419DA"/>
    <w:rsid w:val="0BD95485"/>
    <w:rsid w:val="0BDC0CB8"/>
    <w:rsid w:val="0BE047A4"/>
    <w:rsid w:val="0BF40511"/>
    <w:rsid w:val="0C1F3548"/>
    <w:rsid w:val="0C2117C9"/>
    <w:rsid w:val="0C292CE2"/>
    <w:rsid w:val="0C496FD7"/>
    <w:rsid w:val="0C4D24C7"/>
    <w:rsid w:val="0C5B47B9"/>
    <w:rsid w:val="0CC07A03"/>
    <w:rsid w:val="0CD10852"/>
    <w:rsid w:val="0CEC2875"/>
    <w:rsid w:val="0CFC66EB"/>
    <w:rsid w:val="0D2865FC"/>
    <w:rsid w:val="0D320D60"/>
    <w:rsid w:val="0D4F31B0"/>
    <w:rsid w:val="0D5F7C0C"/>
    <w:rsid w:val="0D765D70"/>
    <w:rsid w:val="0D785F4C"/>
    <w:rsid w:val="0DBB2A8C"/>
    <w:rsid w:val="0DC2741A"/>
    <w:rsid w:val="0DE760DE"/>
    <w:rsid w:val="0DF65820"/>
    <w:rsid w:val="0E2A1FC8"/>
    <w:rsid w:val="0E5928AD"/>
    <w:rsid w:val="0E77364F"/>
    <w:rsid w:val="0E903D27"/>
    <w:rsid w:val="0E931FF6"/>
    <w:rsid w:val="0EA63619"/>
    <w:rsid w:val="0EB16629"/>
    <w:rsid w:val="0ED45F88"/>
    <w:rsid w:val="0ED52770"/>
    <w:rsid w:val="0EE213FB"/>
    <w:rsid w:val="0EE25498"/>
    <w:rsid w:val="0F024913"/>
    <w:rsid w:val="0F2E18BA"/>
    <w:rsid w:val="0F2F5002"/>
    <w:rsid w:val="0F3155D8"/>
    <w:rsid w:val="0F5A4B2F"/>
    <w:rsid w:val="0F6779BA"/>
    <w:rsid w:val="0F6F43D6"/>
    <w:rsid w:val="0F7B5503"/>
    <w:rsid w:val="0F8C0A60"/>
    <w:rsid w:val="0FD20B69"/>
    <w:rsid w:val="0FF92BB4"/>
    <w:rsid w:val="10241965"/>
    <w:rsid w:val="103417CC"/>
    <w:rsid w:val="10481714"/>
    <w:rsid w:val="106B1E26"/>
    <w:rsid w:val="10736883"/>
    <w:rsid w:val="10AE6EA3"/>
    <w:rsid w:val="10AF4A06"/>
    <w:rsid w:val="10B575C1"/>
    <w:rsid w:val="10CA2244"/>
    <w:rsid w:val="10CA34A9"/>
    <w:rsid w:val="10EF1B20"/>
    <w:rsid w:val="10EF2917"/>
    <w:rsid w:val="10EF71F3"/>
    <w:rsid w:val="1111746F"/>
    <w:rsid w:val="11255B4A"/>
    <w:rsid w:val="11871774"/>
    <w:rsid w:val="119A35A3"/>
    <w:rsid w:val="119F765D"/>
    <w:rsid w:val="11AB78C4"/>
    <w:rsid w:val="11B04894"/>
    <w:rsid w:val="11B147AE"/>
    <w:rsid w:val="11B6302E"/>
    <w:rsid w:val="11C26467"/>
    <w:rsid w:val="11C75EE6"/>
    <w:rsid w:val="11D87F8D"/>
    <w:rsid w:val="12156CD0"/>
    <w:rsid w:val="123D56BC"/>
    <w:rsid w:val="123D6042"/>
    <w:rsid w:val="124101AC"/>
    <w:rsid w:val="125F642E"/>
    <w:rsid w:val="1281567D"/>
    <w:rsid w:val="12ED1A89"/>
    <w:rsid w:val="130628D8"/>
    <w:rsid w:val="13387235"/>
    <w:rsid w:val="134062E2"/>
    <w:rsid w:val="13491F38"/>
    <w:rsid w:val="136E5697"/>
    <w:rsid w:val="136F319C"/>
    <w:rsid w:val="137361BF"/>
    <w:rsid w:val="13D53D80"/>
    <w:rsid w:val="141F09F7"/>
    <w:rsid w:val="144163E7"/>
    <w:rsid w:val="144634A1"/>
    <w:rsid w:val="144D3B62"/>
    <w:rsid w:val="1460054A"/>
    <w:rsid w:val="14821FC3"/>
    <w:rsid w:val="149D2E77"/>
    <w:rsid w:val="14A17670"/>
    <w:rsid w:val="14DF543A"/>
    <w:rsid w:val="150231EA"/>
    <w:rsid w:val="15156989"/>
    <w:rsid w:val="152027C1"/>
    <w:rsid w:val="153656F6"/>
    <w:rsid w:val="154C5C39"/>
    <w:rsid w:val="155A153B"/>
    <w:rsid w:val="15610299"/>
    <w:rsid w:val="15701826"/>
    <w:rsid w:val="15B057C9"/>
    <w:rsid w:val="15B30AF5"/>
    <w:rsid w:val="15EF58A5"/>
    <w:rsid w:val="15F12844"/>
    <w:rsid w:val="160628F7"/>
    <w:rsid w:val="16361726"/>
    <w:rsid w:val="1664374B"/>
    <w:rsid w:val="16760F0A"/>
    <w:rsid w:val="167A5C9B"/>
    <w:rsid w:val="16A30A85"/>
    <w:rsid w:val="16CD42DD"/>
    <w:rsid w:val="17173A55"/>
    <w:rsid w:val="171D6AAE"/>
    <w:rsid w:val="172C5A3F"/>
    <w:rsid w:val="172C68EF"/>
    <w:rsid w:val="175C6F6A"/>
    <w:rsid w:val="17936E30"/>
    <w:rsid w:val="17CF598E"/>
    <w:rsid w:val="17D411F6"/>
    <w:rsid w:val="17E314B1"/>
    <w:rsid w:val="17FF3912"/>
    <w:rsid w:val="1842431E"/>
    <w:rsid w:val="1853608A"/>
    <w:rsid w:val="187728E0"/>
    <w:rsid w:val="18884A51"/>
    <w:rsid w:val="189D6C9B"/>
    <w:rsid w:val="18AA4798"/>
    <w:rsid w:val="18AF3E8C"/>
    <w:rsid w:val="18CD2AC4"/>
    <w:rsid w:val="18EB1E70"/>
    <w:rsid w:val="19042187"/>
    <w:rsid w:val="19053D5D"/>
    <w:rsid w:val="1929682A"/>
    <w:rsid w:val="194908BC"/>
    <w:rsid w:val="195F3470"/>
    <w:rsid w:val="19810ABA"/>
    <w:rsid w:val="19DA018F"/>
    <w:rsid w:val="19E70EBD"/>
    <w:rsid w:val="1A475CB0"/>
    <w:rsid w:val="1AAE7509"/>
    <w:rsid w:val="1ACD483F"/>
    <w:rsid w:val="1B021A10"/>
    <w:rsid w:val="1B184F98"/>
    <w:rsid w:val="1B4953EA"/>
    <w:rsid w:val="1B4F4EBB"/>
    <w:rsid w:val="1B654F02"/>
    <w:rsid w:val="1BA24B1A"/>
    <w:rsid w:val="1BD9327F"/>
    <w:rsid w:val="1BE84C2F"/>
    <w:rsid w:val="1BF754B3"/>
    <w:rsid w:val="1C0B18E9"/>
    <w:rsid w:val="1C0E51ED"/>
    <w:rsid w:val="1C4F548D"/>
    <w:rsid w:val="1C505DBD"/>
    <w:rsid w:val="1C5E6904"/>
    <w:rsid w:val="1C7B53B3"/>
    <w:rsid w:val="1C896A53"/>
    <w:rsid w:val="1C9F6443"/>
    <w:rsid w:val="1CB47F0A"/>
    <w:rsid w:val="1CC96E50"/>
    <w:rsid w:val="1CED1426"/>
    <w:rsid w:val="1CFD4D4B"/>
    <w:rsid w:val="1D574985"/>
    <w:rsid w:val="1D962695"/>
    <w:rsid w:val="1DB359C7"/>
    <w:rsid w:val="1DCA27EC"/>
    <w:rsid w:val="1E47114D"/>
    <w:rsid w:val="1E480656"/>
    <w:rsid w:val="1E5E6AC9"/>
    <w:rsid w:val="1E640CDF"/>
    <w:rsid w:val="1E6A4663"/>
    <w:rsid w:val="1E9D5B48"/>
    <w:rsid w:val="1EBD4792"/>
    <w:rsid w:val="1ECE2E43"/>
    <w:rsid w:val="1ED74998"/>
    <w:rsid w:val="1EE62D24"/>
    <w:rsid w:val="1EE93F77"/>
    <w:rsid w:val="1F0B0517"/>
    <w:rsid w:val="1F3A6268"/>
    <w:rsid w:val="1F613E2C"/>
    <w:rsid w:val="1F7312F5"/>
    <w:rsid w:val="1F7A2B75"/>
    <w:rsid w:val="1F7F2413"/>
    <w:rsid w:val="1F923E71"/>
    <w:rsid w:val="1FBE3258"/>
    <w:rsid w:val="1FD2749C"/>
    <w:rsid w:val="1FEB532F"/>
    <w:rsid w:val="1FF561AE"/>
    <w:rsid w:val="204B3F7C"/>
    <w:rsid w:val="205F07D1"/>
    <w:rsid w:val="20711637"/>
    <w:rsid w:val="20711CD8"/>
    <w:rsid w:val="20784E15"/>
    <w:rsid w:val="20B114DC"/>
    <w:rsid w:val="20F2221A"/>
    <w:rsid w:val="210866F9"/>
    <w:rsid w:val="21617ECC"/>
    <w:rsid w:val="217B1047"/>
    <w:rsid w:val="21A40DF1"/>
    <w:rsid w:val="21A9456B"/>
    <w:rsid w:val="21B03333"/>
    <w:rsid w:val="21B606A0"/>
    <w:rsid w:val="21D818E3"/>
    <w:rsid w:val="220B7F0B"/>
    <w:rsid w:val="220C77CE"/>
    <w:rsid w:val="22132F98"/>
    <w:rsid w:val="22223B71"/>
    <w:rsid w:val="22681BE2"/>
    <w:rsid w:val="228D26CE"/>
    <w:rsid w:val="22C00CF5"/>
    <w:rsid w:val="22E4624E"/>
    <w:rsid w:val="22F776BB"/>
    <w:rsid w:val="23063BA0"/>
    <w:rsid w:val="2315485B"/>
    <w:rsid w:val="231921B3"/>
    <w:rsid w:val="23580E86"/>
    <w:rsid w:val="235F41EA"/>
    <w:rsid w:val="23696C97"/>
    <w:rsid w:val="236C6653"/>
    <w:rsid w:val="237E0B9E"/>
    <w:rsid w:val="23820B98"/>
    <w:rsid w:val="23902423"/>
    <w:rsid w:val="23B5012E"/>
    <w:rsid w:val="23C640E9"/>
    <w:rsid w:val="23CA34BF"/>
    <w:rsid w:val="23F70746"/>
    <w:rsid w:val="24160199"/>
    <w:rsid w:val="249C4E4A"/>
    <w:rsid w:val="24CD3820"/>
    <w:rsid w:val="24D94A37"/>
    <w:rsid w:val="250D0645"/>
    <w:rsid w:val="25200ED7"/>
    <w:rsid w:val="25485808"/>
    <w:rsid w:val="25761690"/>
    <w:rsid w:val="25792040"/>
    <w:rsid w:val="257A74D8"/>
    <w:rsid w:val="258B6121"/>
    <w:rsid w:val="25900E53"/>
    <w:rsid w:val="25AB12E9"/>
    <w:rsid w:val="25B16892"/>
    <w:rsid w:val="25D54526"/>
    <w:rsid w:val="25F3318F"/>
    <w:rsid w:val="26207919"/>
    <w:rsid w:val="26267E0E"/>
    <w:rsid w:val="264D6D44"/>
    <w:rsid w:val="26593994"/>
    <w:rsid w:val="26747E2C"/>
    <w:rsid w:val="26952E5B"/>
    <w:rsid w:val="26A22D04"/>
    <w:rsid w:val="26A336EE"/>
    <w:rsid w:val="26D14162"/>
    <w:rsid w:val="26E01966"/>
    <w:rsid w:val="26F614F6"/>
    <w:rsid w:val="26F7280B"/>
    <w:rsid w:val="27122605"/>
    <w:rsid w:val="27135D4E"/>
    <w:rsid w:val="271E4679"/>
    <w:rsid w:val="272C3017"/>
    <w:rsid w:val="273D2914"/>
    <w:rsid w:val="276E0D20"/>
    <w:rsid w:val="27814EF7"/>
    <w:rsid w:val="278E08DE"/>
    <w:rsid w:val="27B213CF"/>
    <w:rsid w:val="27C01117"/>
    <w:rsid w:val="27C6290A"/>
    <w:rsid w:val="27D70323"/>
    <w:rsid w:val="27E31A18"/>
    <w:rsid w:val="27FA76E3"/>
    <w:rsid w:val="280F026B"/>
    <w:rsid w:val="28225400"/>
    <w:rsid w:val="28423E20"/>
    <w:rsid w:val="28873643"/>
    <w:rsid w:val="28961785"/>
    <w:rsid w:val="28BC1F5F"/>
    <w:rsid w:val="28C17ED6"/>
    <w:rsid w:val="292F4C9C"/>
    <w:rsid w:val="29497843"/>
    <w:rsid w:val="294C2371"/>
    <w:rsid w:val="29CD6A65"/>
    <w:rsid w:val="2A0E2611"/>
    <w:rsid w:val="2A111E36"/>
    <w:rsid w:val="2A2E4796"/>
    <w:rsid w:val="2A426203"/>
    <w:rsid w:val="2A522B7B"/>
    <w:rsid w:val="2AA822A5"/>
    <w:rsid w:val="2ABB7D54"/>
    <w:rsid w:val="2AC22B07"/>
    <w:rsid w:val="2AFC4894"/>
    <w:rsid w:val="2B1157DF"/>
    <w:rsid w:val="2B90378C"/>
    <w:rsid w:val="2BC7107E"/>
    <w:rsid w:val="2BD80E5D"/>
    <w:rsid w:val="2C297E29"/>
    <w:rsid w:val="2C2D1DD4"/>
    <w:rsid w:val="2C354713"/>
    <w:rsid w:val="2C391E4E"/>
    <w:rsid w:val="2C510D48"/>
    <w:rsid w:val="2C593CC7"/>
    <w:rsid w:val="2C5D49A2"/>
    <w:rsid w:val="2C737D4B"/>
    <w:rsid w:val="2C8007DB"/>
    <w:rsid w:val="2C975978"/>
    <w:rsid w:val="2C9950C6"/>
    <w:rsid w:val="2CCE400E"/>
    <w:rsid w:val="2CD033C1"/>
    <w:rsid w:val="2CE260F1"/>
    <w:rsid w:val="2D001507"/>
    <w:rsid w:val="2D0941F7"/>
    <w:rsid w:val="2D406B64"/>
    <w:rsid w:val="2D410C8B"/>
    <w:rsid w:val="2D4E07C4"/>
    <w:rsid w:val="2D5B1C9F"/>
    <w:rsid w:val="2D9369E9"/>
    <w:rsid w:val="2D9D3BE4"/>
    <w:rsid w:val="2DC2718D"/>
    <w:rsid w:val="2DCF003E"/>
    <w:rsid w:val="2DD076E1"/>
    <w:rsid w:val="2DF42132"/>
    <w:rsid w:val="2DF73B7A"/>
    <w:rsid w:val="2E206AEC"/>
    <w:rsid w:val="2E444588"/>
    <w:rsid w:val="2E585B30"/>
    <w:rsid w:val="2E6F28C9"/>
    <w:rsid w:val="2E716F95"/>
    <w:rsid w:val="2EC333C5"/>
    <w:rsid w:val="2EC441DD"/>
    <w:rsid w:val="2ED7364E"/>
    <w:rsid w:val="2F0106CB"/>
    <w:rsid w:val="2F24215F"/>
    <w:rsid w:val="2F3028C6"/>
    <w:rsid w:val="2F99085D"/>
    <w:rsid w:val="2F9D7D53"/>
    <w:rsid w:val="2FB92E4F"/>
    <w:rsid w:val="2FC179D1"/>
    <w:rsid w:val="2FC55436"/>
    <w:rsid w:val="2FF16367"/>
    <w:rsid w:val="302E7D3E"/>
    <w:rsid w:val="3062163D"/>
    <w:rsid w:val="309E2708"/>
    <w:rsid w:val="30AA1C20"/>
    <w:rsid w:val="30FC2152"/>
    <w:rsid w:val="310C6D34"/>
    <w:rsid w:val="310D381E"/>
    <w:rsid w:val="31367DE7"/>
    <w:rsid w:val="315F16D9"/>
    <w:rsid w:val="31C950D3"/>
    <w:rsid w:val="31E06CBE"/>
    <w:rsid w:val="321C0EB2"/>
    <w:rsid w:val="323E39E4"/>
    <w:rsid w:val="32591956"/>
    <w:rsid w:val="325B00F2"/>
    <w:rsid w:val="327B7288"/>
    <w:rsid w:val="328714F2"/>
    <w:rsid w:val="32A61CB5"/>
    <w:rsid w:val="32A95302"/>
    <w:rsid w:val="32B83797"/>
    <w:rsid w:val="32D665C2"/>
    <w:rsid w:val="32E25B56"/>
    <w:rsid w:val="32E907FB"/>
    <w:rsid w:val="331B7210"/>
    <w:rsid w:val="332C1A8F"/>
    <w:rsid w:val="3341787C"/>
    <w:rsid w:val="3344502A"/>
    <w:rsid w:val="33881956"/>
    <w:rsid w:val="33897E1B"/>
    <w:rsid w:val="339849CA"/>
    <w:rsid w:val="33990B21"/>
    <w:rsid w:val="339F20C8"/>
    <w:rsid w:val="33AB508D"/>
    <w:rsid w:val="33B566CE"/>
    <w:rsid w:val="33D11E71"/>
    <w:rsid w:val="33D554FA"/>
    <w:rsid w:val="340C3D9A"/>
    <w:rsid w:val="342A2472"/>
    <w:rsid w:val="345A3E6C"/>
    <w:rsid w:val="34711E4F"/>
    <w:rsid w:val="347A127C"/>
    <w:rsid w:val="34930017"/>
    <w:rsid w:val="349F518A"/>
    <w:rsid w:val="34B34562"/>
    <w:rsid w:val="34B80271"/>
    <w:rsid w:val="34C63840"/>
    <w:rsid w:val="35075E1B"/>
    <w:rsid w:val="3511386B"/>
    <w:rsid w:val="352B78BB"/>
    <w:rsid w:val="354A2F71"/>
    <w:rsid w:val="357B39A0"/>
    <w:rsid w:val="35911C58"/>
    <w:rsid w:val="35E963FE"/>
    <w:rsid w:val="35F57F68"/>
    <w:rsid w:val="3628478F"/>
    <w:rsid w:val="367528F3"/>
    <w:rsid w:val="368D743A"/>
    <w:rsid w:val="36AC716F"/>
    <w:rsid w:val="36D260DF"/>
    <w:rsid w:val="37123157"/>
    <w:rsid w:val="371B5E95"/>
    <w:rsid w:val="372B71C7"/>
    <w:rsid w:val="373D6F03"/>
    <w:rsid w:val="374D4DC0"/>
    <w:rsid w:val="375A5359"/>
    <w:rsid w:val="377B5D06"/>
    <w:rsid w:val="37801C3B"/>
    <w:rsid w:val="37AE3BC0"/>
    <w:rsid w:val="37C4673A"/>
    <w:rsid w:val="37CD2E68"/>
    <w:rsid w:val="37D72911"/>
    <w:rsid w:val="37FA18E4"/>
    <w:rsid w:val="382731F1"/>
    <w:rsid w:val="38534674"/>
    <w:rsid w:val="38593DF2"/>
    <w:rsid w:val="388F0AF6"/>
    <w:rsid w:val="389D5A64"/>
    <w:rsid w:val="38DB15A6"/>
    <w:rsid w:val="391D25A6"/>
    <w:rsid w:val="391D6430"/>
    <w:rsid w:val="392D793A"/>
    <w:rsid w:val="39425192"/>
    <w:rsid w:val="395816A3"/>
    <w:rsid w:val="395B30CE"/>
    <w:rsid w:val="39640217"/>
    <w:rsid w:val="39674B1F"/>
    <w:rsid w:val="3988074D"/>
    <w:rsid w:val="39902D77"/>
    <w:rsid w:val="3A0500D6"/>
    <w:rsid w:val="3A0D6176"/>
    <w:rsid w:val="3A136BEB"/>
    <w:rsid w:val="3A2D6818"/>
    <w:rsid w:val="3A74683C"/>
    <w:rsid w:val="3A7E0E22"/>
    <w:rsid w:val="3A824DB6"/>
    <w:rsid w:val="3A9C06AE"/>
    <w:rsid w:val="3AD10551"/>
    <w:rsid w:val="3AD64D51"/>
    <w:rsid w:val="3AED7D56"/>
    <w:rsid w:val="3AFB5B1D"/>
    <w:rsid w:val="3B9350CC"/>
    <w:rsid w:val="3BA3266F"/>
    <w:rsid w:val="3BBF6375"/>
    <w:rsid w:val="3BCB44F6"/>
    <w:rsid w:val="3BD50F16"/>
    <w:rsid w:val="3BE54C2B"/>
    <w:rsid w:val="3C24440F"/>
    <w:rsid w:val="3C2854E9"/>
    <w:rsid w:val="3C7C1213"/>
    <w:rsid w:val="3C7E40AF"/>
    <w:rsid w:val="3CC60B93"/>
    <w:rsid w:val="3CDE5F2C"/>
    <w:rsid w:val="3CF131EA"/>
    <w:rsid w:val="3D0042D9"/>
    <w:rsid w:val="3D1C4DBB"/>
    <w:rsid w:val="3D2F0696"/>
    <w:rsid w:val="3D4E57C9"/>
    <w:rsid w:val="3DCE3E6E"/>
    <w:rsid w:val="3E0F325B"/>
    <w:rsid w:val="3E114CC7"/>
    <w:rsid w:val="3E1C5966"/>
    <w:rsid w:val="3E4F79F0"/>
    <w:rsid w:val="3E733E0D"/>
    <w:rsid w:val="3E833AAE"/>
    <w:rsid w:val="3EA90437"/>
    <w:rsid w:val="3EC6390B"/>
    <w:rsid w:val="3EF9132B"/>
    <w:rsid w:val="3EF95953"/>
    <w:rsid w:val="3F073ADC"/>
    <w:rsid w:val="3F1E0EF3"/>
    <w:rsid w:val="3F43663F"/>
    <w:rsid w:val="3F4E64F0"/>
    <w:rsid w:val="3F762A0F"/>
    <w:rsid w:val="3F7942AE"/>
    <w:rsid w:val="3FA46F72"/>
    <w:rsid w:val="3FA654C5"/>
    <w:rsid w:val="3FC03C8B"/>
    <w:rsid w:val="3FDA7C39"/>
    <w:rsid w:val="3FE05BB7"/>
    <w:rsid w:val="40130039"/>
    <w:rsid w:val="40350907"/>
    <w:rsid w:val="404D1BAD"/>
    <w:rsid w:val="40AE30AC"/>
    <w:rsid w:val="40CA0A97"/>
    <w:rsid w:val="40CD1DFC"/>
    <w:rsid w:val="40D6247F"/>
    <w:rsid w:val="40EA3AB3"/>
    <w:rsid w:val="4125649B"/>
    <w:rsid w:val="412B4F52"/>
    <w:rsid w:val="415A2CF9"/>
    <w:rsid w:val="41964C2B"/>
    <w:rsid w:val="41B11ADD"/>
    <w:rsid w:val="41D8350E"/>
    <w:rsid w:val="41F403B6"/>
    <w:rsid w:val="420113F0"/>
    <w:rsid w:val="42012F0A"/>
    <w:rsid w:val="42214B49"/>
    <w:rsid w:val="422B79A8"/>
    <w:rsid w:val="42387D19"/>
    <w:rsid w:val="424961B9"/>
    <w:rsid w:val="42570963"/>
    <w:rsid w:val="425F59DD"/>
    <w:rsid w:val="42710CC7"/>
    <w:rsid w:val="42A23F9F"/>
    <w:rsid w:val="42A86B38"/>
    <w:rsid w:val="42B728F3"/>
    <w:rsid w:val="42C44E5F"/>
    <w:rsid w:val="42D02C31"/>
    <w:rsid w:val="42F57B0A"/>
    <w:rsid w:val="43040119"/>
    <w:rsid w:val="4314770A"/>
    <w:rsid w:val="43317379"/>
    <w:rsid w:val="43687141"/>
    <w:rsid w:val="437C54A0"/>
    <w:rsid w:val="43894D93"/>
    <w:rsid w:val="438F5E4E"/>
    <w:rsid w:val="43A14A5A"/>
    <w:rsid w:val="43A15B81"/>
    <w:rsid w:val="43C755E8"/>
    <w:rsid w:val="43F845E7"/>
    <w:rsid w:val="444F345F"/>
    <w:rsid w:val="446377FA"/>
    <w:rsid w:val="446A2417"/>
    <w:rsid w:val="4480086D"/>
    <w:rsid w:val="44947E38"/>
    <w:rsid w:val="44AE67A8"/>
    <w:rsid w:val="44B26298"/>
    <w:rsid w:val="44CA65CD"/>
    <w:rsid w:val="44DE1B08"/>
    <w:rsid w:val="45294080"/>
    <w:rsid w:val="453A4794"/>
    <w:rsid w:val="45606E1B"/>
    <w:rsid w:val="456907C5"/>
    <w:rsid w:val="45975C56"/>
    <w:rsid w:val="45A80079"/>
    <w:rsid w:val="45E61008"/>
    <w:rsid w:val="46250CEB"/>
    <w:rsid w:val="462A3C81"/>
    <w:rsid w:val="462D3D11"/>
    <w:rsid w:val="4643677E"/>
    <w:rsid w:val="464F630B"/>
    <w:rsid w:val="466B3361"/>
    <w:rsid w:val="4692300D"/>
    <w:rsid w:val="46AE470D"/>
    <w:rsid w:val="46E97B79"/>
    <w:rsid w:val="46EC24BE"/>
    <w:rsid w:val="47023043"/>
    <w:rsid w:val="470B2422"/>
    <w:rsid w:val="472F2A3C"/>
    <w:rsid w:val="474E7DCE"/>
    <w:rsid w:val="475A49C5"/>
    <w:rsid w:val="4769642E"/>
    <w:rsid w:val="478D6B48"/>
    <w:rsid w:val="47920267"/>
    <w:rsid w:val="47BC567F"/>
    <w:rsid w:val="47CC58C3"/>
    <w:rsid w:val="47E26023"/>
    <w:rsid w:val="48252D01"/>
    <w:rsid w:val="482A083B"/>
    <w:rsid w:val="483D0BF0"/>
    <w:rsid w:val="486C7C8B"/>
    <w:rsid w:val="48E3695A"/>
    <w:rsid w:val="48EA5566"/>
    <w:rsid w:val="49160A69"/>
    <w:rsid w:val="491B4E9A"/>
    <w:rsid w:val="49494CF1"/>
    <w:rsid w:val="49836455"/>
    <w:rsid w:val="49A306C8"/>
    <w:rsid w:val="49CC19AB"/>
    <w:rsid w:val="49D92519"/>
    <w:rsid w:val="49DA3B9B"/>
    <w:rsid w:val="4A0A5C37"/>
    <w:rsid w:val="4A280DAA"/>
    <w:rsid w:val="4A407442"/>
    <w:rsid w:val="4A4D4181"/>
    <w:rsid w:val="4A5B3D49"/>
    <w:rsid w:val="4A5B700A"/>
    <w:rsid w:val="4ACA7DF1"/>
    <w:rsid w:val="4ACC670F"/>
    <w:rsid w:val="4ADB7BCB"/>
    <w:rsid w:val="4AF043BF"/>
    <w:rsid w:val="4B066915"/>
    <w:rsid w:val="4B1A6945"/>
    <w:rsid w:val="4B4D612C"/>
    <w:rsid w:val="4B707FF1"/>
    <w:rsid w:val="4B8F2C81"/>
    <w:rsid w:val="4B9B53DD"/>
    <w:rsid w:val="4BC02861"/>
    <w:rsid w:val="4BDA5581"/>
    <w:rsid w:val="4BE3142D"/>
    <w:rsid w:val="4C0162AA"/>
    <w:rsid w:val="4C11686F"/>
    <w:rsid w:val="4C2904FF"/>
    <w:rsid w:val="4C373707"/>
    <w:rsid w:val="4C437FA6"/>
    <w:rsid w:val="4C4526B2"/>
    <w:rsid w:val="4C4C6FD2"/>
    <w:rsid w:val="4C9170DB"/>
    <w:rsid w:val="4CAA237E"/>
    <w:rsid w:val="4CB43AC4"/>
    <w:rsid w:val="4CE865CF"/>
    <w:rsid w:val="4CEC60BF"/>
    <w:rsid w:val="4D011B23"/>
    <w:rsid w:val="4D21494E"/>
    <w:rsid w:val="4D40118C"/>
    <w:rsid w:val="4D471547"/>
    <w:rsid w:val="4D944506"/>
    <w:rsid w:val="4DB82445"/>
    <w:rsid w:val="4DDE528B"/>
    <w:rsid w:val="4DE6599B"/>
    <w:rsid w:val="4E0F7AD8"/>
    <w:rsid w:val="4E2D2E33"/>
    <w:rsid w:val="4E3618AF"/>
    <w:rsid w:val="4E402B66"/>
    <w:rsid w:val="4E6A0EB2"/>
    <w:rsid w:val="4E8862BB"/>
    <w:rsid w:val="4E8D40F0"/>
    <w:rsid w:val="4E9B1B4B"/>
    <w:rsid w:val="4EAD0523"/>
    <w:rsid w:val="4EB63F59"/>
    <w:rsid w:val="4ECE1EDB"/>
    <w:rsid w:val="4F025CD6"/>
    <w:rsid w:val="4F1450AD"/>
    <w:rsid w:val="4F4421E2"/>
    <w:rsid w:val="4F564630"/>
    <w:rsid w:val="4F752B1C"/>
    <w:rsid w:val="4F831F89"/>
    <w:rsid w:val="4FBD2ADC"/>
    <w:rsid w:val="4FCF678D"/>
    <w:rsid w:val="4FE4334E"/>
    <w:rsid w:val="4FF15BE6"/>
    <w:rsid w:val="4FFC5301"/>
    <w:rsid w:val="50027C2E"/>
    <w:rsid w:val="502B3FB0"/>
    <w:rsid w:val="5042070A"/>
    <w:rsid w:val="50671D70"/>
    <w:rsid w:val="508A68E8"/>
    <w:rsid w:val="50B74DDE"/>
    <w:rsid w:val="50CB6EF8"/>
    <w:rsid w:val="510055C0"/>
    <w:rsid w:val="510C629C"/>
    <w:rsid w:val="511E4CB5"/>
    <w:rsid w:val="512D524F"/>
    <w:rsid w:val="51365E29"/>
    <w:rsid w:val="514B562C"/>
    <w:rsid w:val="51622D02"/>
    <w:rsid w:val="516C4D38"/>
    <w:rsid w:val="517B2107"/>
    <w:rsid w:val="51A40888"/>
    <w:rsid w:val="51B64EEE"/>
    <w:rsid w:val="51F47A93"/>
    <w:rsid w:val="52262073"/>
    <w:rsid w:val="524A43C0"/>
    <w:rsid w:val="525C70AE"/>
    <w:rsid w:val="52607735"/>
    <w:rsid w:val="527749C1"/>
    <w:rsid w:val="5282655C"/>
    <w:rsid w:val="528378C9"/>
    <w:rsid w:val="530C3017"/>
    <w:rsid w:val="530F67F6"/>
    <w:rsid w:val="533B56AA"/>
    <w:rsid w:val="53780CEA"/>
    <w:rsid w:val="537961D3"/>
    <w:rsid w:val="53C26F9C"/>
    <w:rsid w:val="53CC27A6"/>
    <w:rsid w:val="53DC3268"/>
    <w:rsid w:val="540651E6"/>
    <w:rsid w:val="5428129F"/>
    <w:rsid w:val="54412940"/>
    <w:rsid w:val="544A360F"/>
    <w:rsid w:val="544E4EA5"/>
    <w:rsid w:val="54523001"/>
    <w:rsid w:val="546C4584"/>
    <w:rsid w:val="546F1B90"/>
    <w:rsid w:val="54B4145C"/>
    <w:rsid w:val="54BC752F"/>
    <w:rsid w:val="54D37EC9"/>
    <w:rsid w:val="54FA4A5B"/>
    <w:rsid w:val="550220DB"/>
    <w:rsid w:val="55133FFC"/>
    <w:rsid w:val="551C05D7"/>
    <w:rsid w:val="55432F3C"/>
    <w:rsid w:val="555349A1"/>
    <w:rsid w:val="55A02A57"/>
    <w:rsid w:val="55B7434D"/>
    <w:rsid w:val="55C53FD6"/>
    <w:rsid w:val="561F2053"/>
    <w:rsid w:val="562A2A95"/>
    <w:rsid w:val="5691746B"/>
    <w:rsid w:val="56C836F9"/>
    <w:rsid w:val="56D72819"/>
    <w:rsid w:val="56EE084E"/>
    <w:rsid w:val="57220B37"/>
    <w:rsid w:val="57517A4E"/>
    <w:rsid w:val="57630034"/>
    <w:rsid w:val="577519AA"/>
    <w:rsid w:val="57895366"/>
    <w:rsid w:val="578A6E9D"/>
    <w:rsid w:val="57923D07"/>
    <w:rsid w:val="579E445A"/>
    <w:rsid w:val="57B46BCF"/>
    <w:rsid w:val="57F52B7F"/>
    <w:rsid w:val="581D1AE2"/>
    <w:rsid w:val="5820246E"/>
    <w:rsid w:val="58261CF9"/>
    <w:rsid w:val="58434DE9"/>
    <w:rsid w:val="58585D29"/>
    <w:rsid w:val="5899074E"/>
    <w:rsid w:val="58A24CD1"/>
    <w:rsid w:val="58CE0877"/>
    <w:rsid w:val="58DB24F3"/>
    <w:rsid w:val="58E21D65"/>
    <w:rsid w:val="58EF0EAB"/>
    <w:rsid w:val="59194651"/>
    <w:rsid w:val="5934151A"/>
    <w:rsid w:val="5966500D"/>
    <w:rsid w:val="59693D4C"/>
    <w:rsid w:val="59722DB0"/>
    <w:rsid w:val="59816543"/>
    <w:rsid w:val="599E1236"/>
    <w:rsid w:val="59C12681"/>
    <w:rsid w:val="59D81355"/>
    <w:rsid w:val="59F40CA9"/>
    <w:rsid w:val="59FA62BF"/>
    <w:rsid w:val="5A184997"/>
    <w:rsid w:val="5A1F7AD4"/>
    <w:rsid w:val="5A332560"/>
    <w:rsid w:val="5A64198B"/>
    <w:rsid w:val="5A7F03F1"/>
    <w:rsid w:val="5A894CA4"/>
    <w:rsid w:val="5AA47FD9"/>
    <w:rsid w:val="5AF96577"/>
    <w:rsid w:val="5AFA5E4B"/>
    <w:rsid w:val="5B1D02E9"/>
    <w:rsid w:val="5B2E7B8B"/>
    <w:rsid w:val="5B31251D"/>
    <w:rsid w:val="5B6603BD"/>
    <w:rsid w:val="5B663469"/>
    <w:rsid w:val="5B871DD5"/>
    <w:rsid w:val="5B9B316E"/>
    <w:rsid w:val="5C524F97"/>
    <w:rsid w:val="5C7525BB"/>
    <w:rsid w:val="5C9A1B3C"/>
    <w:rsid w:val="5CDC42CF"/>
    <w:rsid w:val="5D086F45"/>
    <w:rsid w:val="5D1070F8"/>
    <w:rsid w:val="5D4B061F"/>
    <w:rsid w:val="5D6E42D7"/>
    <w:rsid w:val="5D951BA1"/>
    <w:rsid w:val="5DB82770"/>
    <w:rsid w:val="5DD57E41"/>
    <w:rsid w:val="5E006234"/>
    <w:rsid w:val="5E0561B1"/>
    <w:rsid w:val="5E094DCE"/>
    <w:rsid w:val="5E413D91"/>
    <w:rsid w:val="5E8B172A"/>
    <w:rsid w:val="5E934E6A"/>
    <w:rsid w:val="5ED67B95"/>
    <w:rsid w:val="5EE1723E"/>
    <w:rsid w:val="5EF534F9"/>
    <w:rsid w:val="5F15013A"/>
    <w:rsid w:val="5F2772BF"/>
    <w:rsid w:val="5F40458B"/>
    <w:rsid w:val="5F470A58"/>
    <w:rsid w:val="5F4A2371"/>
    <w:rsid w:val="5F4E57FE"/>
    <w:rsid w:val="5F505CE0"/>
    <w:rsid w:val="5F6E5059"/>
    <w:rsid w:val="5FBA204D"/>
    <w:rsid w:val="5FC709E1"/>
    <w:rsid w:val="5FDE5D3B"/>
    <w:rsid w:val="601A0F02"/>
    <w:rsid w:val="602A7427"/>
    <w:rsid w:val="604B7816"/>
    <w:rsid w:val="604F2CB5"/>
    <w:rsid w:val="606C3347"/>
    <w:rsid w:val="60707D95"/>
    <w:rsid w:val="60BB64BC"/>
    <w:rsid w:val="60CC028A"/>
    <w:rsid w:val="60D01E8A"/>
    <w:rsid w:val="60D94D90"/>
    <w:rsid w:val="60FF41BB"/>
    <w:rsid w:val="613100ED"/>
    <w:rsid w:val="614D13CA"/>
    <w:rsid w:val="61665F59"/>
    <w:rsid w:val="6184265D"/>
    <w:rsid w:val="618446C0"/>
    <w:rsid w:val="6192301D"/>
    <w:rsid w:val="61B01959"/>
    <w:rsid w:val="61B50D1E"/>
    <w:rsid w:val="61E354C7"/>
    <w:rsid w:val="622B5791"/>
    <w:rsid w:val="62371911"/>
    <w:rsid w:val="625B67EA"/>
    <w:rsid w:val="62733FEF"/>
    <w:rsid w:val="627B7C14"/>
    <w:rsid w:val="62AB7C18"/>
    <w:rsid w:val="62B45D79"/>
    <w:rsid w:val="62DF3D31"/>
    <w:rsid w:val="62E6097C"/>
    <w:rsid w:val="62F17B37"/>
    <w:rsid w:val="634C3759"/>
    <w:rsid w:val="636755F6"/>
    <w:rsid w:val="639578ED"/>
    <w:rsid w:val="63994678"/>
    <w:rsid w:val="639957BF"/>
    <w:rsid w:val="63A016A9"/>
    <w:rsid w:val="63B71D6D"/>
    <w:rsid w:val="63D63DC8"/>
    <w:rsid w:val="64153CF6"/>
    <w:rsid w:val="643028DD"/>
    <w:rsid w:val="643250AA"/>
    <w:rsid w:val="64377F7F"/>
    <w:rsid w:val="645941BD"/>
    <w:rsid w:val="64A017E5"/>
    <w:rsid w:val="64B57429"/>
    <w:rsid w:val="64C2170E"/>
    <w:rsid w:val="64E42819"/>
    <w:rsid w:val="64F15F74"/>
    <w:rsid w:val="65186668"/>
    <w:rsid w:val="654D4BBB"/>
    <w:rsid w:val="65535934"/>
    <w:rsid w:val="656136E1"/>
    <w:rsid w:val="659344DA"/>
    <w:rsid w:val="65CE6852"/>
    <w:rsid w:val="65E31E19"/>
    <w:rsid w:val="65ED7932"/>
    <w:rsid w:val="661506EF"/>
    <w:rsid w:val="661F3549"/>
    <w:rsid w:val="665E1A78"/>
    <w:rsid w:val="666121AC"/>
    <w:rsid w:val="66677856"/>
    <w:rsid w:val="668C2539"/>
    <w:rsid w:val="66947CD3"/>
    <w:rsid w:val="66C121E9"/>
    <w:rsid w:val="66E04F21"/>
    <w:rsid w:val="67127B6C"/>
    <w:rsid w:val="6716225F"/>
    <w:rsid w:val="67224593"/>
    <w:rsid w:val="6745353E"/>
    <w:rsid w:val="674A63AC"/>
    <w:rsid w:val="67783A60"/>
    <w:rsid w:val="67850CBA"/>
    <w:rsid w:val="67BC7726"/>
    <w:rsid w:val="67C84FE8"/>
    <w:rsid w:val="67D55D9F"/>
    <w:rsid w:val="67DB7DF9"/>
    <w:rsid w:val="67DD4B2A"/>
    <w:rsid w:val="67FF5A81"/>
    <w:rsid w:val="68392A38"/>
    <w:rsid w:val="683F395F"/>
    <w:rsid w:val="683F4713"/>
    <w:rsid w:val="685E5C6B"/>
    <w:rsid w:val="686611E0"/>
    <w:rsid w:val="686A278A"/>
    <w:rsid w:val="6894168D"/>
    <w:rsid w:val="68A074B8"/>
    <w:rsid w:val="68A44B4E"/>
    <w:rsid w:val="68B25FB7"/>
    <w:rsid w:val="68BC0BE4"/>
    <w:rsid w:val="68DD76AA"/>
    <w:rsid w:val="68E52590"/>
    <w:rsid w:val="68EA74FF"/>
    <w:rsid w:val="68F76D8A"/>
    <w:rsid w:val="690B02EE"/>
    <w:rsid w:val="692517AF"/>
    <w:rsid w:val="693C6DF1"/>
    <w:rsid w:val="69944E91"/>
    <w:rsid w:val="69E326CB"/>
    <w:rsid w:val="6A11328D"/>
    <w:rsid w:val="6A333127"/>
    <w:rsid w:val="6A42336B"/>
    <w:rsid w:val="6A4D7E76"/>
    <w:rsid w:val="6A8A03E2"/>
    <w:rsid w:val="6AA3205B"/>
    <w:rsid w:val="6AAA41B7"/>
    <w:rsid w:val="6AC14AB2"/>
    <w:rsid w:val="6ACE7693"/>
    <w:rsid w:val="6AD93B97"/>
    <w:rsid w:val="6AE46048"/>
    <w:rsid w:val="6B166CD1"/>
    <w:rsid w:val="6B1B5579"/>
    <w:rsid w:val="6B3B0BF6"/>
    <w:rsid w:val="6B72155B"/>
    <w:rsid w:val="6B9D4EEF"/>
    <w:rsid w:val="6BA8316B"/>
    <w:rsid w:val="6BBE5564"/>
    <w:rsid w:val="6BBE6A58"/>
    <w:rsid w:val="6C214BDC"/>
    <w:rsid w:val="6C467A5B"/>
    <w:rsid w:val="6C66091E"/>
    <w:rsid w:val="6C6C306C"/>
    <w:rsid w:val="6C6E50C5"/>
    <w:rsid w:val="6C7032BD"/>
    <w:rsid w:val="6C766E1A"/>
    <w:rsid w:val="6C775BAE"/>
    <w:rsid w:val="6C9937B4"/>
    <w:rsid w:val="6CB20687"/>
    <w:rsid w:val="6CD937F4"/>
    <w:rsid w:val="6CF448CF"/>
    <w:rsid w:val="6D062DB2"/>
    <w:rsid w:val="6D384C6E"/>
    <w:rsid w:val="6D3E20CB"/>
    <w:rsid w:val="6D4F16EF"/>
    <w:rsid w:val="6D5B6C1D"/>
    <w:rsid w:val="6D724552"/>
    <w:rsid w:val="6D7E4065"/>
    <w:rsid w:val="6D9840EF"/>
    <w:rsid w:val="6DC26B98"/>
    <w:rsid w:val="6DE16BA6"/>
    <w:rsid w:val="6DF75879"/>
    <w:rsid w:val="6DFF6E79"/>
    <w:rsid w:val="6E1A015A"/>
    <w:rsid w:val="6E3A601F"/>
    <w:rsid w:val="6E5808C0"/>
    <w:rsid w:val="6E6733A0"/>
    <w:rsid w:val="6E6D2B1B"/>
    <w:rsid w:val="6E925636"/>
    <w:rsid w:val="6E9E6E95"/>
    <w:rsid w:val="6EA265A0"/>
    <w:rsid w:val="6EA32049"/>
    <w:rsid w:val="6EB56801"/>
    <w:rsid w:val="6ED8604B"/>
    <w:rsid w:val="6EDC5726"/>
    <w:rsid w:val="6EE2152F"/>
    <w:rsid w:val="6F045092"/>
    <w:rsid w:val="6F273CBF"/>
    <w:rsid w:val="6F3F73E4"/>
    <w:rsid w:val="6F43442A"/>
    <w:rsid w:val="6F7D0024"/>
    <w:rsid w:val="6FAB7ADE"/>
    <w:rsid w:val="6FB35C1F"/>
    <w:rsid w:val="6FC7531A"/>
    <w:rsid w:val="703B0F88"/>
    <w:rsid w:val="703F4390"/>
    <w:rsid w:val="705B0CE2"/>
    <w:rsid w:val="706361C8"/>
    <w:rsid w:val="70827351"/>
    <w:rsid w:val="708B77AD"/>
    <w:rsid w:val="70904E30"/>
    <w:rsid w:val="70DF36DB"/>
    <w:rsid w:val="70E020EE"/>
    <w:rsid w:val="712C5083"/>
    <w:rsid w:val="71AD181B"/>
    <w:rsid w:val="71B95325"/>
    <w:rsid w:val="71BE5A39"/>
    <w:rsid w:val="71E66428"/>
    <w:rsid w:val="721A7EDD"/>
    <w:rsid w:val="721E46BD"/>
    <w:rsid w:val="72247F25"/>
    <w:rsid w:val="722A7A6E"/>
    <w:rsid w:val="724A54B2"/>
    <w:rsid w:val="72556331"/>
    <w:rsid w:val="728B217B"/>
    <w:rsid w:val="729119E2"/>
    <w:rsid w:val="72A252EE"/>
    <w:rsid w:val="72B8241C"/>
    <w:rsid w:val="72D84980"/>
    <w:rsid w:val="72EC0317"/>
    <w:rsid w:val="73005B71"/>
    <w:rsid w:val="732D105C"/>
    <w:rsid w:val="732E7EDD"/>
    <w:rsid w:val="73357F10"/>
    <w:rsid w:val="736D3206"/>
    <w:rsid w:val="737105B3"/>
    <w:rsid w:val="73756680"/>
    <w:rsid w:val="73807D2A"/>
    <w:rsid w:val="73896DD6"/>
    <w:rsid w:val="73B21561"/>
    <w:rsid w:val="73D22DC9"/>
    <w:rsid w:val="73FB2F08"/>
    <w:rsid w:val="74365AC3"/>
    <w:rsid w:val="743917AD"/>
    <w:rsid w:val="744245E1"/>
    <w:rsid w:val="745472EB"/>
    <w:rsid w:val="74C2795C"/>
    <w:rsid w:val="74CC1DC2"/>
    <w:rsid w:val="74D06790"/>
    <w:rsid w:val="751A6B30"/>
    <w:rsid w:val="75763F3E"/>
    <w:rsid w:val="75843120"/>
    <w:rsid w:val="75847593"/>
    <w:rsid w:val="75A40553"/>
    <w:rsid w:val="75AE2623"/>
    <w:rsid w:val="760F6565"/>
    <w:rsid w:val="762425B2"/>
    <w:rsid w:val="768D0150"/>
    <w:rsid w:val="76996674"/>
    <w:rsid w:val="76CD220E"/>
    <w:rsid w:val="76DF3E35"/>
    <w:rsid w:val="76F812AC"/>
    <w:rsid w:val="76F85413"/>
    <w:rsid w:val="76FB5ACA"/>
    <w:rsid w:val="76FE07F9"/>
    <w:rsid w:val="771358E0"/>
    <w:rsid w:val="771A589A"/>
    <w:rsid w:val="771F15FE"/>
    <w:rsid w:val="7737193E"/>
    <w:rsid w:val="773D3837"/>
    <w:rsid w:val="776F3AFE"/>
    <w:rsid w:val="77BC51B5"/>
    <w:rsid w:val="77BE3080"/>
    <w:rsid w:val="780E5269"/>
    <w:rsid w:val="78111A6D"/>
    <w:rsid w:val="78345654"/>
    <w:rsid w:val="784E3992"/>
    <w:rsid w:val="7854715D"/>
    <w:rsid w:val="7859585F"/>
    <w:rsid w:val="78695B4B"/>
    <w:rsid w:val="787212BF"/>
    <w:rsid w:val="78910B13"/>
    <w:rsid w:val="78B539A0"/>
    <w:rsid w:val="78BD69DE"/>
    <w:rsid w:val="78C41282"/>
    <w:rsid w:val="78DB7CA4"/>
    <w:rsid w:val="78DC2A78"/>
    <w:rsid w:val="78E364F3"/>
    <w:rsid w:val="79027215"/>
    <w:rsid w:val="790646FB"/>
    <w:rsid w:val="79157851"/>
    <w:rsid w:val="792138A2"/>
    <w:rsid w:val="792C67AB"/>
    <w:rsid w:val="797B5DAD"/>
    <w:rsid w:val="79AB5AEA"/>
    <w:rsid w:val="79B80F53"/>
    <w:rsid w:val="79D0629D"/>
    <w:rsid w:val="79E165DA"/>
    <w:rsid w:val="79F57AA2"/>
    <w:rsid w:val="7A081EDB"/>
    <w:rsid w:val="7A102B3D"/>
    <w:rsid w:val="7A205476"/>
    <w:rsid w:val="7A225830"/>
    <w:rsid w:val="7A403324"/>
    <w:rsid w:val="7A6A66F1"/>
    <w:rsid w:val="7A783986"/>
    <w:rsid w:val="7AA01E1B"/>
    <w:rsid w:val="7ABB0CFB"/>
    <w:rsid w:val="7ABF4AEE"/>
    <w:rsid w:val="7AC73485"/>
    <w:rsid w:val="7ACF0C4A"/>
    <w:rsid w:val="7AD95625"/>
    <w:rsid w:val="7AF34939"/>
    <w:rsid w:val="7B05466C"/>
    <w:rsid w:val="7B112A8A"/>
    <w:rsid w:val="7B187150"/>
    <w:rsid w:val="7B230E0E"/>
    <w:rsid w:val="7B2528EA"/>
    <w:rsid w:val="7B414FF4"/>
    <w:rsid w:val="7B5416AE"/>
    <w:rsid w:val="7B764D36"/>
    <w:rsid w:val="7C0607AF"/>
    <w:rsid w:val="7C2B1258"/>
    <w:rsid w:val="7C355433"/>
    <w:rsid w:val="7C642AA3"/>
    <w:rsid w:val="7C666F29"/>
    <w:rsid w:val="7C74013A"/>
    <w:rsid w:val="7C9712F4"/>
    <w:rsid w:val="7CD14FE5"/>
    <w:rsid w:val="7CD35ECC"/>
    <w:rsid w:val="7D2D2F7A"/>
    <w:rsid w:val="7D343F22"/>
    <w:rsid w:val="7D3B7DB1"/>
    <w:rsid w:val="7D585F36"/>
    <w:rsid w:val="7D593DF4"/>
    <w:rsid w:val="7D603DDC"/>
    <w:rsid w:val="7D6C6D6E"/>
    <w:rsid w:val="7D9341B1"/>
    <w:rsid w:val="7DB34709"/>
    <w:rsid w:val="7DC97C8F"/>
    <w:rsid w:val="7DDC1FA8"/>
    <w:rsid w:val="7E027E06"/>
    <w:rsid w:val="7E1163A4"/>
    <w:rsid w:val="7E1579B2"/>
    <w:rsid w:val="7E5F4C89"/>
    <w:rsid w:val="7E636F86"/>
    <w:rsid w:val="7E6D67B0"/>
    <w:rsid w:val="7E861597"/>
    <w:rsid w:val="7E9668DE"/>
    <w:rsid w:val="7EA2734B"/>
    <w:rsid w:val="7EB62C0B"/>
    <w:rsid w:val="7EB853A1"/>
    <w:rsid w:val="7ED073DD"/>
    <w:rsid w:val="7F090096"/>
    <w:rsid w:val="7F25708B"/>
    <w:rsid w:val="7F356E3F"/>
    <w:rsid w:val="7F363046"/>
    <w:rsid w:val="7F557819"/>
    <w:rsid w:val="7F673F2A"/>
    <w:rsid w:val="7F744A05"/>
    <w:rsid w:val="7FAB3C73"/>
    <w:rsid w:val="7FC41673"/>
    <w:rsid w:val="7FC55F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723" w:firstLineChars="200"/>
      <w:jc w:val="both"/>
    </w:pPr>
    <w:rPr>
      <w:rFonts w:ascii="Times New Roman" w:hAnsi="Times New Roman" w:eastAsia="仿宋" w:cstheme="minorBidi"/>
      <w:kern w:val="2"/>
      <w:sz w:val="28"/>
      <w:szCs w:val="24"/>
      <w:lang w:val="en-US" w:eastAsia="zh-CN" w:bidi="ar-SA"/>
    </w:rPr>
  </w:style>
  <w:style w:type="paragraph" w:styleId="2">
    <w:name w:val="heading 1"/>
    <w:basedOn w:val="1"/>
    <w:next w:val="1"/>
    <w:link w:val="40"/>
    <w:qFormat/>
    <w:uiPriority w:val="0"/>
    <w:pPr>
      <w:keepNext/>
      <w:numPr>
        <w:ilvl w:val="0"/>
        <w:numId w:val="1"/>
      </w:numPr>
      <w:spacing w:before="100" w:after="100" w:line="360" w:lineRule="auto"/>
      <w:ind w:firstLine="0" w:firstLineChars="0"/>
      <w:jc w:val="center"/>
      <w:outlineLvl w:val="0"/>
    </w:pPr>
    <w:rPr>
      <w:rFonts w:eastAsia="方正小标宋简体"/>
      <w:kern w:val="44"/>
      <w:sz w:val="36"/>
    </w:rPr>
  </w:style>
  <w:style w:type="paragraph" w:styleId="3">
    <w:name w:val="heading 2"/>
    <w:basedOn w:val="1"/>
    <w:next w:val="1"/>
    <w:link w:val="37"/>
    <w:unhideWhenUsed/>
    <w:qFormat/>
    <w:uiPriority w:val="0"/>
    <w:pPr>
      <w:keepNext/>
      <w:keepLines/>
      <w:numPr>
        <w:ilvl w:val="0"/>
        <w:numId w:val="2"/>
      </w:numPr>
      <w:tabs>
        <w:tab w:val="left" w:pos="2577"/>
        <w:tab w:val="left" w:pos="2860"/>
      </w:tabs>
      <w:adjustRightInd w:val="0"/>
      <w:spacing w:before="80" w:line="360" w:lineRule="auto"/>
      <w:ind w:left="454" w:firstLine="0" w:firstLineChars="0"/>
      <w:jc w:val="center"/>
      <w:outlineLvl w:val="1"/>
    </w:pPr>
    <w:rPr>
      <w:rFonts w:ascii="Arial" w:hAnsi="Arial" w:eastAsia="黑体"/>
      <w:sz w:val="32"/>
    </w:rPr>
  </w:style>
  <w:style w:type="paragraph" w:styleId="4">
    <w:name w:val="heading 3"/>
    <w:basedOn w:val="1"/>
    <w:next w:val="1"/>
    <w:link w:val="35"/>
    <w:unhideWhenUsed/>
    <w:qFormat/>
    <w:uiPriority w:val="0"/>
    <w:pPr>
      <w:keepNext/>
      <w:keepLines/>
      <w:numPr>
        <w:ilvl w:val="0"/>
        <w:numId w:val="3"/>
      </w:numPr>
      <w:tabs>
        <w:tab w:val="left" w:pos="6669"/>
      </w:tabs>
      <w:adjustRightInd w:val="0"/>
      <w:snapToGrid w:val="0"/>
      <w:spacing w:beforeLines="50" w:afterLines="50"/>
      <w:ind w:firstLineChars="0"/>
      <w:outlineLvl w:val="2"/>
    </w:pPr>
    <w:rPr>
      <w:rFonts w:eastAsia="楷体_GB2312"/>
      <w:b/>
      <w:bCs/>
      <w:sz w:val="32"/>
      <w:szCs w:val="32"/>
    </w:rPr>
  </w:style>
  <w:style w:type="paragraph" w:styleId="5">
    <w:name w:val="heading 4"/>
    <w:basedOn w:val="1"/>
    <w:next w:val="1"/>
    <w:link w:val="41"/>
    <w:unhideWhenUsed/>
    <w:qFormat/>
    <w:uiPriority w:val="0"/>
    <w:pPr>
      <w:keepNext/>
      <w:keepLines/>
      <w:numPr>
        <w:ilvl w:val="0"/>
        <w:numId w:val="4"/>
      </w:numPr>
      <w:tabs>
        <w:tab w:val="left" w:pos="0"/>
        <w:tab w:val="left" w:pos="737"/>
      </w:tabs>
      <w:spacing w:beforeLines="50" w:line="240" w:lineRule="auto"/>
      <w:ind w:left="17" w:firstLine="0" w:firstLineChars="0"/>
      <w:outlineLvl w:val="3"/>
    </w:pPr>
    <w:rPr>
      <w:rFonts w:ascii="Arial" w:hAnsi="Arial"/>
      <w:b/>
    </w:rPr>
  </w:style>
  <w:style w:type="paragraph" w:styleId="6">
    <w:name w:val="heading 5"/>
    <w:basedOn w:val="1"/>
    <w:next w:val="1"/>
    <w:link w:val="42"/>
    <w:unhideWhenUsed/>
    <w:qFormat/>
    <w:uiPriority w:val="0"/>
    <w:pPr>
      <w:keepNext/>
      <w:keepLines/>
      <w:numPr>
        <w:ilvl w:val="0"/>
        <w:numId w:val="5"/>
      </w:numPr>
      <w:spacing w:before="80" w:line="240" w:lineRule="auto"/>
      <w:ind w:left="0" w:firstLine="1123"/>
      <w:jc w:val="left"/>
      <w:outlineLvl w:val="4"/>
    </w:pPr>
    <w:rPr>
      <w:b/>
    </w:rPr>
  </w:style>
  <w:style w:type="paragraph" w:styleId="7">
    <w:name w:val="heading 6"/>
    <w:basedOn w:val="1"/>
    <w:next w:val="1"/>
    <w:link w:val="99"/>
    <w:unhideWhenUsed/>
    <w:qFormat/>
    <w:uiPriority w:val="0"/>
    <w:pPr>
      <w:keepNext/>
      <w:keepLines/>
      <w:spacing w:before="10" w:after="10" w:line="240" w:lineRule="auto"/>
      <w:ind w:firstLine="0" w:firstLineChars="0"/>
      <w:jc w:val="left"/>
      <w:outlineLvl w:val="5"/>
    </w:pPr>
    <w:rPr>
      <w:rFonts w:ascii="Arial" w:hAnsi="Arial" w:eastAsia="楷体"/>
    </w:rPr>
  </w:style>
  <w:style w:type="paragraph" w:styleId="8">
    <w:name w:val="heading 7"/>
    <w:basedOn w:val="1"/>
    <w:next w:val="1"/>
    <w:link w:val="81"/>
    <w:unhideWhenUsed/>
    <w:qFormat/>
    <w:uiPriority w:val="0"/>
    <w:pPr>
      <w:keepNext/>
      <w:keepLines/>
      <w:spacing w:after="10" w:line="240" w:lineRule="auto"/>
      <w:ind w:firstLine="0" w:firstLineChars="0"/>
      <w:jc w:val="center"/>
      <w:outlineLvl w:val="6"/>
    </w:pPr>
    <w:rPr>
      <w:sz w:val="21"/>
    </w:rPr>
  </w:style>
  <w:style w:type="paragraph" w:styleId="9">
    <w:name w:val="heading 8"/>
    <w:basedOn w:val="1"/>
    <w:next w:val="1"/>
    <w:link w:val="43"/>
    <w:unhideWhenUsed/>
    <w:qFormat/>
    <w:uiPriority w:val="0"/>
    <w:pPr>
      <w:keepNext/>
      <w:keepLines/>
      <w:spacing w:before="240" w:after="64" w:line="317" w:lineRule="auto"/>
      <w:outlineLvl w:val="7"/>
    </w:pPr>
    <w:rPr>
      <w:rFonts w:ascii="Arial" w:hAnsi="Arial" w:eastAsia="黑体"/>
      <w:sz w:val="24"/>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0">
    <w:name w:val="table of authorities"/>
    <w:basedOn w:val="1"/>
    <w:next w:val="1"/>
    <w:qFormat/>
    <w:uiPriority w:val="99"/>
    <w:pPr>
      <w:spacing w:line="360" w:lineRule="auto"/>
      <w:ind w:left="420" w:leftChars="200" w:firstLine="200"/>
    </w:pPr>
    <w:rPr>
      <w:rFonts w:eastAsia="宋体"/>
    </w:rPr>
  </w:style>
  <w:style w:type="paragraph" w:styleId="11">
    <w:name w:val="Normal Indent"/>
    <w:basedOn w:val="1"/>
    <w:qFormat/>
    <w:uiPriority w:val="0"/>
    <w:pPr>
      <w:spacing w:line="360" w:lineRule="auto"/>
      <w:ind w:firstLine="420"/>
    </w:pPr>
    <w:rPr>
      <w:rFonts w:ascii="Calibri" w:hAnsi="Calibri" w:eastAsia="宋体" w:cs="Times New Roman"/>
    </w:rPr>
  </w:style>
  <w:style w:type="paragraph" w:styleId="12">
    <w:name w:val="Document Map"/>
    <w:basedOn w:val="1"/>
    <w:link w:val="106"/>
    <w:qFormat/>
    <w:uiPriority w:val="0"/>
    <w:rPr>
      <w:rFonts w:ascii="宋体" w:eastAsia="宋体"/>
      <w:sz w:val="18"/>
      <w:szCs w:val="18"/>
    </w:rPr>
  </w:style>
  <w:style w:type="paragraph" w:styleId="13">
    <w:name w:val="annotation text"/>
    <w:basedOn w:val="1"/>
    <w:link w:val="80"/>
    <w:qFormat/>
    <w:uiPriority w:val="0"/>
    <w:pPr>
      <w:jc w:val="left"/>
    </w:pPr>
  </w:style>
  <w:style w:type="paragraph" w:styleId="14">
    <w:name w:val="Body Text"/>
    <w:basedOn w:val="1"/>
    <w:link w:val="44"/>
    <w:unhideWhenUsed/>
    <w:qFormat/>
    <w:uiPriority w:val="99"/>
    <w:rPr>
      <w:rFonts w:ascii="等线" w:hAnsi="等线" w:eastAsia="楷体" w:cs="Times New Roman"/>
    </w:rPr>
  </w:style>
  <w:style w:type="paragraph" w:styleId="15">
    <w:name w:val="Body Text Indent"/>
    <w:basedOn w:val="1"/>
    <w:link w:val="45"/>
    <w:qFormat/>
    <w:uiPriority w:val="0"/>
    <w:pPr>
      <w:spacing w:line="360" w:lineRule="auto"/>
      <w:ind w:firstLine="480" w:firstLineChars="150"/>
    </w:pPr>
    <w:rPr>
      <w:rFonts w:ascii="仿宋_GB2312" w:eastAsia="仿宋_GB2312"/>
      <w:bCs/>
      <w:szCs w:val="32"/>
    </w:rPr>
  </w:style>
  <w:style w:type="paragraph" w:styleId="16">
    <w:name w:val="toc 3"/>
    <w:basedOn w:val="1"/>
    <w:next w:val="1"/>
    <w:qFormat/>
    <w:uiPriority w:val="39"/>
    <w:pPr>
      <w:ind w:left="840" w:leftChars="400"/>
    </w:pPr>
  </w:style>
  <w:style w:type="paragraph" w:styleId="17">
    <w:name w:val="Balloon Text"/>
    <w:basedOn w:val="1"/>
    <w:unhideWhenUsed/>
    <w:qFormat/>
    <w:uiPriority w:val="0"/>
    <w:rPr>
      <w:sz w:val="18"/>
      <w:szCs w:val="18"/>
    </w:rPr>
  </w:style>
  <w:style w:type="paragraph" w:styleId="18">
    <w:name w:val="footer"/>
    <w:basedOn w:val="1"/>
    <w:link w:val="46"/>
    <w:unhideWhenUsed/>
    <w:qFormat/>
    <w:uiPriority w:val="99"/>
    <w:pPr>
      <w:tabs>
        <w:tab w:val="center" w:pos="4153"/>
        <w:tab w:val="right" w:pos="8306"/>
      </w:tabs>
      <w:snapToGrid w:val="0"/>
      <w:jc w:val="left"/>
    </w:pPr>
    <w:rPr>
      <w:sz w:val="18"/>
      <w:szCs w:val="18"/>
    </w:rPr>
  </w:style>
  <w:style w:type="paragraph" w:styleId="19">
    <w:name w:val="header"/>
    <w:basedOn w:val="1"/>
    <w:next w:val="1"/>
    <w:link w:val="6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20">
    <w:name w:val="toc 1"/>
    <w:basedOn w:val="1"/>
    <w:next w:val="1"/>
    <w:unhideWhenUsed/>
    <w:qFormat/>
    <w:uiPriority w:val="39"/>
    <w:pPr>
      <w:tabs>
        <w:tab w:val="right" w:leader="dot" w:pos="8296"/>
      </w:tabs>
      <w:ind w:firstLine="0" w:firstLineChars="0"/>
    </w:pPr>
    <w:rPr>
      <w:rFonts w:ascii="黑体" w:hAnsi="黑体" w:eastAsia="黑体" w:cs="黑体"/>
    </w:rPr>
  </w:style>
  <w:style w:type="paragraph" w:styleId="21">
    <w:name w:val="toc 2"/>
    <w:basedOn w:val="1"/>
    <w:next w:val="1"/>
    <w:qFormat/>
    <w:uiPriority w:val="39"/>
    <w:pPr>
      <w:ind w:left="1684" w:leftChars="200" w:hanging="1124" w:hangingChars="200"/>
    </w:pPr>
    <w:rPr>
      <w:rFonts w:eastAsia="仿宋_GB2312" w:cs="Times New Roman"/>
    </w:rPr>
  </w:style>
  <w:style w:type="paragraph" w:styleId="22">
    <w:name w:val="Normal (Web)"/>
    <w:basedOn w:val="1"/>
    <w:qFormat/>
    <w:uiPriority w:val="0"/>
    <w:pPr>
      <w:spacing w:beforeAutospacing="1" w:afterAutospacing="1"/>
      <w:jc w:val="left"/>
    </w:pPr>
    <w:rPr>
      <w:rFonts w:cs="Times New Roman"/>
      <w:kern w:val="0"/>
      <w:sz w:val="24"/>
    </w:rPr>
  </w:style>
  <w:style w:type="paragraph" w:styleId="23">
    <w:name w:val="annotation subject"/>
    <w:basedOn w:val="13"/>
    <w:next w:val="13"/>
    <w:link w:val="82"/>
    <w:qFormat/>
    <w:uiPriority w:val="0"/>
    <w:rPr>
      <w:b/>
      <w:bCs/>
    </w:rPr>
  </w:style>
  <w:style w:type="paragraph" w:styleId="24">
    <w:name w:val="Body Text First Indent"/>
    <w:basedOn w:val="14"/>
    <w:qFormat/>
    <w:uiPriority w:val="0"/>
    <w:rPr>
      <w:rFonts w:eastAsia="仿宋_GB2312"/>
      <w:szCs w:val="20"/>
    </w:rPr>
  </w:style>
  <w:style w:type="paragraph" w:styleId="25">
    <w:name w:val="Body Text First Indent 2"/>
    <w:basedOn w:val="15"/>
    <w:unhideWhenUsed/>
    <w:qFormat/>
    <w:uiPriority w:val="99"/>
    <w:pPr>
      <w:spacing w:line="240" w:lineRule="auto"/>
      <w:ind w:firstLine="0" w:firstLineChars="0"/>
      <w:jc w:val="center"/>
    </w:pPr>
    <w:rPr>
      <w:rFonts w:hAnsi="仿宋_GB2312" w:eastAsia="宋体" w:cs="Times New Roman"/>
      <w:sz w:val="21"/>
      <w:szCs w:val="24"/>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rPr>
  </w:style>
  <w:style w:type="character" w:styleId="30">
    <w:name w:val="FollowedHyperlink"/>
    <w:basedOn w:val="28"/>
    <w:unhideWhenUsed/>
    <w:qFormat/>
    <w:uiPriority w:val="99"/>
    <w:rPr>
      <w:color w:val="800080"/>
      <w:u w:val="single"/>
    </w:rPr>
  </w:style>
  <w:style w:type="character" w:styleId="31">
    <w:name w:val="Hyperlink"/>
    <w:basedOn w:val="28"/>
    <w:unhideWhenUsed/>
    <w:qFormat/>
    <w:uiPriority w:val="99"/>
    <w:rPr>
      <w:color w:val="0000FF"/>
      <w:u w:val="single"/>
    </w:rPr>
  </w:style>
  <w:style w:type="character" w:styleId="32">
    <w:name w:val="annotation reference"/>
    <w:basedOn w:val="28"/>
    <w:qFormat/>
    <w:uiPriority w:val="0"/>
    <w:rPr>
      <w:sz w:val="21"/>
      <w:szCs w:val="21"/>
    </w:rPr>
  </w:style>
  <w:style w:type="paragraph" w:customStyle="1" w:styleId="33">
    <w:name w:val="BodyText1I2"/>
    <w:basedOn w:val="34"/>
    <w:qFormat/>
    <w:uiPriority w:val="0"/>
    <w:pPr>
      <w:tabs>
        <w:tab w:val="left" w:pos="540"/>
      </w:tabs>
      <w:spacing w:line="360" w:lineRule="auto"/>
      <w:ind w:firstLine="420"/>
      <w:jc w:val="left"/>
    </w:pPr>
    <w:rPr>
      <w:rFonts w:eastAsia="宋体"/>
      <w:color w:val="000000"/>
      <w:sz w:val="24"/>
    </w:rPr>
  </w:style>
  <w:style w:type="paragraph" w:customStyle="1" w:styleId="34">
    <w:name w:val="BodyTextIndent"/>
    <w:basedOn w:val="1"/>
    <w:qFormat/>
    <w:uiPriority w:val="0"/>
    <w:pPr>
      <w:spacing w:after="120"/>
      <w:ind w:left="420" w:leftChars="200"/>
      <w:textAlignment w:val="baseline"/>
    </w:pPr>
  </w:style>
  <w:style w:type="character" w:customStyle="1" w:styleId="35">
    <w:name w:val="标题 3 Char"/>
    <w:basedOn w:val="28"/>
    <w:link w:val="4"/>
    <w:qFormat/>
    <w:uiPriority w:val="0"/>
    <w:rPr>
      <w:rFonts w:ascii="Times New Roman" w:hAnsi="Times New Roman" w:eastAsia="楷体_GB2312" w:cstheme="minorBidi"/>
      <w:b/>
      <w:bCs/>
      <w:kern w:val="2"/>
      <w:sz w:val="32"/>
      <w:szCs w:val="32"/>
    </w:rPr>
  </w:style>
  <w:style w:type="paragraph" w:customStyle="1" w:styleId="36">
    <w:name w:val="_Style 1"/>
    <w:basedOn w:val="1"/>
    <w:qFormat/>
    <w:uiPriority w:val="0"/>
    <w:pPr>
      <w:ind w:firstLine="200"/>
    </w:pPr>
    <w:rPr>
      <w:rFonts w:ascii="Calibri" w:hAnsi="Calibri"/>
    </w:rPr>
  </w:style>
  <w:style w:type="character" w:customStyle="1" w:styleId="37">
    <w:name w:val="标题 2 Char"/>
    <w:link w:val="3"/>
    <w:qFormat/>
    <w:uiPriority w:val="0"/>
    <w:rPr>
      <w:rFonts w:ascii="Arial" w:hAnsi="Arial" w:eastAsia="黑体" w:cstheme="minorBidi"/>
      <w:kern w:val="2"/>
      <w:sz w:val="32"/>
      <w:szCs w:val="24"/>
    </w:rPr>
  </w:style>
  <w:style w:type="paragraph" w:customStyle="1" w:styleId="38">
    <w:name w:val="Default"/>
    <w:next w:val="19"/>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39">
    <w:name w:val="样式 10 磅5"/>
    <w:qFormat/>
    <w:uiPriority w:val="99"/>
    <w:pPr>
      <w:widowControl w:val="0"/>
      <w:jc w:val="both"/>
    </w:pPr>
    <w:rPr>
      <w:rFonts w:ascii="Calibri" w:hAnsi="Calibri" w:eastAsia="宋体" w:cs="Times New Roman"/>
      <w:kern w:val="2"/>
      <w:sz w:val="21"/>
      <w:szCs w:val="22"/>
      <w:lang w:val="en-US" w:eastAsia="zh-CN" w:bidi="ar-SA"/>
    </w:rPr>
  </w:style>
  <w:style w:type="character" w:customStyle="1" w:styleId="40">
    <w:name w:val="标题 1 Char"/>
    <w:link w:val="2"/>
    <w:qFormat/>
    <w:uiPriority w:val="0"/>
    <w:rPr>
      <w:rFonts w:ascii="Times New Roman" w:hAnsi="Times New Roman" w:eastAsia="方正小标宋简体" w:cstheme="minorBidi"/>
      <w:kern w:val="44"/>
      <w:sz w:val="36"/>
      <w:szCs w:val="24"/>
    </w:rPr>
  </w:style>
  <w:style w:type="character" w:customStyle="1" w:styleId="41">
    <w:name w:val="标题 4 Char"/>
    <w:link w:val="5"/>
    <w:qFormat/>
    <w:uiPriority w:val="0"/>
    <w:rPr>
      <w:rFonts w:ascii="Arial" w:hAnsi="Arial" w:eastAsia="仿宋" w:cstheme="minorBidi"/>
      <w:b/>
      <w:kern w:val="2"/>
      <w:sz w:val="32"/>
      <w:szCs w:val="24"/>
    </w:rPr>
  </w:style>
  <w:style w:type="character" w:customStyle="1" w:styleId="42">
    <w:name w:val="标题 5 Char"/>
    <w:link w:val="6"/>
    <w:qFormat/>
    <w:uiPriority w:val="0"/>
    <w:rPr>
      <w:rFonts w:eastAsia="仿宋"/>
      <w:b/>
      <w:sz w:val="28"/>
    </w:rPr>
  </w:style>
  <w:style w:type="character" w:customStyle="1" w:styleId="43">
    <w:name w:val="标题 8 Char"/>
    <w:link w:val="9"/>
    <w:qFormat/>
    <w:uiPriority w:val="0"/>
    <w:rPr>
      <w:rFonts w:ascii="Arial" w:hAnsi="Arial" w:eastAsia="黑体"/>
      <w:sz w:val="24"/>
    </w:rPr>
  </w:style>
  <w:style w:type="character" w:customStyle="1" w:styleId="44">
    <w:name w:val="正文文本 Char"/>
    <w:link w:val="14"/>
    <w:qFormat/>
    <w:uiPriority w:val="99"/>
    <w:rPr>
      <w:rFonts w:ascii="等线" w:hAnsi="等线" w:eastAsia="楷体" w:cs="Times New Roman"/>
      <w:sz w:val="32"/>
    </w:rPr>
  </w:style>
  <w:style w:type="character" w:customStyle="1" w:styleId="45">
    <w:name w:val="正文文本缩进 Char"/>
    <w:link w:val="15"/>
    <w:qFormat/>
    <w:uiPriority w:val="0"/>
    <w:rPr>
      <w:rFonts w:ascii="仿宋_GB2312" w:hAnsi="Times New Roman" w:eastAsia="仿宋_GB2312"/>
      <w:bCs/>
      <w:sz w:val="32"/>
      <w:szCs w:val="32"/>
    </w:rPr>
  </w:style>
  <w:style w:type="character" w:customStyle="1" w:styleId="46">
    <w:name w:val="页脚 Char"/>
    <w:link w:val="18"/>
    <w:qFormat/>
    <w:uiPriority w:val="99"/>
    <w:rPr>
      <w:sz w:val="18"/>
      <w:szCs w:val="18"/>
    </w:rPr>
  </w:style>
  <w:style w:type="paragraph" w:customStyle="1" w:styleId="47">
    <w:name w:val="正文用"/>
    <w:basedOn w:val="1"/>
    <w:link w:val="87"/>
    <w:qFormat/>
    <w:uiPriority w:val="0"/>
    <w:pPr>
      <w:ind w:firstLine="560"/>
    </w:pPr>
    <w:rPr>
      <w:rFonts w:cs="Times New Roman"/>
    </w:rPr>
  </w:style>
  <w:style w:type="paragraph" w:customStyle="1" w:styleId="48">
    <w:name w:val="标题4"/>
    <w:basedOn w:val="47"/>
    <w:qFormat/>
    <w:uiPriority w:val="0"/>
    <w:pPr>
      <w:numPr>
        <w:ilvl w:val="0"/>
        <w:numId w:val="6"/>
      </w:numPr>
      <w:ind w:firstLine="0" w:firstLineChars="0"/>
    </w:pPr>
    <w:rPr>
      <w:rFonts w:eastAsia="楷体"/>
      <w:b/>
      <w:bCs/>
    </w:rPr>
  </w:style>
  <w:style w:type="paragraph" w:styleId="49">
    <w:name w:val="List Paragraph"/>
    <w:basedOn w:val="1"/>
    <w:qFormat/>
    <w:uiPriority w:val="34"/>
    <w:pPr>
      <w:ind w:firstLine="420"/>
    </w:pPr>
  </w:style>
  <w:style w:type="table" w:customStyle="1" w:styleId="50">
    <w:name w:val="TableGrid"/>
    <w:qFormat/>
    <w:uiPriority w:val="0"/>
    <w:tblPr>
      <w:tblCellMar>
        <w:top w:w="0" w:type="dxa"/>
        <w:left w:w="0" w:type="dxa"/>
        <w:bottom w:w="0" w:type="dxa"/>
        <w:right w:w="0" w:type="dxa"/>
      </w:tblCellMar>
    </w:tblPr>
  </w:style>
  <w:style w:type="paragraph" w:customStyle="1" w:styleId="51">
    <w:name w:val="专题正文"/>
    <w:basedOn w:val="20"/>
    <w:next w:val="17"/>
    <w:qFormat/>
    <w:uiPriority w:val="0"/>
    <w:pPr>
      <w:spacing w:after="120" w:line="360" w:lineRule="auto"/>
      <w:ind w:firstLine="480"/>
    </w:pPr>
    <w:rPr>
      <w:rFonts w:ascii="仿宋" w:hAnsi="仿宋" w:eastAsia="仿宋" w:cs="仿宋"/>
      <w:sz w:val="24"/>
    </w:rPr>
  </w:style>
  <w:style w:type="table" w:customStyle="1" w:styleId="52">
    <w:name w:val="Table Normal"/>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53">
    <w:name w:val="文本三级"/>
    <w:basedOn w:val="1"/>
    <w:qFormat/>
    <w:uiPriority w:val="0"/>
    <w:pPr>
      <w:spacing w:beforeLines="50" w:afterLines="50" w:line="560" w:lineRule="exact"/>
      <w:ind w:firstLine="200"/>
      <w:outlineLvl w:val="3"/>
    </w:pPr>
    <w:rPr>
      <w:rFonts w:ascii="仿宋" w:hAnsi="仿宋"/>
      <w:b/>
      <w:sz w:val="30"/>
      <w:szCs w:val="30"/>
    </w:rPr>
  </w:style>
  <w:style w:type="character" w:customStyle="1" w:styleId="54">
    <w:name w:val="font21"/>
    <w:basedOn w:val="28"/>
    <w:qFormat/>
    <w:uiPriority w:val="0"/>
    <w:rPr>
      <w:rFonts w:hint="default" w:ascii="Times New Roman" w:hAnsi="Times New Roman" w:cs="Times New Roman"/>
      <w:color w:val="000000"/>
      <w:sz w:val="21"/>
      <w:szCs w:val="21"/>
      <w:u w:val="none"/>
    </w:rPr>
  </w:style>
  <w:style w:type="paragraph" w:customStyle="1" w:styleId="55">
    <w:name w:val="文本正文"/>
    <w:basedOn w:val="1"/>
    <w:link w:val="56"/>
    <w:qFormat/>
    <w:uiPriority w:val="0"/>
    <w:pPr>
      <w:spacing w:line="560" w:lineRule="exact"/>
      <w:ind w:firstLine="560"/>
    </w:pPr>
    <w:rPr>
      <w:rFonts w:eastAsia="仿宋_GB2312" w:cs="Times New Roman"/>
      <w:sz w:val="32"/>
      <w:szCs w:val="22"/>
    </w:rPr>
  </w:style>
  <w:style w:type="character" w:customStyle="1" w:styleId="56">
    <w:name w:val="文本正文 Char"/>
    <w:basedOn w:val="28"/>
    <w:link w:val="55"/>
    <w:qFormat/>
    <w:uiPriority w:val="0"/>
    <w:rPr>
      <w:rFonts w:ascii="Times New Roman" w:hAnsi="Times New Roman" w:eastAsia="仿宋_GB2312"/>
      <w:kern w:val="2"/>
      <w:sz w:val="32"/>
      <w:szCs w:val="22"/>
    </w:rPr>
  </w:style>
  <w:style w:type="paragraph" w:customStyle="1" w:styleId="57">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rPr>
  </w:style>
  <w:style w:type="paragraph" w:customStyle="1" w:styleId="58">
    <w:name w:val="font5"/>
    <w:basedOn w:val="1"/>
    <w:qFormat/>
    <w:uiPriority w:val="0"/>
    <w:pPr>
      <w:widowControl/>
      <w:spacing w:before="100" w:beforeAutospacing="1" w:after="100" w:afterAutospacing="1" w:line="240" w:lineRule="auto"/>
      <w:ind w:firstLine="0" w:firstLineChars="0"/>
      <w:jc w:val="left"/>
    </w:pPr>
    <w:rPr>
      <w:rFonts w:eastAsia="宋体" w:cs="Times New Roman"/>
      <w:color w:val="000000"/>
      <w:kern w:val="0"/>
      <w:sz w:val="21"/>
      <w:szCs w:val="21"/>
    </w:rPr>
  </w:style>
  <w:style w:type="paragraph" w:customStyle="1" w:styleId="59">
    <w:name w:val="font6"/>
    <w:basedOn w:val="1"/>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1"/>
      <w:szCs w:val="21"/>
    </w:rPr>
  </w:style>
  <w:style w:type="paragraph" w:customStyle="1" w:styleId="60">
    <w:name w:val="font7"/>
    <w:basedOn w:val="1"/>
    <w:qFormat/>
    <w:uiPriority w:val="0"/>
    <w:pPr>
      <w:widowControl/>
      <w:spacing w:before="100" w:beforeAutospacing="1" w:after="100" w:afterAutospacing="1" w:line="240" w:lineRule="auto"/>
      <w:ind w:firstLine="0" w:firstLineChars="0"/>
      <w:jc w:val="left"/>
    </w:pPr>
    <w:rPr>
      <w:rFonts w:ascii="仿宋" w:hAnsi="仿宋" w:cs="宋体"/>
      <w:color w:val="000000"/>
      <w:kern w:val="0"/>
      <w:sz w:val="21"/>
      <w:szCs w:val="21"/>
    </w:rPr>
  </w:style>
  <w:style w:type="paragraph" w:customStyle="1" w:styleId="61">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eastAsia="宋体" w:cs="Times New Roman"/>
      <w:color w:val="000000"/>
      <w:kern w:val="0"/>
      <w:sz w:val="21"/>
      <w:szCs w:val="21"/>
    </w:rPr>
  </w:style>
  <w:style w:type="paragraph" w:customStyle="1" w:styleId="62">
    <w:name w:val="xl66"/>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eastAsia="宋体" w:cs="Times New Roman"/>
      <w:color w:val="000000"/>
      <w:kern w:val="0"/>
      <w:sz w:val="21"/>
      <w:szCs w:val="21"/>
    </w:rPr>
  </w:style>
  <w:style w:type="paragraph" w:customStyle="1" w:styleId="63">
    <w:name w:val="xl67"/>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eastAsia="宋体" w:cs="Times New Roman"/>
      <w:color w:val="000000"/>
      <w:kern w:val="0"/>
      <w:sz w:val="21"/>
      <w:szCs w:val="21"/>
    </w:rPr>
  </w:style>
  <w:style w:type="paragraph" w:customStyle="1" w:styleId="64">
    <w:name w:val="xl68"/>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宋体" w:hAnsi="宋体" w:eastAsia="宋体" w:cs="宋体"/>
      <w:color w:val="000000"/>
      <w:kern w:val="0"/>
      <w:sz w:val="21"/>
      <w:szCs w:val="21"/>
    </w:rPr>
  </w:style>
  <w:style w:type="paragraph" w:customStyle="1" w:styleId="65">
    <w:name w:val="TOC 标题1"/>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color w:val="2E75B5" w:themeColor="accent1" w:themeShade="BF"/>
      <w:kern w:val="0"/>
      <w:sz w:val="32"/>
      <w:szCs w:val="32"/>
    </w:rPr>
  </w:style>
  <w:style w:type="character" w:customStyle="1" w:styleId="66">
    <w:name w:val="页眉 Char"/>
    <w:basedOn w:val="28"/>
    <w:link w:val="19"/>
    <w:qFormat/>
    <w:uiPriority w:val="0"/>
    <w:rPr>
      <w:rFonts w:eastAsia="仿宋" w:asciiTheme="minorHAnsi" w:hAnsiTheme="minorHAnsi" w:cstheme="minorBidi"/>
      <w:kern w:val="2"/>
      <w:sz w:val="18"/>
      <w:szCs w:val="18"/>
    </w:rPr>
  </w:style>
  <w:style w:type="paragraph" w:customStyle="1" w:styleId="67">
    <w:name w:val="font8"/>
    <w:basedOn w:val="1"/>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1"/>
      <w:szCs w:val="21"/>
    </w:rPr>
  </w:style>
  <w:style w:type="paragraph" w:customStyle="1" w:styleId="68">
    <w:name w:val="font9"/>
    <w:basedOn w:val="1"/>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1"/>
      <w:szCs w:val="21"/>
    </w:rPr>
  </w:style>
  <w:style w:type="paragraph" w:customStyle="1" w:styleId="69">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textAlignment w:val="center"/>
    </w:pPr>
    <w:rPr>
      <w:rFonts w:eastAsia="宋体" w:cs="Times New Roman"/>
      <w:color w:val="000000"/>
      <w:kern w:val="0"/>
      <w:sz w:val="21"/>
      <w:szCs w:val="21"/>
    </w:rPr>
  </w:style>
  <w:style w:type="paragraph" w:customStyle="1" w:styleId="70">
    <w:name w:val="xl71"/>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textAlignment w:val="center"/>
    </w:pPr>
    <w:rPr>
      <w:rFonts w:eastAsia="宋体" w:cs="Times New Roman"/>
      <w:color w:val="000000"/>
      <w:kern w:val="0"/>
      <w:sz w:val="21"/>
      <w:szCs w:val="21"/>
    </w:rPr>
  </w:style>
  <w:style w:type="paragraph" w:customStyle="1" w:styleId="71">
    <w:name w:val="xl72"/>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center"/>
    </w:pPr>
    <w:rPr>
      <w:rFonts w:eastAsia="宋体" w:cs="Times New Roman"/>
      <w:color w:val="000000"/>
      <w:kern w:val="0"/>
      <w:sz w:val="21"/>
      <w:szCs w:val="21"/>
    </w:rPr>
  </w:style>
  <w:style w:type="paragraph" w:customStyle="1" w:styleId="72">
    <w:name w:val="xl73"/>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center"/>
    </w:pPr>
    <w:rPr>
      <w:rFonts w:ascii="宋体" w:hAnsi="宋体" w:eastAsia="宋体" w:cs="宋体"/>
      <w:color w:val="000000"/>
      <w:kern w:val="0"/>
      <w:sz w:val="21"/>
      <w:szCs w:val="21"/>
    </w:rPr>
  </w:style>
  <w:style w:type="paragraph" w:customStyle="1" w:styleId="73">
    <w:name w:val="xl74"/>
    <w:basedOn w:val="1"/>
    <w:qFormat/>
    <w:uiPriority w:val="0"/>
    <w:pPr>
      <w:widowControl/>
      <w:pBdr>
        <w:right w:val="single" w:color="000000" w:sz="8" w:space="0"/>
      </w:pBdr>
      <w:spacing w:before="100" w:beforeAutospacing="1" w:after="100" w:afterAutospacing="1" w:line="240" w:lineRule="auto"/>
      <w:ind w:firstLine="0" w:firstLineChars="0"/>
      <w:jc w:val="center"/>
      <w:textAlignment w:val="center"/>
    </w:pPr>
    <w:rPr>
      <w:rFonts w:eastAsia="宋体" w:cs="Times New Roman"/>
      <w:color w:val="000000"/>
      <w:kern w:val="0"/>
      <w:sz w:val="21"/>
      <w:szCs w:val="21"/>
    </w:rPr>
  </w:style>
  <w:style w:type="paragraph" w:customStyle="1" w:styleId="74">
    <w:name w:val="xl75"/>
    <w:basedOn w:val="1"/>
    <w:qFormat/>
    <w:uiPriority w:val="0"/>
    <w:pPr>
      <w:widowControl/>
      <w:pBdr>
        <w:top w:val="single" w:color="auto" w:sz="8" w:space="0"/>
        <w:bottom w:val="single" w:color="auto" w:sz="8" w:space="0"/>
        <w:right w:val="single" w:color="000000" w:sz="8" w:space="0"/>
      </w:pBdr>
      <w:spacing w:before="100" w:beforeAutospacing="1" w:after="100" w:afterAutospacing="1" w:line="240" w:lineRule="auto"/>
      <w:ind w:firstLine="0" w:firstLineChars="0"/>
      <w:jc w:val="center"/>
      <w:textAlignment w:val="center"/>
    </w:pPr>
    <w:rPr>
      <w:rFonts w:eastAsia="宋体" w:cs="Times New Roman"/>
      <w:color w:val="000000"/>
      <w:kern w:val="0"/>
      <w:sz w:val="21"/>
      <w:szCs w:val="21"/>
    </w:rPr>
  </w:style>
  <w:style w:type="paragraph" w:customStyle="1" w:styleId="75">
    <w:name w:val="xl76"/>
    <w:basedOn w:val="1"/>
    <w:qFormat/>
    <w:uiPriority w:val="0"/>
    <w:pPr>
      <w:widowControl/>
      <w:pBdr>
        <w:top w:val="single" w:color="auto" w:sz="8" w:space="0"/>
        <w:bottom w:val="single" w:color="auto" w:sz="8" w:space="0"/>
        <w:right w:val="single" w:color="auto" w:sz="8" w:space="0"/>
      </w:pBdr>
      <w:spacing w:before="100" w:beforeAutospacing="1" w:after="100" w:afterAutospacing="1" w:line="240" w:lineRule="auto"/>
      <w:ind w:firstLine="0" w:firstLineChars="0"/>
      <w:jc w:val="center"/>
      <w:textAlignment w:val="center"/>
    </w:pPr>
    <w:rPr>
      <w:rFonts w:eastAsia="宋体" w:cs="Times New Roman"/>
      <w:color w:val="000000"/>
      <w:kern w:val="0"/>
      <w:sz w:val="21"/>
      <w:szCs w:val="21"/>
    </w:rPr>
  </w:style>
  <w:style w:type="paragraph" w:customStyle="1" w:styleId="76">
    <w:name w:val="xl69"/>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center"/>
    </w:pPr>
    <w:rPr>
      <w:rFonts w:eastAsia="宋体" w:cs="Times New Roman"/>
      <w:color w:val="000000"/>
      <w:kern w:val="0"/>
      <w:sz w:val="21"/>
      <w:szCs w:val="21"/>
    </w:rPr>
  </w:style>
  <w:style w:type="paragraph" w:customStyle="1" w:styleId="77">
    <w:name w:val="WPSOffice手动目录 1"/>
    <w:qFormat/>
    <w:uiPriority w:val="0"/>
    <w:rPr>
      <w:rFonts w:ascii="Times New Roman" w:hAnsi="Times New Roman" w:eastAsia="宋体" w:cs="Times New Roman"/>
      <w:lang w:val="en-US" w:eastAsia="zh-CN" w:bidi="ar-SA"/>
    </w:rPr>
  </w:style>
  <w:style w:type="paragraph" w:customStyle="1" w:styleId="78">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79">
    <w:name w:val="font11"/>
    <w:basedOn w:val="28"/>
    <w:qFormat/>
    <w:uiPriority w:val="0"/>
    <w:rPr>
      <w:rFonts w:hint="eastAsia" w:ascii="仿宋" w:hAnsi="仿宋" w:eastAsia="仿宋" w:cs="仿宋"/>
      <w:color w:val="000000"/>
      <w:sz w:val="21"/>
      <w:szCs w:val="21"/>
      <w:u w:val="none"/>
    </w:rPr>
  </w:style>
  <w:style w:type="character" w:customStyle="1" w:styleId="80">
    <w:name w:val="批注文字 Char"/>
    <w:link w:val="13"/>
    <w:qFormat/>
    <w:uiPriority w:val="0"/>
  </w:style>
  <w:style w:type="character" w:customStyle="1" w:styleId="81">
    <w:name w:val="标题 7 Char"/>
    <w:link w:val="8"/>
    <w:qFormat/>
    <w:uiPriority w:val="0"/>
    <w:rPr>
      <w:sz w:val="21"/>
    </w:rPr>
  </w:style>
  <w:style w:type="character" w:customStyle="1" w:styleId="82">
    <w:name w:val="批注主题 Char"/>
    <w:basedOn w:val="80"/>
    <w:link w:val="23"/>
    <w:qFormat/>
    <w:uiPriority w:val="0"/>
    <w:rPr>
      <w:rFonts w:eastAsia="仿宋" w:asciiTheme="minorHAnsi" w:hAnsiTheme="minorHAnsi" w:cstheme="minorBidi"/>
      <w:b/>
      <w:bCs/>
      <w:kern w:val="2"/>
      <w:sz w:val="32"/>
      <w:szCs w:val="24"/>
    </w:rPr>
  </w:style>
  <w:style w:type="paragraph" w:customStyle="1" w:styleId="83">
    <w:name w:val="修订1"/>
    <w:hidden/>
    <w:semiHidden/>
    <w:qFormat/>
    <w:uiPriority w:val="99"/>
    <w:rPr>
      <w:rFonts w:eastAsia="仿宋" w:asciiTheme="minorHAnsi" w:hAnsiTheme="minorHAnsi" w:cstheme="minorBidi"/>
      <w:kern w:val="2"/>
      <w:sz w:val="32"/>
      <w:szCs w:val="24"/>
      <w:lang w:val="en-US" w:eastAsia="zh-CN" w:bidi="ar-SA"/>
    </w:rPr>
  </w:style>
  <w:style w:type="paragraph" w:customStyle="1" w:styleId="84">
    <w:name w:val="修订2"/>
    <w:hidden/>
    <w:semiHidden/>
    <w:qFormat/>
    <w:uiPriority w:val="99"/>
    <w:rPr>
      <w:rFonts w:eastAsia="仿宋" w:asciiTheme="minorHAnsi" w:hAnsiTheme="minorHAnsi" w:cstheme="minorBidi"/>
      <w:kern w:val="2"/>
      <w:sz w:val="32"/>
      <w:szCs w:val="24"/>
      <w:lang w:val="en-US" w:eastAsia="zh-CN" w:bidi="ar-SA"/>
    </w:rPr>
  </w:style>
  <w:style w:type="paragraph" w:customStyle="1" w:styleId="85">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rFonts w:ascii="宋体" w:hAnsi="宋体" w:eastAsia="宋体" w:cs="宋体"/>
      <w:kern w:val="0"/>
      <w:sz w:val="20"/>
      <w:szCs w:val="20"/>
    </w:rPr>
  </w:style>
  <w:style w:type="paragraph" w:customStyle="1" w:styleId="86">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firstLineChars="0"/>
      <w:jc w:val="center"/>
      <w:textAlignment w:val="center"/>
    </w:pPr>
    <w:rPr>
      <w:rFonts w:ascii="宋体" w:hAnsi="宋体" w:eastAsia="宋体" w:cs="宋体"/>
      <w:kern w:val="0"/>
      <w:sz w:val="20"/>
      <w:szCs w:val="20"/>
    </w:rPr>
  </w:style>
  <w:style w:type="character" w:customStyle="1" w:styleId="87">
    <w:name w:val="正文用 Char"/>
    <w:link w:val="47"/>
    <w:qFormat/>
    <w:uiPriority w:val="0"/>
    <w:rPr>
      <w:rFonts w:ascii="Times New Roman" w:hAnsi="Times New Roman" w:cs="Times New Roman"/>
    </w:rPr>
  </w:style>
  <w:style w:type="character" w:customStyle="1" w:styleId="88">
    <w:name w:val="正文文本 字符1"/>
    <w:qFormat/>
    <w:uiPriority w:val="99"/>
    <w:rPr>
      <w:rFonts w:ascii="等线" w:hAnsi="等线" w:eastAsia="楷体" w:cs="Times New Roman"/>
      <w:sz w:val="32"/>
    </w:rPr>
  </w:style>
  <w:style w:type="character" w:customStyle="1" w:styleId="89">
    <w:name w:val="font61"/>
    <w:basedOn w:val="28"/>
    <w:qFormat/>
    <w:uiPriority w:val="0"/>
    <w:rPr>
      <w:rFonts w:ascii="仿宋" w:hAnsi="仿宋" w:eastAsia="仿宋" w:cs="仿宋"/>
      <w:color w:val="000000"/>
      <w:sz w:val="24"/>
      <w:szCs w:val="24"/>
      <w:u w:val="none"/>
    </w:rPr>
  </w:style>
  <w:style w:type="character" w:customStyle="1" w:styleId="90">
    <w:name w:val="font71"/>
    <w:basedOn w:val="28"/>
    <w:qFormat/>
    <w:uiPriority w:val="0"/>
    <w:rPr>
      <w:rFonts w:hint="default" w:ascii="Times New Roman" w:hAnsi="Times New Roman" w:cs="Times New Roman"/>
      <w:color w:val="000000"/>
      <w:sz w:val="24"/>
      <w:szCs w:val="24"/>
      <w:u w:val="none"/>
    </w:rPr>
  </w:style>
  <w:style w:type="character" w:customStyle="1" w:styleId="91">
    <w:name w:val="font81"/>
    <w:basedOn w:val="28"/>
    <w:qFormat/>
    <w:uiPriority w:val="0"/>
    <w:rPr>
      <w:rFonts w:hint="default" w:ascii="Times New Roman" w:hAnsi="Times New Roman" w:cs="Times New Roman"/>
      <w:color w:val="000000"/>
      <w:sz w:val="24"/>
      <w:szCs w:val="24"/>
      <w:u w:val="none"/>
    </w:rPr>
  </w:style>
  <w:style w:type="character" w:customStyle="1" w:styleId="92">
    <w:name w:val="font51"/>
    <w:basedOn w:val="28"/>
    <w:qFormat/>
    <w:uiPriority w:val="0"/>
    <w:rPr>
      <w:rFonts w:hint="eastAsia" w:ascii="仿宋" w:hAnsi="仿宋" w:eastAsia="仿宋" w:cs="仿宋"/>
      <w:color w:val="000000"/>
      <w:sz w:val="24"/>
      <w:szCs w:val="24"/>
      <w:u w:val="none"/>
    </w:rPr>
  </w:style>
  <w:style w:type="character" w:customStyle="1" w:styleId="93">
    <w:name w:val="font91"/>
    <w:basedOn w:val="28"/>
    <w:qFormat/>
    <w:uiPriority w:val="0"/>
    <w:rPr>
      <w:rFonts w:hint="eastAsia" w:ascii="仿宋" w:hAnsi="仿宋" w:eastAsia="仿宋" w:cs="仿宋"/>
      <w:color w:val="000000"/>
      <w:sz w:val="22"/>
      <w:szCs w:val="22"/>
      <w:u w:val="none"/>
    </w:rPr>
  </w:style>
  <w:style w:type="character" w:customStyle="1" w:styleId="94">
    <w:name w:val="font101"/>
    <w:basedOn w:val="28"/>
    <w:qFormat/>
    <w:uiPriority w:val="0"/>
    <w:rPr>
      <w:rFonts w:hint="default" w:ascii="Times New Roman" w:hAnsi="Times New Roman" w:cs="Times New Roman"/>
      <w:color w:val="000000"/>
      <w:sz w:val="22"/>
      <w:szCs w:val="22"/>
      <w:u w:val="none"/>
    </w:rPr>
  </w:style>
  <w:style w:type="character" w:customStyle="1" w:styleId="95">
    <w:name w:val="font111"/>
    <w:basedOn w:val="28"/>
    <w:qFormat/>
    <w:uiPriority w:val="0"/>
    <w:rPr>
      <w:rFonts w:hint="default" w:ascii="Times New Roman" w:hAnsi="Times New Roman" w:cs="Times New Roman"/>
      <w:color w:val="000000"/>
      <w:sz w:val="21"/>
      <w:szCs w:val="21"/>
      <w:u w:val="none"/>
    </w:rPr>
  </w:style>
  <w:style w:type="character" w:customStyle="1" w:styleId="96">
    <w:name w:val="font121"/>
    <w:basedOn w:val="28"/>
    <w:qFormat/>
    <w:uiPriority w:val="0"/>
    <w:rPr>
      <w:rFonts w:hint="eastAsia" w:ascii="宋体" w:hAnsi="宋体" w:eastAsia="宋体" w:cs="宋体"/>
      <w:color w:val="000000"/>
      <w:sz w:val="21"/>
      <w:szCs w:val="21"/>
      <w:u w:val="none"/>
    </w:rPr>
  </w:style>
  <w:style w:type="character" w:customStyle="1" w:styleId="97">
    <w:name w:val="font131"/>
    <w:basedOn w:val="28"/>
    <w:qFormat/>
    <w:uiPriority w:val="0"/>
    <w:rPr>
      <w:rFonts w:hint="eastAsia" w:ascii="宋体" w:hAnsi="宋体" w:eastAsia="宋体" w:cs="宋体"/>
      <w:color w:val="000000"/>
      <w:sz w:val="22"/>
      <w:szCs w:val="22"/>
      <w:u w:val="none"/>
    </w:rPr>
  </w:style>
  <w:style w:type="character" w:customStyle="1" w:styleId="98">
    <w:name w:val="font142"/>
    <w:basedOn w:val="28"/>
    <w:qFormat/>
    <w:uiPriority w:val="0"/>
    <w:rPr>
      <w:rFonts w:hint="default" w:ascii="Times New Roman" w:hAnsi="Times New Roman" w:cs="Times New Roman"/>
      <w:color w:val="000000"/>
      <w:sz w:val="21"/>
      <w:szCs w:val="21"/>
      <w:u w:val="none"/>
    </w:rPr>
  </w:style>
  <w:style w:type="character" w:customStyle="1" w:styleId="99">
    <w:name w:val="标题 6 Char"/>
    <w:link w:val="7"/>
    <w:qFormat/>
    <w:uiPriority w:val="0"/>
    <w:rPr>
      <w:rFonts w:ascii="Arial" w:hAnsi="Arial" w:eastAsia="楷体"/>
      <w:sz w:val="28"/>
    </w:rPr>
  </w:style>
  <w:style w:type="paragraph" w:customStyle="1" w:styleId="100">
    <w:name w:val="节标题"/>
    <w:basedOn w:val="1"/>
    <w:qFormat/>
    <w:uiPriority w:val="0"/>
    <w:pPr>
      <w:keepNext/>
      <w:keepLines/>
      <w:spacing w:beforeLines="100" w:afterLines="100" w:line="560" w:lineRule="exact"/>
      <w:ind w:hanging="1006" w:hangingChars="313"/>
      <w:jc w:val="center"/>
      <w:outlineLvl w:val="1"/>
    </w:pPr>
    <w:rPr>
      <w:rFonts w:ascii="Arial" w:hAnsi="Arial" w:eastAsia="黑体"/>
    </w:rPr>
  </w:style>
  <w:style w:type="paragraph" w:customStyle="1" w:styleId="101">
    <w:name w:val="标题2_基于章节格式"/>
    <w:basedOn w:val="3"/>
    <w:next w:val="1"/>
    <w:qFormat/>
    <w:uiPriority w:val="0"/>
    <w:pPr>
      <w:tabs>
        <w:tab w:val="clear" w:pos="2577"/>
        <w:tab w:val="clear" w:pos="2860"/>
      </w:tabs>
    </w:pPr>
  </w:style>
  <w:style w:type="paragraph" w:customStyle="1" w:styleId="102">
    <w:name w:val="文本二级标题"/>
    <w:basedOn w:val="3"/>
    <w:qFormat/>
    <w:uiPriority w:val="0"/>
    <w:pPr>
      <w:numPr>
        <w:numId w:val="0"/>
      </w:numPr>
      <w:tabs>
        <w:tab w:val="clear" w:pos="0"/>
        <w:tab w:val="clear" w:pos="2577"/>
        <w:tab w:val="clear" w:pos="2860"/>
      </w:tabs>
      <w:adjustRightInd/>
      <w:spacing w:beforeLines="100" w:afterLines="100" w:line="560" w:lineRule="exact"/>
      <w:ind w:hanging="658" w:hangingChars="313"/>
    </w:pPr>
    <w:rPr>
      <w:rFonts w:ascii="Times New Roman" w:hAnsi="Times New Roman"/>
    </w:rPr>
  </w:style>
  <w:style w:type="character" w:customStyle="1" w:styleId="103">
    <w:name w:val="font01"/>
    <w:basedOn w:val="28"/>
    <w:qFormat/>
    <w:uiPriority w:val="0"/>
    <w:rPr>
      <w:rFonts w:hint="default" w:ascii="Times New Roman" w:hAnsi="Times New Roman" w:cs="Times New Roman"/>
      <w:color w:val="1D41D5"/>
      <w:sz w:val="24"/>
      <w:szCs w:val="24"/>
      <w:u w:val="none"/>
    </w:rPr>
  </w:style>
  <w:style w:type="paragraph" w:customStyle="1" w:styleId="104">
    <w:name w:val="表格文字"/>
    <w:basedOn w:val="1"/>
    <w:qFormat/>
    <w:uiPriority w:val="0"/>
    <w:pPr>
      <w:widowControl/>
      <w:tabs>
        <w:tab w:val="left" w:pos="360"/>
      </w:tabs>
      <w:spacing w:line="360" w:lineRule="auto"/>
      <w:jc w:val="center"/>
    </w:pPr>
    <w:rPr>
      <w:rFonts w:cs="等线"/>
      <w:kern w:val="0"/>
      <w:sz w:val="21"/>
      <w:szCs w:val="21"/>
    </w:rPr>
  </w:style>
  <w:style w:type="paragraph" w:customStyle="1" w:styleId="105">
    <w:name w:val="文本1"/>
    <w:basedOn w:val="2"/>
    <w:qFormat/>
    <w:uiPriority w:val="0"/>
    <w:pPr>
      <w:spacing w:before="240" w:after="240" w:line="560" w:lineRule="exact"/>
      <w:ind w:hanging="1480" w:hangingChars="705"/>
    </w:pPr>
    <w:rPr>
      <w:szCs w:val="36"/>
    </w:rPr>
  </w:style>
  <w:style w:type="character" w:customStyle="1" w:styleId="106">
    <w:name w:val="文档结构图 Char"/>
    <w:basedOn w:val="28"/>
    <w:link w:val="12"/>
    <w:qFormat/>
    <w:uiPriority w:val="0"/>
    <w:rPr>
      <w:rFonts w:ascii="宋体"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2012dnd.com</Company>
  <Pages>60</Pages>
  <Words>9907</Words>
  <Characters>10480</Characters>
  <Lines>398</Lines>
  <Paragraphs>112</Paragraphs>
  <TotalTime>0</TotalTime>
  <ScaleCrop>false</ScaleCrop>
  <LinksUpToDate>false</LinksUpToDate>
  <CharactersWithSpaces>10711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2023-12-22T02:37:00Z</dcterms:created>
  <dc:creator>  </dc:creator>
  <cp:lastModifiedBy>WPS_1528159264</cp:lastModifiedBy>
  <cp:lastPrinted>2023-05-26T02:06:00Z</cp:lastPrinted>
  <dcterms:modified xsi:type="dcterms:W3CDTF">2026-09-03T11:06:46Z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05ADB2F169074161B43A30878E642340_13</vt:lpwstr>
  </property>
  <property fmtid="{D5CDD505-2E9C-101B-9397-08002B2CF9AE}" pid="4" name="hmcheck_markmode">
    <vt:i4>0</vt:i4>
  </property>
  <property fmtid="{D5CDD505-2E9C-101B-9397-08002B2CF9AE}" pid="5" name="hmcheck_taskpanetype">
    <vt:i4>1</vt:i4>
  </property>
  <property fmtid="{D5CDD505-2E9C-101B-9397-08002B2CF9AE}" pid="6" name="KSOTemplateDocerSaveRecord">
    <vt:lpwstr>eyJoZGlkIjoiZTUzNjk3YmZhOGEyYWI1ZjVjYzMwZjcxNWE0ODkwYTIiLCJ1c2VySWQiOiIzNzYwODA2NDgifQ==</vt:lpwstr>
  </property>
</Properties>
</file>