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5FF33">
      <w:pPr>
        <w:ind w:firstLine="640"/>
        <w:rPr>
          <w:rFonts w:hint="eastAsia" w:ascii="仿宋_GB2312" w:hAnsi="仿宋_GB2312" w:cs="仿宋_GB2312"/>
          <w:szCs w:val="32"/>
        </w:rPr>
      </w:pPr>
    </w:p>
    <w:p w14:paraId="1CAC1A40">
      <w:pPr>
        <w:ind w:firstLine="640"/>
        <w:rPr>
          <w:rFonts w:hint="eastAsia" w:ascii="仿宋_GB2312" w:hAnsi="仿宋_GB2312" w:cs="仿宋_GB2312"/>
          <w:szCs w:val="32"/>
        </w:rPr>
      </w:pPr>
    </w:p>
    <w:p w14:paraId="1177D11C">
      <w:pPr>
        <w:ind w:firstLine="640"/>
        <w:rPr>
          <w:rFonts w:hint="eastAsia" w:ascii="仿宋_GB2312" w:hAnsi="仿宋_GB2312" w:cs="仿宋_GB2312"/>
          <w:szCs w:val="32"/>
        </w:rPr>
      </w:pPr>
    </w:p>
    <w:p w14:paraId="3C9DDA11">
      <w:pPr>
        <w:ind w:firstLine="640"/>
        <w:rPr>
          <w:rFonts w:hint="eastAsia" w:ascii="仿宋_GB2312" w:hAnsi="仿宋_GB2312" w:cs="仿宋_GB2312"/>
          <w:szCs w:val="32"/>
        </w:rPr>
      </w:pPr>
    </w:p>
    <w:p w14:paraId="0EC38F2D">
      <w:pPr>
        <w:ind w:firstLine="640"/>
        <w:rPr>
          <w:rFonts w:hint="eastAsia" w:ascii="仿宋_GB2312" w:hAnsi="仿宋_GB2312" w:cs="仿宋_GB2312"/>
          <w:szCs w:val="32"/>
        </w:rPr>
      </w:pPr>
    </w:p>
    <w:p w14:paraId="7F587262">
      <w:pPr>
        <w:ind w:firstLine="0" w:firstLineChars="0"/>
        <w:jc w:val="center"/>
        <w:rPr>
          <w:rFonts w:eastAsia="方正小标宋简体"/>
          <w:sz w:val="44"/>
          <w:szCs w:val="44"/>
        </w:rPr>
      </w:pPr>
      <w:r>
        <w:rPr>
          <w:rFonts w:hint="eastAsia" w:eastAsia="方正小标宋简体"/>
          <w:sz w:val="44"/>
          <w:szCs w:val="44"/>
        </w:rPr>
        <w:t>桦川县创业乡</w:t>
      </w:r>
      <w:r>
        <w:rPr>
          <w:rFonts w:eastAsia="方正小标宋简体"/>
          <w:sz w:val="44"/>
          <w:szCs w:val="44"/>
        </w:rPr>
        <w:t>国土空间总体规划</w:t>
      </w:r>
    </w:p>
    <w:p w14:paraId="7F290CEA">
      <w:pPr>
        <w:ind w:firstLine="0" w:firstLineChars="0"/>
        <w:jc w:val="center"/>
        <w:rPr>
          <w:rFonts w:eastAsia="方正小标宋简体"/>
          <w:sz w:val="44"/>
          <w:szCs w:val="44"/>
        </w:rPr>
      </w:pPr>
      <w:r>
        <w:rPr>
          <w:rFonts w:eastAsia="方正小标宋简体"/>
          <w:sz w:val="44"/>
          <w:szCs w:val="44"/>
        </w:rPr>
        <w:t>（2021</w:t>
      </w:r>
      <w:r>
        <w:rPr>
          <w:rFonts w:hint="eastAsia" w:eastAsia="方正小标宋简体"/>
          <w:sz w:val="44"/>
          <w:szCs w:val="44"/>
        </w:rPr>
        <w:t>—</w:t>
      </w:r>
      <w:r>
        <w:rPr>
          <w:rFonts w:eastAsia="方正小标宋简体"/>
          <w:sz w:val="44"/>
          <w:szCs w:val="44"/>
        </w:rPr>
        <w:t>2035年）</w:t>
      </w:r>
    </w:p>
    <w:p w14:paraId="64E15BD3">
      <w:pPr>
        <w:ind w:firstLine="0" w:firstLineChars="0"/>
        <w:jc w:val="center"/>
        <w:rPr>
          <w:rFonts w:eastAsia="方正小标宋简体"/>
          <w:sz w:val="44"/>
          <w:szCs w:val="44"/>
        </w:rPr>
      </w:pPr>
    </w:p>
    <w:p w14:paraId="348CA05E">
      <w:pPr>
        <w:ind w:firstLine="0" w:firstLineChars="0"/>
        <w:jc w:val="center"/>
        <w:rPr>
          <w:rFonts w:eastAsia="方正小标宋简体"/>
          <w:sz w:val="44"/>
          <w:szCs w:val="44"/>
        </w:rPr>
      </w:pPr>
    </w:p>
    <w:p w14:paraId="11F11383">
      <w:pPr>
        <w:ind w:firstLine="0" w:firstLineChars="0"/>
        <w:jc w:val="center"/>
        <w:rPr>
          <w:rFonts w:eastAsia="方正小标宋简体"/>
          <w:sz w:val="44"/>
          <w:szCs w:val="44"/>
        </w:rPr>
      </w:pPr>
    </w:p>
    <w:p w14:paraId="68864880">
      <w:pPr>
        <w:ind w:firstLine="0" w:firstLineChars="0"/>
        <w:jc w:val="center"/>
        <w:rPr>
          <w:rFonts w:eastAsia="方正小标宋简体"/>
          <w:sz w:val="44"/>
          <w:szCs w:val="44"/>
        </w:rPr>
      </w:pPr>
    </w:p>
    <w:p w14:paraId="02985462">
      <w:pPr>
        <w:ind w:firstLine="0" w:firstLineChars="0"/>
        <w:jc w:val="center"/>
        <w:rPr>
          <w:rFonts w:eastAsia="方正小标宋简体"/>
          <w:sz w:val="44"/>
          <w:szCs w:val="44"/>
        </w:rPr>
      </w:pPr>
    </w:p>
    <w:p w14:paraId="28E9ED13">
      <w:pPr>
        <w:ind w:firstLine="0" w:firstLineChars="0"/>
        <w:jc w:val="center"/>
        <w:rPr>
          <w:rFonts w:eastAsia="方正小标宋简体"/>
          <w:sz w:val="44"/>
          <w:szCs w:val="44"/>
        </w:rPr>
      </w:pPr>
    </w:p>
    <w:p w14:paraId="3138B198">
      <w:pPr>
        <w:ind w:firstLine="0" w:firstLineChars="0"/>
        <w:jc w:val="center"/>
        <w:rPr>
          <w:rFonts w:eastAsia="方正小标宋简体"/>
          <w:sz w:val="44"/>
          <w:szCs w:val="44"/>
        </w:rPr>
      </w:pPr>
    </w:p>
    <w:p w14:paraId="6701EDD5">
      <w:pPr>
        <w:ind w:firstLine="0" w:firstLineChars="0"/>
        <w:jc w:val="center"/>
        <w:rPr>
          <w:rFonts w:eastAsia="方正小标宋简体"/>
          <w:sz w:val="44"/>
          <w:szCs w:val="44"/>
        </w:rPr>
      </w:pPr>
    </w:p>
    <w:p w14:paraId="500DE782">
      <w:pPr>
        <w:ind w:firstLine="0" w:firstLineChars="0"/>
        <w:jc w:val="center"/>
        <w:rPr>
          <w:rFonts w:eastAsia="方正小标宋简体"/>
          <w:sz w:val="44"/>
          <w:szCs w:val="44"/>
        </w:rPr>
      </w:pPr>
    </w:p>
    <w:p w14:paraId="40774BFB">
      <w:pPr>
        <w:ind w:firstLine="0" w:firstLineChars="0"/>
        <w:jc w:val="center"/>
        <w:rPr>
          <w:rFonts w:eastAsia="方正小标宋简体"/>
          <w:sz w:val="44"/>
          <w:szCs w:val="44"/>
        </w:rPr>
      </w:pPr>
    </w:p>
    <w:p w14:paraId="3BAAA949">
      <w:pPr>
        <w:ind w:firstLine="0" w:firstLineChars="0"/>
        <w:jc w:val="center"/>
        <w:rPr>
          <w:rFonts w:eastAsia="方正小标宋简体"/>
          <w:sz w:val="44"/>
          <w:szCs w:val="44"/>
        </w:rPr>
      </w:pPr>
    </w:p>
    <w:p w14:paraId="1D2D2BD7">
      <w:pPr>
        <w:ind w:firstLine="0" w:firstLineChars="0"/>
        <w:jc w:val="center"/>
        <w:rPr>
          <w:rFonts w:eastAsia="方正小标宋简体"/>
          <w:sz w:val="44"/>
          <w:szCs w:val="44"/>
        </w:rPr>
      </w:pPr>
    </w:p>
    <w:p w14:paraId="68F7942B">
      <w:pPr>
        <w:ind w:firstLine="0" w:firstLineChars="0"/>
        <w:jc w:val="center"/>
        <w:rPr>
          <w:rFonts w:eastAsia="方正小标宋简体"/>
          <w:szCs w:val="32"/>
        </w:rPr>
      </w:pPr>
      <w:r>
        <w:rPr>
          <w:rFonts w:hint="eastAsia" w:eastAsia="方正小标宋简体"/>
          <w:szCs w:val="32"/>
        </w:rPr>
        <w:t>创业乡</w:t>
      </w:r>
      <w:r>
        <w:rPr>
          <w:rFonts w:eastAsia="方正小标宋简体"/>
          <w:szCs w:val="32"/>
        </w:rPr>
        <w:t>人民政府</w:t>
      </w:r>
    </w:p>
    <w:p w14:paraId="7CFC373E">
      <w:pPr>
        <w:ind w:firstLine="0" w:firstLineChars="0"/>
        <w:jc w:val="center"/>
      </w:pPr>
      <w:r>
        <w:rPr>
          <w:rFonts w:hint="eastAsia" w:eastAsia="方正小标宋简体"/>
          <w:szCs w:val="32"/>
        </w:rPr>
        <w:t>二〇二</w:t>
      </w:r>
      <w:r>
        <w:rPr>
          <w:rFonts w:hint="eastAsia" w:eastAsia="方正小标宋简体"/>
          <w:szCs w:val="32"/>
          <w:lang w:val="en-US" w:eastAsia="zh-CN"/>
        </w:rPr>
        <w:t>五</w:t>
      </w:r>
      <w:r>
        <w:rPr>
          <w:rFonts w:eastAsia="方正小标宋简体"/>
          <w:szCs w:val="32"/>
        </w:rPr>
        <w:t>年</w:t>
      </w:r>
      <w:r>
        <w:rPr>
          <w:rFonts w:hint="eastAsia" w:eastAsia="方正小标宋简体"/>
          <w:szCs w:val="32"/>
          <w:lang w:val="en-US" w:eastAsia="zh-CN"/>
        </w:rPr>
        <w:t>五</w:t>
      </w:r>
      <w:r>
        <w:rPr>
          <w:rFonts w:eastAsia="方正小标宋简体"/>
          <w:szCs w:val="32"/>
        </w:rPr>
        <w:t>月</w:t>
      </w:r>
    </w:p>
    <w:p w14:paraId="72E04EDD">
      <w:pPr>
        <w:spacing w:line="240" w:lineRule="auto"/>
        <w:ind w:firstLine="0" w:firstLineChars="0"/>
        <w:jc w:val="center"/>
        <w:rPr>
          <w:rFonts w:hint="eastAsia" w:ascii="方正小标宋_GBK" w:hAnsi="方正小标宋_GBK" w:eastAsia="方正小标宋_GBK" w:cs="方正小标宋_GBK"/>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850" w:gutter="0"/>
          <w:pgNumType w:fmt="upperRoman"/>
          <w:cols w:space="720" w:num="1"/>
          <w:docGrid w:type="lines" w:linePitch="435" w:charSpace="0"/>
        </w:sectPr>
      </w:pPr>
    </w:p>
    <w:p w14:paraId="223E728B">
      <w:pPr>
        <w:spacing w:line="240" w:lineRule="auto"/>
        <w:ind w:firstLine="0" w:firstLineChars="0"/>
        <w:jc w:val="center"/>
        <w:rPr>
          <w:rFonts w:hint="eastAsia" w:ascii="方正小标宋_GBK" w:hAnsi="方正小标宋_GBK" w:eastAsia="方正小标宋简体" w:cs="方正小标宋_GBK"/>
          <w:sz w:val="36"/>
          <w:szCs w:val="36"/>
        </w:rPr>
      </w:pPr>
      <w:r>
        <w:rPr>
          <w:rFonts w:hint="eastAsia" w:ascii="方正小标宋_GBK" w:hAnsi="方正小标宋_GBK" w:eastAsia="方正小标宋简体" w:cs="方正小标宋_GBK"/>
          <w:sz w:val="36"/>
          <w:szCs w:val="36"/>
        </w:rPr>
        <w:t>前  言</w:t>
      </w:r>
    </w:p>
    <w:p w14:paraId="50BCF485">
      <w:pPr>
        <w:ind w:firstLine="640"/>
        <w:jc w:val="left"/>
      </w:pPr>
      <w:r>
        <w:rPr>
          <w:rFonts w:hint="eastAsia"/>
        </w:rPr>
        <w:t>为贯彻《中共中央 国务院关于建立国土空间规划体系并监督实施的若干意见》（中发〔2019〕18号），落实《自然资源部关于全面开展国土空间规划工作的通知》（自然资发〔2019〕87号）和《黑龙江省自然资源厅关于全面开展全省国土空间规划工作的通知》（黑自然资函〔2019〕291号），探索建立统一的空间规划体系，统一管控和高效利用空间资源，兼顾开发与保护，整合优势资源，联动区域，节约集约空间资源，加强国土空间管控，提升空间治理能力，促进桦川县及创业乡经济社会全面、协调、可持续发展，特编制《桦川县创业乡国土空间总体规划（2021—2035年）》（以下简称本规划）。</w:t>
      </w:r>
    </w:p>
    <w:p w14:paraId="7BFD6ABA">
      <w:pPr>
        <w:ind w:firstLine="640"/>
        <w:jc w:val="left"/>
        <w:rPr>
          <w:rFonts w:hint="eastAsia" w:ascii="方正小标宋_GBK" w:hAnsi="方正小标宋_GBK" w:eastAsia="方正小标宋_GBK" w:cs="方正小标宋_GBK"/>
          <w:szCs w:val="36"/>
        </w:rPr>
        <w:sectPr>
          <w:footerReference r:id="rId11" w:type="default"/>
          <w:pgSz w:w="11906" w:h="16838"/>
          <w:pgMar w:top="1440" w:right="1797" w:bottom="1440" w:left="1797" w:header="851" w:footer="850" w:gutter="0"/>
          <w:pgNumType w:fmt="upperRoman" w:start="1"/>
          <w:cols w:space="720" w:num="1"/>
          <w:docGrid w:type="lines" w:linePitch="435" w:charSpace="0"/>
        </w:sectPr>
      </w:pPr>
      <w:r>
        <w:rPr>
          <w:rFonts w:hint="eastAsia"/>
        </w:rPr>
        <w:t>本规划</w:t>
      </w:r>
      <w:r>
        <w:rPr>
          <w:rFonts w:hint="eastAsia"/>
          <w:lang w:bidi="ar"/>
        </w:rPr>
        <w:t>是对县级国土空间总体规划要求的细化落实，是对乡域国土空间保护开发作出的具体安排，是乡进行空间治理的工具，是编制城镇开发边界内的详细规划和城镇开发边界外的村庄规划、实施国土空间用途管制的基本依据。</w:t>
      </w:r>
    </w:p>
    <w:p w14:paraId="43F46EA9">
      <w:pPr>
        <w:pStyle w:val="33"/>
        <w:spacing w:before="217" w:after="217"/>
      </w:pPr>
      <w:r>
        <w:rPr>
          <w:rFonts w:hint="eastAsia"/>
        </w:rPr>
        <w:t>目 录</w:t>
      </w:r>
    </w:p>
    <w:p w14:paraId="67235080">
      <w:pPr>
        <w:pStyle w:val="17"/>
        <w:tabs>
          <w:tab w:val="right" w:leader="dot" w:pos="8312"/>
        </w:tabs>
        <w:rPr>
          <w:rFonts w:eastAsia="黑体"/>
          <w:b w:val="0"/>
          <w:bCs w:val="0"/>
          <w:sz w:val="28"/>
        </w:rPr>
      </w:pPr>
      <w:r>
        <w:rPr>
          <w:rFonts w:eastAsia="黑体"/>
          <w:sz w:val="28"/>
        </w:rPr>
        <w:fldChar w:fldCharType="begin"/>
      </w:r>
      <w:r>
        <w:rPr>
          <w:rFonts w:eastAsia="黑体"/>
          <w:sz w:val="28"/>
        </w:rPr>
        <w:instrText xml:space="preserve">TOC \o "1-2" \h \u </w:instrText>
      </w:r>
      <w:r>
        <w:rPr>
          <w:rFonts w:eastAsia="黑体"/>
          <w:sz w:val="28"/>
        </w:rPr>
        <w:fldChar w:fldCharType="separate"/>
      </w:r>
      <w:r>
        <w:rPr>
          <w:rFonts w:eastAsia="黑体"/>
          <w:b w:val="0"/>
          <w:bCs w:val="0"/>
          <w:sz w:val="28"/>
        </w:rPr>
        <w:fldChar w:fldCharType="begin"/>
      </w:r>
      <w:r>
        <w:rPr>
          <w:rFonts w:eastAsia="黑体"/>
          <w:b w:val="0"/>
          <w:bCs w:val="0"/>
          <w:sz w:val="28"/>
        </w:rPr>
        <w:instrText xml:space="preserve"> HYPERLINK \l _Toc26855 </w:instrText>
      </w:r>
      <w:r>
        <w:rPr>
          <w:rFonts w:eastAsia="黑体"/>
          <w:b w:val="0"/>
          <w:bCs w:val="0"/>
          <w:sz w:val="28"/>
        </w:rPr>
        <w:fldChar w:fldCharType="separate"/>
      </w:r>
      <w:r>
        <w:rPr>
          <w:rFonts w:hint="eastAsia" w:eastAsia="黑体"/>
          <w:b w:val="0"/>
          <w:bCs w:val="0"/>
          <w:sz w:val="28"/>
        </w:rPr>
        <w:t>第一章 总则</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_Toc26855 \h </w:instrText>
      </w:r>
      <w:r>
        <w:rPr>
          <w:rFonts w:eastAsia="黑体"/>
          <w:b w:val="0"/>
          <w:bCs w:val="0"/>
          <w:sz w:val="28"/>
        </w:rPr>
        <w:fldChar w:fldCharType="separate"/>
      </w:r>
      <w:r>
        <w:rPr>
          <w:rFonts w:eastAsia="黑体"/>
          <w:b w:val="0"/>
          <w:bCs w:val="0"/>
          <w:sz w:val="28"/>
        </w:rPr>
        <w:t>1</w:t>
      </w:r>
      <w:r>
        <w:rPr>
          <w:rFonts w:eastAsia="黑体"/>
          <w:b w:val="0"/>
          <w:bCs w:val="0"/>
          <w:sz w:val="28"/>
        </w:rPr>
        <w:fldChar w:fldCharType="end"/>
      </w:r>
      <w:r>
        <w:rPr>
          <w:rFonts w:eastAsia="黑体"/>
          <w:b w:val="0"/>
          <w:bCs w:val="0"/>
          <w:sz w:val="28"/>
        </w:rPr>
        <w:fldChar w:fldCharType="end"/>
      </w:r>
    </w:p>
    <w:p w14:paraId="117787C8">
      <w:pPr>
        <w:pStyle w:val="17"/>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_Toc31417 </w:instrText>
      </w:r>
      <w:r>
        <w:rPr>
          <w:rFonts w:eastAsia="黑体"/>
          <w:b w:val="0"/>
          <w:bCs w:val="0"/>
          <w:sz w:val="28"/>
        </w:rPr>
        <w:fldChar w:fldCharType="separate"/>
      </w:r>
      <w:r>
        <w:rPr>
          <w:rFonts w:hint="eastAsia" w:eastAsia="黑体"/>
          <w:b w:val="0"/>
          <w:bCs w:val="0"/>
          <w:sz w:val="28"/>
        </w:rPr>
        <w:t>第二章 目标定位与空间策略</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_Toc31417 \h </w:instrText>
      </w:r>
      <w:r>
        <w:rPr>
          <w:rFonts w:eastAsia="黑体"/>
          <w:b w:val="0"/>
          <w:bCs w:val="0"/>
          <w:sz w:val="28"/>
        </w:rPr>
        <w:fldChar w:fldCharType="separate"/>
      </w:r>
      <w:r>
        <w:rPr>
          <w:rFonts w:eastAsia="黑体"/>
          <w:b w:val="0"/>
          <w:bCs w:val="0"/>
          <w:sz w:val="28"/>
        </w:rPr>
        <w:t>6</w:t>
      </w:r>
      <w:r>
        <w:rPr>
          <w:rFonts w:eastAsia="黑体"/>
          <w:b w:val="0"/>
          <w:bCs w:val="0"/>
          <w:sz w:val="28"/>
        </w:rPr>
        <w:fldChar w:fldCharType="end"/>
      </w:r>
      <w:r>
        <w:rPr>
          <w:rFonts w:eastAsia="黑体"/>
          <w:b w:val="0"/>
          <w:bCs w:val="0"/>
          <w:sz w:val="28"/>
        </w:rPr>
        <w:fldChar w:fldCharType="end"/>
      </w:r>
    </w:p>
    <w:p w14:paraId="3AB71036">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_Toc2566 </w:instrText>
      </w:r>
      <w:r>
        <w:rPr>
          <w:rFonts w:eastAsia="黑体"/>
          <w:b w:val="0"/>
          <w:bCs w:val="0"/>
          <w:sz w:val="28"/>
        </w:rPr>
        <w:fldChar w:fldCharType="separate"/>
      </w:r>
      <w:r>
        <w:rPr>
          <w:rFonts w:hint="eastAsia" w:eastAsia="黑体"/>
          <w:b w:val="0"/>
          <w:bCs w:val="0"/>
          <w:sz w:val="28"/>
        </w:rPr>
        <w:t>第一节 规划定位</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_Toc2566 \h </w:instrText>
      </w:r>
      <w:r>
        <w:rPr>
          <w:rFonts w:eastAsia="黑体"/>
          <w:b w:val="0"/>
          <w:bCs w:val="0"/>
          <w:sz w:val="28"/>
        </w:rPr>
        <w:fldChar w:fldCharType="separate"/>
      </w:r>
      <w:r>
        <w:rPr>
          <w:rFonts w:eastAsia="黑体"/>
          <w:b w:val="0"/>
          <w:bCs w:val="0"/>
          <w:sz w:val="28"/>
        </w:rPr>
        <w:t>6</w:t>
      </w:r>
      <w:r>
        <w:rPr>
          <w:rFonts w:eastAsia="黑体"/>
          <w:b w:val="0"/>
          <w:bCs w:val="0"/>
          <w:sz w:val="28"/>
        </w:rPr>
        <w:fldChar w:fldCharType="end"/>
      </w:r>
      <w:r>
        <w:rPr>
          <w:rFonts w:eastAsia="黑体"/>
          <w:b w:val="0"/>
          <w:bCs w:val="0"/>
          <w:sz w:val="28"/>
        </w:rPr>
        <w:fldChar w:fldCharType="end"/>
      </w:r>
    </w:p>
    <w:p w14:paraId="0C15696C">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_Toc19009 </w:instrText>
      </w:r>
      <w:r>
        <w:rPr>
          <w:rFonts w:eastAsia="黑体"/>
          <w:b w:val="0"/>
          <w:bCs w:val="0"/>
          <w:sz w:val="28"/>
        </w:rPr>
        <w:fldChar w:fldCharType="separate"/>
      </w:r>
      <w:r>
        <w:rPr>
          <w:rFonts w:hint="eastAsia" w:eastAsia="黑体"/>
          <w:b w:val="0"/>
          <w:bCs w:val="0"/>
          <w:sz w:val="28"/>
        </w:rPr>
        <w:t>第二节 国土空间开发保护目标</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_Toc19009 \h </w:instrText>
      </w:r>
      <w:r>
        <w:rPr>
          <w:rFonts w:eastAsia="黑体"/>
          <w:b w:val="0"/>
          <w:bCs w:val="0"/>
          <w:sz w:val="28"/>
        </w:rPr>
        <w:fldChar w:fldCharType="separate"/>
      </w:r>
      <w:r>
        <w:rPr>
          <w:rFonts w:eastAsia="黑体"/>
          <w:b w:val="0"/>
          <w:bCs w:val="0"/>
          <w:sz w:val="28"/>
        </w:rPr>
        <w:t>6</w:t>
      </w:r>
      <w:r>
        <w:rPr>
          <w:rFonts w:eastAsia="黑体"/>
          <w:b w:val="0"/>
          <w:bCs w:val="0"/>
          <w:sz w:val="28"/>
        </w:rPr>
        <w:fldChar w:fldCharType="end"/>
      </w:r>
      <w:r>
        <w:rPr>
          <w:rFonts w:eastAsia="黑体"/>
          <w:b w:val="0"/>
          <w:bCs w:val="0"/>
          <w:sz w:val="28"/>
        </w:rPr>
        <w:fldChar w:fldCharType="end"/>
      </w:r>
    </w:p>
    <w:p w14:paraId="46EF22BB">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_Toc18904 </w:instrText>
      </w:r>
      <w:r>
        <w:rPr>
          <w:rFonts w:eastAsia="黑体"/>
          <w:b w:val="0"/>
          <w:bCs w:val="0"/>
          <w:sz w:val="28"/>
        </w:rPr>
        <w:fldChar w:fldCharType="separate"/>
      </w:r>
      <w:r>
        <w:rPr>
          <w:rFonts w:hint="eastAsia" w:eastAsia="黑体"/>
          <w:b w:val="0"/>
          <w:bCs w:val="0"/>
          <w:sz w:val="28"/>
        </w:rPr>
        <w:t>第三节 空</w:t>
      </w:r>
      <w:bookmarkStart w:id="352" w:name="_GoBack"/>
      <w:bookmarkEnd w:id="352"/>
      <w:r>
        <w:rPr>
          <w:rFonts w:hint="eastAsia" w:eastAsia="黑体"/>
          <w:b w:val="0"/>
          <w:bCs w:val="0"/>
          <w:sz w:val="28"/>
        </w:rPr>
        <w:t>间策略</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_Toc18904 \h </w:instrText>
      </w:r>
      <w:r>
        <w:rPr>
          <w:rFonts w:eastAsia="黑体"/>
          <w:b w:val="0"/>
          <w:bCs w:val="0"/>
          <w:sz w:val="28"/>
        </w:rPr>
        <w:fldChar w:fldCharType="separate"/>
      </w:r>
      <w:r>
        <w:rPr>
          <w:rFonts w:eastAsia="黑体"/>
          <w:b w:val="0"/>
          <w:bCs w:val="0"/>
          <w:sz w:val="28"/>
        </w:rPr>
        <w:t>7</w:t>
      </w:r>
      <w:r>
        <w:rPr>
          <w:rFonts w:eastAsia="黑体"/>
          <w:b w:val="0"/>
          <w:bCs w:val="0"/>
          <w:sz w:val="28"/>
        </w:rPr>
        <w:fldChar w:fldCharType="end"/>
      </w:r>
      <w:r>
        <w:rPr>
          <w:rFonts w:eastAsia="黑体"/>
          <w:b w:val="0"/>
          <w:bCs w:val="0"/>
          <w:sz w:val="28"/>
        </w:rPr>
        <w:fldChar w:fldCharType="end"/>
      </w:r>
    </w:p>
    <w:p w14:paraId="704FDB71">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_Toc10796 </w:instrText>
      </w:r>
      <w:r>
        <w:rPr>
          <w:rFonts w:eastAsia="黑体"/>
          <w:b w:val="0"/>
          <w:bCs w:val="0"/>
          <w:sz w:val="28"/>
        </w:rPr>
        <w:fldChar w:fldCharType="separate"/>
      </w:r>
      <w:r>
        <w:rPr>
          <w:rFonts w:hint="eastAsia" w:eastAsia="黑体"/>
          <w:b w:val="0"/>
          <w:bCs w:val="0"/>
          <w:sz w:val="28"/>
        </w:rPr>
        <w:t>第四节 上位规划约束传导</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_Toc10796 \h </w:instrText>
      </w:r>
      <w:r>
        <w:rPr>
          <w:rFonts w:eastAsia="黑体"/>
          <w:b w:val="0"/>
          <w:bCs w:val="0"/>
          <w:sz w:val="28"/>
        </w:rPr>
        <w:fldChar w:fldCharType="separate"/>
      </w:r>
      <w:r>
        <w:rPr>
          <w:rFonts w:eastAsia="黑体"/>
          <w:b w:val="0"/>
          <w:bCs w:val="0"/>
          <w:sz w:val="28"/>
        </w:rPr>
        <w:t>8</w:t>
      </w:r>
      <w:r>
        <w:rPr>
          <w:rFonts w:eastAsia="黑体"/>
          <w:b w:val="0"/>
          <w:bCs w:val="0"/>
          <w:sz w:val="28"/>
        </w:rPr>
        <w:fldChar w:fldCharType="end"/>
      </w:r>
      <w:r>
        <w:rPr>
          <w:rFonts w:eastAsia="黑体"/>
          <w:b w:val="0"/>
          <w:bCs w:val="0"/>
          <w:sz w:val="28"/>
        </w:rPr>
        <w:fldChar w:fldCharType="end"/>
      </w:r>
    </w:p>
    <w:p w14:paraId="2E660212">
      <w:pPr>
        <w:pStyle w:val="17"/>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_Toc19474 </w:instrText>
      </w:r>
      <w:r>
        <w:rPr>
          <w:rFonts w:eastAsia="黑体"/>
          <w:b w:val="0"/>
          <w:bCs w:val="0"/>
          <w:sz w:val="28"/>
        </w:rPr>
        <w:fldChar w:fldCharType="separate"/>
      </w:r>
      <w:r>
        <w:rPr>
          <w:rFonts w:hint="eastAsia" w:eastAsia="黑体"/>
          <w:b w:val="0"/>
          <w:bCs w:val="0"/>
          <w:sz w:val="28"/>
        </w:rPr>
        <w:t xml:space="preserve">第三章 </w:t>
      </w:r>
      <w:r>
        <w:rPr>
          <w:rFonts w:eastAsia="黑体"/>
          <w:b w:val="0"/>
          <w:bCs w:val="0"/>
          <w:sz w:val="28"/>
        </w:rPr>
        <w:t>国土空间格局</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_Toc19474 \h </w:instrText>
      </w:r>
      <w:r>
        <w:rPr>
          <w:rFonts w:eastAsia="黑体"/>
          <w:b w:val="0"/>
          <w:bCs w:val="0"/>
          <w:sz w:val="28"/>
        </w:rPr>
        <w:fldChar w:fldCharType="separate"/>
      </w:r>
      <w:r>
        <w:rPr>
          <w:rFonts w:eastAsia="黑体"/>
          <w:b w:val="0"/>
          <w:bCs w:val="0"/>
          <w:sz w:val="28"/>
        </w:rPr>
        <w:t>9</w:t>
      </w:r>
      <w:r>
        <w:rPr>
          <w:rFonts w:eastAsia="黑体"/>
          <w:b w:val="0"/>
          <w:bCs w:val="0"/>
          <w:sz w:val="28"/>
        </w:rPr>
        <w:fldChar w:fldCharType="end"/>
      </w:r>
      <w:r>
        <w:rPr>
          <w:rFonts w:eastAsia="黑体"/>
          <w:b w:val="0"/>
          <w:bCs w:val="0"/>
          <w:sz w:val="28"/>
        </w:rPr>
        <w:fldChar w:fldCharType="end"/>
      </w:r>
    </w:p>
    <w:p w14:paraId="74947EA6">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_Toc15661 </w:instrText>
      </w:r>
      <w:r>
        <w:rPr>
          <w:rFonts w:eastAsia="黑体"/>
          <w:b w:val="0"/>
          <w:bCs w:val="0"/>
          <w:sz w:val="28"/>
        </w:rPr>
        <w:fldChar w:fldCharType="separate"/>
      </w:r>
      <w:r>
        <w:rPr>
          <w:rFonts w:hint="eastAsia" w:eastAsia="黑体"/>
          <w:b w:val="0"/>
          <w:bCs w:val="0"/>
          <w:sz w:val="28"/>
        </w:rPr>
        <w:t>第一节 区域协同发展</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_Toc15661 \h </w:instrText>
      </w:r>
      <w:r>
        <w:rPr>
          <w:rFonts w:eastAsia="黑体"/>
          <w:b w:val="0"/>
          <w:bCs w:val="0"/>
          <w:sz w:val="28"/>
        </w:rPr>
        <w:fldChar w:fldCharType="separate"/>
      </w:r>
      <w:r>
        <w:rPr>
          <w:rFonts w:eastAsia="黑体"/>
          <w:b w:val="0"/>
          <w:bCs w:val="0"/>
          <w:sz w:val="28"/>
        </w:rPr>
        <w:t>9</w:t>
      </w:r>
      <w:r>
        <w:rPr>
          <w:rFonts w:eastAsia="黑体"/>
          <w:b w:val="0"/>
          <w:bCs w:val="0"/>
          <w:sz w:val="28"/>
        </w:rPr>
        <w:fldChar w:fldCharType="end"/>
      </w:r>
      <w:r>
        <w:rPr>
          <w:rFonts w:eastAsia="黑体"/>
          <w:b w:val="0"/>
          <w:bCs w:val="0"/>
          <w:sz w:val="28"/>
        </w:rPr>
        <w:fldChar w:fldCharType="end"/>
      </w:r>
    </w:p>
    <w:p w14:paraId="5835E473">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_Toc18215 </w:instrText>
      </w:r>
      <w:r>
        <w:rPr>
          <w:rFonts w:eastAsia="黑体"/>
          <w:b w:val="0"/>
          <w:bCs w:val="0"/>
          <w:sz w:val="28"/>
        </w:rPr>
        <w:fldChar w:fldCharType="separate"/>
      </w:r>
      <w:r>
        <w:rPr>
          <w:rFonts w:hint="eastAsia" w:eastAsia="黑体"/>
          <w:b w:val="0"/>
          <w:bCs w:val="0"/>
          <w:sz w:val="28"/>
        </w:rPr>
        <w:t>第二节 落实主体功能区</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_Toc18215 \h </w:instrText>
      </w:r>
      <w:r>
        <w:rPr>
          <w:rFonts w:eastAsia="黑体"/>
          <w:b w:val="0"/>
          <w:bCs w:val="0"/>
          <w:sz w:val="28"/>
        </w:rPr>
        <w:fldChar w:fldCharType="separate"/>
      </w:r>
      <w:r>
        <w:rPr>
          <w:rFonts w:eastAsia="黑体"/>
          <w:b w:val="0"/>
          <w:bCs w:val="0"/>
          <w:sz w:val="28"/>
        </w:rPr>
        <w:t>9</w:t>
      </w:r>
      <w:r>
        <w:rPr>
          <w:rFonts w:eastAsia="黑体"/>
          <w:b w:val="0"/>
          <w:bCs w:val="0"/>
          <w:sz w:val="28"/>
        </w:rPr>
        <w:fldChar w:fldCharType="end"/>
      </w:r>
      <w:r>
        <w:rPr>
          <w:rFonts w:eastAsia="黑体"/>
          <w:b w:val="0"/>
          <w:bCs w:val="0"/>
          <w:sz w:val="28"/>
        </w:rPr>
        <w:fldChar w:fldCharType="end"/>
      </w:r>
    </w:p>
    <w:p w14:paraId="0BD082D8">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_Toc11337 </w:instrText>
      </w:r>
      <w:r>
        <w:rPr>
          <w:rFonts w:eastAsia="黑体"/>
          <w:b w:val="0"/>
          <w:bCs w:val="0"/>
          <w:sz w:val="28"/>
        </w:rPr>
        <w:fldChar w:fldCharType="separate"/>
      </w:r>
      <w:r>
        <w:rPr>
          <w:rFonts w:hint="eastAsia" w:eastAsia="黑体"/>
          <w:b w:val="0"/>
          <w:bCs w:val="0"/>
          <w:sz w:val="28"/>
        </w:rPr>
        <w:t>第三节 总体空间格局</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_Toc11337 \h </w:instrText>
      </w:r>
      <w:r>
        <w:rPr>
          <w:rFonts w:eastAsia="黑体"/>
          <w:b w:val="0"/>
          <w:bCs w:val="0"/>
          <w:sz w:val="28"/>
        </w:rPr>
        <w:fldChar w:fldCharType="separate"/>
      </w:r>
      <w:r>
        <w:rPr>
          <w:rFonts w:eastAsia="黑体"/>
          <w:b w:val="0"/>
          <w:bCs w:val="0"/>
          <w:sz w:val="28"/>
        </w:rPr>
        <w:t>10</w:t>
      </w:r>
      <w:r>
        <w:rPr>
          <w:rFonts w:eastAsia="黑体"/>
          <w:b w:val="0"/>
          <w:bCs w:val="0"/>
          <w:sz w:val="28"/>
        </w:rPr>
        <w:fldChar w:fldCharType="end"/>
      </w:r>
      <w:r>
        <w:rPr>
          <w:rFonts w:eastAsia="黑体"/>
          <w:b w:val="0"/>
          <w:bCs w:val="0"/>
          <w:sz w:val="28"/>
        </w:rPr>
        <w:fldChar w:fldCharType="end"/>
      </w:r>
    </w:p>
    <w:p w14:paraId="7359C14B">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_Toc25309 </w:instrText>
      </w:r>
      <w:r>
        <w:rPr>
          <w:rFonts w:eastAsia="黑体"/>
          <w:b w:val="0"/>
          <w:bCs w:val="0"/>
          <w:sz w:val="28"/>
        </w:rPr>
        <w:fldChar w:fldCharType="separate"/>
      </w:r>
      <w:r>
        <w:rPr>
          <w:rFonts w:hint="eastAsia" w:eastAsia="黑体"/>
          <w:b w:val="0"/>
          <w:bCs w:val="0"/>
          <w:sz w:val="28"/>
        </w:rPr>
        <w:t>第四节 规划分区</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_Toc25309 \h </w:instrText>
      </w:r>
      <w:r>
        <w:rPr>
          <w:rFonts w:eastAsia="黑体"/>
          <w:b w:val="0"/>
          <w:bCs w:val="0"/>
          <w:sz w:val="28"/>
        </w:rPr>
        <w:fldChar w:fldCharType="separate"/>
      </w:r>
      <w:r>
        <w:rPr>
          <w:rFonts w:eastAsia="黑体"/>
          <w:b w:val="0"/>
          <w:bCs w:val="0"/>
          <w:sz w:val="28"/>
        </w:rPr>
        <w:t>10</w:t>
      </w:r>
      <w:r>
        <w:rPr>
          <w:rFonts w:eastAsia="黑体"/>
          <w:b w:val="0"/>
          <w:bCs w:val="0"/>
          <w:sz w:val="28"/>
        </w:rPr>
        <w:fldChar w:fldCharType="end"/>
      </w:r>
      <w:r>
        <w:rPr>
          <w:rFonts w:eastAsia="黑体"/>
          <w:b w:val="0"/>
          <w:bCs w:val="0"/>
          <w:sz w:val="28"/>
        </w:rPr>
        <w:fldChar w:fldCharType="end"/>
      </w:r>
    </w:p>
    <w:p w14:paraId="00CE0C27">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_Toc32677 </w:instrText>
      </w:r>
      <w:r>
        <w:rPr>
          <w:rFonts w:eastAsia="黑体"/>
          <w:b w:val="0"/>
          <w:bCs w:val="0"/>
          <w:sz w:val="28"/>
        </w:rPr>
        <w:fldChar w:fldCharType="separate"/>
      </w:r>
      <w:r>
        <w:rPr>
          <w:rFonts w:hint="eastAsia" w:eastAsia="黑体"/>
          <w:b w:val="0"/>
          <w:bCs w:val="0"/>
          <w:sz w:val="28"/>
        </w:rPr>
        <w:t>第五节 国土空间用地用途和结构调整</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_Toc32677 \h </w:instrText>
      </w:r>
      <w:r>
        <w:rPr>
          <w:rFonts w:eastAsia="黑体"/>
          <w:b w:val="0"/>
          <w:bCs w:val="0"/>
          <w:sz w:val="28"/>
        </w:rPr>
        <w:fldChar w:fldCharType="separate"/>
      </w:r>
      <w:r>
        <w:rPr>
          <w:rFonts w:eastAsia="黑体"/>
          <w:b w:val="0"/>
          <w:bCs w:val="0"/>
          <w:sz w:val="28"/>
        </w:rPr>
        <w:t>11</w:t>
      </w:r>
      <w:r>
        <w:rPr>
          <w:rFonts w:eastAsia="黑体"/>
          <w:b w:val="0"/>
          <w:bCs w:val="0"/>
          <w:sz w:val="28"/>
        </w:rPr>
        <w:fldChar w:fldCharType="end"/>
      </w:r>
      <w:r>
        <w:rPr>
          <w:rFonts w:eastAsia="黑体"/>
          <w:b w:val="0"/>
          <w:bCs w:val="0"/>
          <w:sz w:val="28"/>
        </w:rPr>
        <w:fldChar w:fldCharType="end"/>
      </w:r>
    </w:p>
    <w:p w14:paraId="772B900B">
      <w:pPr>
        <w:pStyle w:val="17"/>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_Toc20598 </w:instrText>
      </w:r>
      <w:r>
        <w:rPr>
          <w:rFonts w:eastAsia="黑体"/>
          <w:b w:val="0"/>
          <w:bCs w:val="0"/>
          <w:sz w:val="28"/>
        </w:rPr>
        <w:fldChar w:fldCharType="separate"/>
      </w:r>
      <w:r>
        <w:rPr>
          <w:rFonts w:hint="eastAsia" w:eastAsia="黑体"/>
          <w:b w:val="0"/>
          <w:bCs w:val="0"/>
          <w:sz w:val="28"/>
        </w:rPr>
        <w:t>第四章 空间布局优化</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_Toc20598 \h </w:instrText>
      </w:r>
      <w:r>
        <w:rPr>
          <w:rFonts w:eastAsia="黑体"/>
          <w:b w:val="0"/>
          <w:bCs w:val="0"/>
          <w:sz w:val="28"/>
        </w:rPr>
        <w:fldChar w:fldCharType="separate"/>
      </w:r>
      <w:r>
        <w:rPr>
          <w:rFonts w:eastAsia="黑体"/>
          <w:b w:val="0"/>
          <w:bCs w:val="0"/>
          <w:sz w:val="28"/>
        </w:rPr>
        <w:t>13</w:t>
      </w:r>
      <w:r>
        <w:rPr>
          <w:rFonts w:eastAsia="黑体"/>
          <w:b w:val="0"/>
          <w:bCs w:val="0"/>
          <w:sz w:val="28"/>
        </w:rPr>
        <w:fldChar w:fldCharType="end"/>
      </w:r>
      <w:r>
        <w:rPr>
          <w:rFonts w:eastAsia="黑体"/>
          <w:b w:val="0"/>
          <w:bCs w:val="0"/>
          <w:sz w:val="28"/>
        </w:rPr>
        <w:fldChar w:fldCharType="end"/>
      </w:r>
    </w:p>
    <w:p w14:paraId="6CE7DC92">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_Toc28280 </w:instrText>
      </w:r>
      <w:r>
        <w:rPr>
          <w:rFonts w:eastAsia="黑体"/>
          <w:b w:val="0"/>
          <w:bCs w:val="0"/>
          <w:sz w:val="28"/>
        </w:rPr>
        <w:fldChar w:fldCharType="separate"/>
      </w:r>
      <w:r>
        <w:rPr>
          <w:rFonts w:hint="eastAsia" w:eastAsia="黑体"/>
          <w:b w:val="0"/>
          <w:bCs w:val="0"/>
          <w:sz w:val="28"/>
        </w:rPr>
        <w:t>第一节 农业生产空间</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_Toc28280 \h </w:instrText>
      </w:r>
      <w:r>
        <w:rPr>
          <w:rFonts w:eastAsia="黑体"/>
          <w:b w:val="0"/>
          <w:bCs w:val="0"/>
          <w:sz w:val="28"/>
        </w:rPr>
        <w:fldChar w:fldCharType="separate"/>
      </w:r>
      <w:r>
        <w:rPr>
          <w:rFonts w:eastAsia="黑体"/>
          <w:b w:val="0"/>
          <w:bCs w:val="0"/>
          <w:sz w:val="28"/>
        </w:rPr>
        <w:t>13</w:t>
      </w:r>
      <w:r>
        <w:rPr>
          <w:rFonts w:eastAsia="黑体"/>
          <w:b w:val="0"/>
          <w:bCs w:val="0"/>
          <w:sz w:val="28"/>
        </w:rPr>
        <w:fldChar w:fldCharType="end"/>
      </w:r>
      <w:r>
        <w:rPr>
          <w:rFonts w:eastAsia="黑体"/>
          <w:b w:val="0"/>
          <w:bCs w:val="0"/>
          <w:sz w:val="28"/>
        </w:rPr>
        <w:fldChar w:fldCharType="end"/>
      </w:r>
    </w:p>
    <w:p w14:paraId="4405918D">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_Toc4416 </w:instrText>
      </w:r>
      <w:r>
        <w:rPr>
          <w:rFonts w:eastAsia="黑体"/>
          <w:b w:val="0"/>
          <w:bCs w:val="0"/>
          <w:sz w:val="28"/>
        </w:rPr>
        <w:fldChar w:fldCharType="separate"/>
      </w:r>
      <w:r>
        <w:rPr>
          <w:rFonts w:hint="eastAsia" w:eastAsia="黑体"/>
          <w:b w:val="0"/>
          <w:bCs w:val="0"/>
          <w:sz w:val="28"/>
        </w:rPr>
        <w:t>第二节 生态功能空间</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_Toc4416 \h </w:instrText>
      </w:r>
      <w:r>
        <w:rPr>
          <w:rFonts w:eastAsia="黑体"/>
          <w:b w:val="0"/>
          <w:bCs w:val="0"/>
          <w:sz w:val="28"/>
        </w:rPr>
        <w:fldChar w:fldCharType="separate"/>
      </w:r>
      <w:r>
        <w:rPr>
          <w:rFonts w:eastAsia="黑体"/>
          <w:b w:val="0"/>
          <w:bCs w:val="0"/>
          <w:sz w:val="28"/>
        </w:rPr>
        <w:t>15</w:t>
      </w:r>
      <w:r>
        <w:rPr>
          <w:rFonts w:eastAsia="黑体"/>
          <w:b w:val="0"/>
          <w:bCs w:val="0"/>
          <w:sz w:val="28"/>
        </w:rPr>
        <w:fldChar w:fldCharType="end"/>
      </w:r>
      <w:r>
        <w:rPr>
          <w:rFonts w:eastAsia="黑体"/>
          <w:b w:val="0"/>
          <w:bCs w:val="0"/>
          <w:sz w:val="28"/>
        </w:rPr>
        <w:fldChar w:fldCharType="end"/>
      </w:r>
    </w:p>
    <w:p w14:paraId="78FBA86E">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_Toc26605 </w:instrText>
      </w:r>
      <w:r>
        <w:rPr>
          <w:rFonts w:eastAsia="黑体"/>
          <w:b w:val="0"/>
          <w:bCs w:val="0"/>
          <w:sz w:val="28"/>
        </w:rPr>
        <w:fldChar w:fldCharType="separate"/>
      </w:r>
      <w:r>
        <w:rPr>
          <w:rFonts w:hint="eastAsia" w:eastAsia="黑体"/>
          <w:b w:val="0"/>
          <w:bCs w:val="0"/>
          <w:sz w:val="28"/>
        </w:rPr>
        <w:t>第三节 城乡建设空间</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_Toc26605 \h </w:instrText>
      </w:r>
      <w:r>
        <w:rPr>
          <w:rFonts w:eastAsia="黑体"/>
          <w:b w:val="0"/>
          <w:bCs w:val="0"/>
          <w:sz w:val="28"/>
        </w:rPr>
        <w:fldChar w:fldCharType="separate"/>
      </w:r>
      <w:r>
        <w:rPr>
          <w:rFonts w:eastAsia="黑体"/>
          <w:b w:val="0"/>
          <w:bCs w:val="0"/>
          <w:sz w:val="28"/>
        </w:rPr>
        <w:t>19</w:t>
      </w:r>
      <w:r>
        <w:rPr>
          <w:rFonts w:eastAsia="黑体"/>
          <w:b w:val="0"/>
          <w:bCs w:val="0"/>
          <w:sz w:val="28"/>
        </w:rPr>
        <w:fldChar w:fldCharType="end"/>
      </w:r>
      <w:r>
        <w:rPr>
          <w:rFonts w:eastAsia="黑体"/>
          <w:b w:val="0"/>
          <w:bCs w:val="0"/>
          <w:sz w:val="28"/>
        </w:rPr>
        <w:fldChar w:fldCharType="end"/>
      </w:r>
    </w:p>
    <w:p w14:paraId="2B77B390">
      <w:pPr>
        <w:pStyle w:val="17"/>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_Toc18058 </w:instrText>
      </w:r>
      <w:r>
        <w:rPr>
          <w:rFonts w:eastAsia="黑体"/>
          <w:b w:val="0"/>
          <w:bCs w:val="0"/>
          <w:sz w:val="28"/>
        </w:rPr>
        <w:fldChar w:fldCharType="separate"/>
      </w:r>
      <w:r>
        <w:rPr>
          <w:rFonts w:hint="eastAsia" w:eastAsia="黑体"/>
          <w:b w:val="0"/>
          <w:bCs w:val="0"/>
          <w:sz w:val="28"/>
        </w:rPr>
        <w:t>第五章 乡政府驻地用地布局</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_Toc18058 \h </w:instrText>
      </w:r>
      <w:r>
        <w:rPr>
          <w:rFonts w:eastAsia="黑体"/>
          <w:b w:val="0"/>
          <w:bCs w:val="0"/>
          <w:sz w:val="28"/>
        </w:rPr>
        <w:fldChar w:fldCharType="separate"/>
      </w:r>
      <w:r>
        <w:rPr>
          <w:rFonts w:eastAsia="黑体"/>
          <w:b w:val="0"/>
          <w:bCs w:val="0"/>
          <w:sz w:val="28"/>
        </w:rPr>
        <w:t>24</w:t>
      </w:r>
      <w:r>
        <w:rPr>
          <w:rFonts w:eastAsia="黑体"/>
          <w:b w:val="0"/>
          <w:bCs w:val="0"/>
          <w:sz w:val="28"/>
        </w:rPr>
        <w:fldChar w:fldCharType="end"/>
      </w:r>
      <w:r>
        <w:rPr>
          <w:rFonts w:eastAsia="黑体"/>
          <w:b w:val="0"/>
          <w:bCs w:val="0"/>
          <w:sz w:val="28"/>
        </w:rPr>
        <w:fldChar w:fldCharType="end"/>
      </w:r>
    </w:p>
    <w:p w14:paraId="2BA25476">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_Toc25529 </w:instrText>
      </w:r>
      <w:r>
        <w:rPr>
          <w:rFonts w:eastAsia="黑体"/>
          <w:b w:val="0"/>
          <w:bCs w:val="0"/>
          <w:sz w:val="28"/>
        </w:rPr>
        <w:fldChar w:fldCharType="separate"/>
      </w:r>
      <w:r>
        <w:rPr>
          <w:rFonts w:hint="eastAsia" w:eastAsia="黑体"/>
          <w:b w:val="0"/>
          <w:bCs w:val="0"/>
          <w:sz w:val="28"/>
        </w:rPr>
        <w:t>第一节 用地结构和布局</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_Toc25529 \h </w:instrText>
      </w:r>
      <w:r>
        <w:rPr>
          <w:rFonts w:eastAsia="黑体"/>
          <w:b w:val="0"/>
          <w:bCs w:val="0"/>
          <w:sz w:val="28"/>
        </w:rPr>
        <w:fldChar w:fldCharType="separate"/>
      </w:r>
      <w:r>
        <w:rPr>
          <w:rFonts w:eastAsia="黑体"/>
          <w:b w:val="0"/>
          <w:bCs w:val="0"/>
          <w:sz w:val="28"/>
        </w:rPr>
        <w:t>24</w:t>
      </w:r>
      <w:r>
        <w:rPr>
          <w:rFonts w:eastAsia="黑体"/>
          <w:b w:val="0"/>
          <w:bCs w:val="0"/>
          <w:sz w:val="28"/>
        </w:rPr>
        <w:fldChar w:fldCharType="end"/>
      </w:r>
      <w:r>
        <w:rPr>
          <w:rFonts w:eastAsia="黑体"/>
          <w:b w:val="0"/>
          <w:bCs w:val="0"/>
          <w:sz w:val="28"/>
        </w:rPr>
        <w:fldChar w:fldCharType="end"/>
      </w:r>
    </w:p>
    <w:p w14:paraId="3F6E3587">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_Toc32329 </w:instrText>
      </w:r>
      <w:r>
        <w:rPr>
          <w:rFonts w:eastAsia="黑体"/>
          <w:b w:val="0"/>
          <w:bCs w:val="0"/>
          <w:sz w:val="28"/>
        </w:rPr>
        <w:fldChar w:fldCharType="separate"/>
      </w:r>
      <w:r>
        <w:rPr>
          <w:rFonts w:hint="eastAsia" w:eastAsia="黑体"/>
          <w:b w:val="0"/>
          <w:bCs w:val="0"/>
          <w:sz w:val="28"/>
        </w:rPr>
        <w:t>第二节 居住空间布局</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_Toc32329 \h </w:instrText>
      </w:r>
      <w:r>
        <w:rPr>
          <w:rFonts w:eastAsia="黑体"/>
          <w:b w:val="0"/>
          <w:bCs w:val="0"/>
          <w:sz w:val="28"/>
        </w:rPr>
        <w:fldChar w:fldCharType="separate"/>
      </w:r>
      <w:r>
        <w:rPr>
          <w:rFonts w:eastAsia="黑体"/>
          <w:b w:val="0"/>
          <w:bCs w:val="0"/>
          <w:sz w:val="28"/>
        </w:rPr>
        <w:t>24</w:t>
      </w:r>
      <w:r>
        <w:rPr>
          <w:rFonts w:eastAsia="黑体"/>
          <w:b w:val="0"/>
          <w:bCs w:val="0"/>
          <w:sz w:val="28"/>
        </w:rPr>
        <w:fldChar w:fldCharType="end"/>
      </w:r>
      <w:r>
        <w:rPr>
          <w:rFonts w:eastAsia="黑体"/>
          <w:b w:val="0"/>
          <w:bCs w:val="0"/>
          <w:sz w:val="28"/>
        </w:rPr>
        <w:fldChar w:fldCharType="end"/>
      </w:r>
    </w:p>
    <w:p w14:paraId="7AD51D74">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_Toc16556 </w:instrText>
      </w:r>
      <w:r>
        <w:rPr>
          <w:rFonts w:eastAsia="黑体"/>
          <w:b w:val="0"/>
          <w:bCs w:val="0"/>
          <w:sz w:val="28"/>
        </w:rPr>
        <w:fldChar w:fldCharType="separate"/>
      </w:r>
      <w:r>
        <w:rPr>
          <w:rFonts w:hint="eastAsia" w:eastAsia="黑体"/>
          <w:b w:val="0"/>
          <w:bCs w:val="0"/>
          <w:sz w:val="28"/>
        </w:rPr>
        <w:t>第三节 公共服务空间布局</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_Toc16556 \h </w:instrText>
      </w:r>
      <w:r>
        <w:rPr>
          <w:rFonts w:eastAsia="黑体"/>
          <w:b w:val="0"/>
          <w:bCs w:val="0"/>
          <w:sz w:val="28"/>
        </w:rPr>
        <w:fldChar w:fldCharType="separate"/>
      </w:r>
      <w:r>
        <w:rPr>
          <w:rFonts w:eastAsia="黑体"/>
          <w:b w:val="0"/>
          <w:bCs w:val="0"/>
          <w:sz w:val="28"/>
        </w:rPr>
        <w:t>24</w:t>
      </w:r>
      <w:r>
        <w:rPr>
          <w:rFonts w:eastAsia="黑体"/>
          <w:b w:val="0"/>
          <w:bCs w:val="0"/>
          <w:sz w:val="28"/>
        </w:rPr>
        <w:fldChar w:fldCharType="end"/>
      </w:r>
      <w:r>
        <w:rPr>
          <w:rFonts w:eastAsia="黑体"/>
          <w:b w:val="0"/>
          <w:bCs w:val="0"/>
          <w:sz w:val="28"/>
        </w:rPr>
        <w:fldChar w:fldCharType="end"/>
      </w:r>
    </w:p>
    <w:p w14:paraId="7464AA3A">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_Toc18941 </w:instrText>
      </w:r>
      <w:r>
        <w:rPr>
          <w:rFonts w:eastAsia="黑体"/>
          <w:b w:val="0"/>
          <w:bCs w:val="0"/>
          <w:sz w:val="28"/>
        </w:rPr>
        <w:fldChar w:fldCharType="separate"/>
      </w:r>
      <w:r>
        <w:rPr>
          <w:rFonts w:hint="eastAsia" w:eastAsia="黑体"/>
          <w:b w:val="0"/>
          <w:bCs w:val="0"/>
          <w:sz w:val="28"/>
        </w:rPr>
        <w:t>第四节 绿地与开敞空间布局</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_Toc18941 \h </w:instrText>
      </w:r>
      <w:r>
        <w:rPr>
          <w:rFonts w:eastAsia="黑体"/>
          <w:b w:val="0"/>
          <w:bCs w:val="0"/>
          <w:sz w:val="28"/>
        </w:rPr>
        <w:fldChar w:fldCharType="separate"/>
      </w:r>
      <w:r>
        <w:rPr>
          <w:rFonts w:eastAsia="黑体"/>
          <w:b w:val="0"/>
          <w:bCs w:val="0"/>
          <w:sz w:val="28"/>
        </w:rPr>
        <w:t>25</w:t>
      </w:r>
      <w:r>
        <w:rPr>
          <w:rFonts w:eastAsia="黑体"/>
          <w:b w:val="0"/>
          <w:bCs w:val="0"/>
          <w:sz w:val="28"/>
        </w:rPr>
        <w:fldChar w:fldCharType="end"/>
      </w:r>
      <w:r>
        <w:rPr>
          <w:rFonts w:eastAsia="黑体"/>
          <w:b w:val="0"/>
          <w:bCs w:val="0"/>
          <w:sz w:val="28"/>
        </w:rPr>
        <w:fldChar w:fldCharType="end"/>
      </w:r>
    </w:p>
    <w:p w14:paraId="46608037">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_Toc26763 </w:instrText>
      </w:r>
      <w:r>
        <w:rPr>
          <w:rFonts w:eastAsia="黑体"/>
          <w:b w:val="0"/>
          <w:bCs w:val="0"/>
          <w:sz w:val="28"/>
        </w:rPr>
        <w:fldChar w:fldCharType="separate"/>
      </w:r>
      <w:r>
        <w:rPr>
          <w:rFonts w:hint="eastAsia" w:eastAsia="黑体"/>
          <w:b w:val="0"/>
          <w:bCs w:val="0"/>
          <w:sz w:val="28"/>
        </w:rPr>
        <w:t>第五节 “四线”管控</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_Toc26763 \h </w:instrText>
      </w:r>
      <w:r>
        <w:rPr>
          <w:rFonts w:eastAsia="黑体"/>
          <w:b w:val="0"/>
          <w:bCs w:val="0"/>
          <w:sz w:val="28"/>
        </w:rPr>
        <w:fldChar w:fldCharType="separate"/>
      </w:r>
      <w:r>
        <w:rPr>
          <w:rFonts w:eastAsia="黑体"/>
          <w:b w:val="0"/>
          <w:bCs w:val="0"/>
          <w:sz w:val="28"/>
        </w:rPr>
        <w:t>25</w:t>
      </w:r>
      <w:r>
        <w:rPr>
          <w:rFonts w:eastAsia="黑体"/>
          <w:b w:val="0"/>
          <w:bCs w:val="0"/>
          <w:sz w:val="28"/>
        </w:rPr>
        <w:fldChar w:fldCharType="end"/>
      </w:r>
      <w:r>
        <w:rPr>
          <w:rFonts w:eastAsia="黑体"/>
          <w:b w:val="0"/>
          <w:bCs w:val="0"/>
          <w:sz w:val="28"/>
        </w:rPr>
        <w:fldChar w:fldCharType="end"/>
      </w:r>
    </w:p>
    <w:p w14:paraId="2E454E2D">
      <w:pPr>
        <w:pStyle w:val="17"/>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_Toc6542 </w:instrText>
      </w:r>
      <w:r>
        <w:rPr>
          <w:rFonts w:eastAsia="黑体"/>
          <w:b w:val="0"/>
          <w:bCs w:val="0"/>
          <w:sz w:val="28"/>
        </w:rPr>
        <w:fldChar w:fldCharType="separate"/>
      </w:r>
      <w:r>
        <w:rPr>
          <w:rFonts w:hint="eastAsia" w:eastAsia="黑体"/>
          <w:b w:val="0"/>
          <w:bCs w:val="0"/>
          <w:sz w:val="28"/>
        </w:rPr>
        <w:t>第六章 基础保障体系</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_Toc6542 \h </w:instrText>
      </w:r>
      <w:r>
        <w:rPr>
          <w:rFonts w:eastAsia="黑体"/>
          <w:b w:val="0"/>
          <w:bCs w:val="0"/>
          <w:sz w:val="28"/>
        </w:rPr>
        <w:fldChar w:fldCharType="separate"/>
      </w:r>
      <w:r>
        <w:rPr>
          <w:rFonts w:eastAsia="黑体"/>
          <w:b w:val="0"/>
          <w:bCs w:val="0"/>
          <w:sz w:val="28"/>
        </w:rPr>
        <w:t>27</w:t>
      </w:r>
      <w:r>
        <w:rPr>
          <w:rFonts w:eastAsia="黑体"/>
          <w:b w:val="0"/>
          <w:bCs w:val="0"/>
          <w:sz w:val="28"/>
        </w:rPr>
        <w:fldChar w:fldCharType="end"/>
      </w:r>
      <w:r>
        <w:rPr>
          <w:rFonts w:eastAsia="黑体"/>
          <w:b w:val="0"/>
          <w:bCs w:val="0"/>
          <w:sz w:val="28"/>
        </w:rPr>
        <w:fldChar w:fldCharType="end"/>
      </w:r>
    </w:p>
    <w:p w14:paraId="25873316">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_Toc27632 </w:instrText>
      </w:r>
      <w:r>
        <w:rPr>
          <w:rFonts w:eastAsia="黑体"/>
          <w:b w:val="0"/>
          <w:bCs w:val="0"/>
          <w:sz w:val="28"/>
        </w:rPr>
        <w:fldChar w:fldCharType="separate"/>
      </w:r>
      <w:r>
        <w:rPr>
          <w:rFonts w:hint="eastAsia" w:eastAsia="黑体"/>
          <w:b w:val="0"/>
          <w:bCs w:val="0"/>
          <w:sz w:val="28"/>
        </w:rPr>
        <w:t>第一节 公共服务设施</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_Toc27632 \h </w:instrText>
      </w:r>
      <w:r>
        <w:rPr>
          <w:rFonts w:eastAsia="黑体"/>
          <w:b w:val="0"/>
          <w:bCs w:val="0"/>
          <w:sz w:val="28"/>
        </w:rPr>
        <w:fldChar w:fldCharType="separate"/>
      </w:r>
      <w:r>
        <w:rPr>
          <w:rFonts w:eastAsia="黑体"/>
          <w:b w:val="0"/>
          <w:bCs w:val="0"/>
          <w:sz w:val="28"/>
        </w:rPr>
        <w:t>27</w:t>
      </w:r>
      <w:r>
        <w:rPr>
          <w:rFonts w:eastAsia="黑体"/>
          <w:b w:val="0"/>
          <w:bCs w:val="0"/>
          <w:sz w:val="28"/>
        </w:rPr>
        <w:fldChar w:fldCharType="end"/>
      </w:r>
      <w:r>
        <w:rPr>
          <w:rFonts w:eastAsia="黑体"/>
          <w:b w:val="0"/>
          <w:bCs w:val="0"/>
          <w:sz w:val="28"/>
        </w:rPr>
        <w:fldChar w:fldCharType="end"/>
      </w:r>
    </w:p>
    <w:p w14:paraId="76C5BFAC">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_Toc25143 </w:instrText>
      </w:r>
      <w:r>
        <w:rPr>
          <w:rFonts w:eastAsia="黑体"/>
          <w:b w:val="0"/>
          <w:bCs w:val="0"/>
          <w:sz w:val="28"/>
        </w:rPr>
        <w:fldChar w:fldCharType="separate"/>
      </w:r>
      <w:r>
        <w:rPr>
          <w:rFonts w:hint="eastAsia" w:eastAsia="黑体"/>
          <w:b w:val="0"/>
          <w:bCs w:val="0"/>
          <w:sz w:val="28"/>
        </w:rPr>
        <w:t>第二节 综合交通设施</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_Toc25143 \h </w:instrText>
      </w:r>
      <w:r>
        <w:rPr>
          <w:rFonts w:eastAsia="黑体"/>
          <w:b w:val="0"/>
          <w:bCs w:val="0"/>
          <w:sz w:val="28"/>
        </w:rPr>
        <w:fldChar w:fldCharType="separate"/>
      </w:r>
      <w:r>
        <w:rPr>
          <w:rFonts w:eastAsia="黑体"/>
          <w:b w:val="0"/>
          <w:bCs w:val="0"/>
          <w:sz w:val="28"/>
        </w:rPr>
        <w:t>29</w:t>
      </w:r>
      <w:r>
        <w:rPr>
          <w:rFonts w:eastAsia="黑体"/>
          <w:b w:val="0"/>
          <w:bCs w:val="0"/>
          <w:sz w:val="28"/>
        </w:rPr>
        <w:fldChar w:fldCharType="end"/>
      </w:r>
      <w:r>
        <w:rPr>
          <w:rFonts w:eastAsia="黑体"/>
          <w:b w:val="0"/>
          <w:bCs w:val="0"/>
          <w:sz w:val="28"/>
        </w:rPr>
        <w:fldChar w:fldCharType="end"/>
      </w:r>
    </w:p>
    <w:p w14:paraId="5C69A483">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_Toc7692 </w:instrText>
      </w:r>
      <w:r>
        <w:rPr>
          <w:rFonts w:eastAsia="黑体"/>
          <w:b w:val="0"/>
          <w:bCs w:val="0"/>
          <w:sz w:val="28"/>
        </w:rPr>
        <w:fldChar w:fldCharType="separate"/>
      </w:r>
      <w:r>
        <w:rPr>
          <w:rFonts w:hint="eastAsia" w:eastAsia="黑体"/>
          <w:b w:val="0"/>
          <w:bCs w:val="0"/>
          <w:sz w:val="28"/>
        </w:rPr>
        <w:t>第三节 水利基础设施</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_Toc7692 \h </w:instrText>
      </w:r>
      <w:r>
        <w:rPr>
          <w:rFonts w:eastAsia="黑体"/>
          <w:b w:val="0"/>
          <w:bCs w:val="0"/>
          <w:sz w:val="28"/>
        </w:rPr>
        <w:fldChar w:fldCharType="separate"/>
      </w:r>
      <w:r>
        <w:rPr>
          <w:rFonts w:eastAsia="黑体"/>
          <w:b w:val="0"/>
          <w:bCs w:val="0"/>
          <w:sz w:val="28"/>
        </w:rPr>
        <w:t>32</w:t>
      </w:r>
      <w:r>
        <w:rPr>
          <w:rFonts w:eastAsia="黑体"/>
          <w:b w:val="0"/>
          <w:bCs w:val="0"/>
          <w:sz w:val="28"/>
        </w:rPr>
        <w:fldChar w:fldCharType="end"/>
      </w:r>
      <w:r>
        <w:rPr>
          <w:rFonts w:eastAsia="黑体"/>
          <w:b w:val="0"/>
          <w:bCs w:val="0"/>
          <w:sz w:val="28"/>
        </w:rPr>
        <w:fldChar w:fldCharType="end"/>
      </w:r>
    </w:p>
    <w:p w14:paraId="6E694129">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_Toc6593 </w:instrText>
      </w:r>
      <w:r>
        <w:rPr>
          <w:rFonts w:eastAsia="黑体"/>
          <w:b w:val="0"/>
          <w:bCs w:val="0"/>
          <w:sz w:val="28"/>
        </w:rPr>
        <w:fldChar w:fldCharType="separate"/>
      </w:r>
      <w:r>
        <w:rPr>
          <w:rFonts w:hint="eastAsia" w:eastAsia="黑体"/>
          <w:b w:val="0"/>
          <w:bCs w:val="0"/>
          <w:sz w:val="28"/>
        </w:rPr>
        <w:t>第四节 市政基础设施</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_Toc6593 \h </w:instrText>
      </w:r>
      <w:r>
        <w:rPr>
          <w:rFonts w:eastAsia="黑体"/>
          <w:b w:val="0"/>
          <w:bCs w:val="0"/>
          <w:sz w:val="28"/>
        </w:rPr>
        <w:fldChar w:fldCharType="separate"/>
      </w:r>
      <w:r>
        <w:rPr>
          <w:rFonts w:eastAsia="黑体"/>
          <w:b w:val="0"/>
          <w:bCs w:val="0"/>
          <w:sz w:val="28"/>
        </w:rPr>
        <w:t>33</w:t>
      </w:r>
      <w:r>
        <w:rPr>
          <w:rFonts w:eastAsia="黑体"/>
          <w:b w:val="0"/>
          <w:bCs w:val="0"/>
          <w:sz w:val="28"/>
        </w:rPr>
        <w:fldChar w:fldCharType="end"/>
      </w:r>
      <w:r>
        <w:rPr>
          <w:rFonts w:eastAsia="黑体"/>
          <w:b w:val="0"/>
          <w:bCs w:val="0"/>
          <w:sz w:val="28"/>
        </w:rPr>
        <w:fldChar w:fldCharType="end"/>
      </w:r>
    </w:p>
    <w:p w14:paraId="5563EE6C">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_Toc14195 </w:instrText>
      </w:r>
      <w:r>
        <w:rPr>
          <w:rFonts w:eastAsia="黑体"/>
          <w:b w:val="0"/>
          <w:bCs w:val="0"/>
          <w:sz w:val="28"/>
        </w:rPr>
        <w:fldChar w:fldCharType="separate"/>
      </w:r>
      <w:r>
        <w:rPr>
          <w:rFonts w:hint="eastAsia" w:eastAsia="黑体"/>
          <w:b w:val="0"/>
          <w:bCs w:val="0"/>
          <w:sz w:val="28"/>
        </w:rPr>
        <w:t>第五节 综合防灾减灾设施</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_Toc14195 \h </w:instrText>
      </w:r>
      <w:r>
        <w:rPr>
          <w:rFonts w:eastAsia="黑体"/>
          <w:b w:val="0"/>
          <w:bCs w:val="0"/>
          <w:sz w:val="28"/>
        </w:rPr>
        <w:fldChar w:fldCharType="separate"/>
      </w:r>
      <w:r>
        <w:rPr>
          <w:rFonts w:eastAsia="黑体"/>
          <w:b w:val="0"/>
          <w:bCs w:val="0"/>
          <w:sz w:val="28"/>
        </w:rPr>
        <w:t>35</w:t>
      </w:r>
      <w:r>
        <w:rPr>
          <w:rFonts w:eastAsia="黑体"/>
          <w:b w:val="0"/>
          <w:bCs w:val="0"/>
          <w:sz w:val="28"/>
        </w:rPr>
        <w:fldChar w:fldCharType="end"/>
      </w:r>
      <w:r>
        <w:rPr>
          <w:rFonts w:eastAsia="黑体"/>
          <w:b w:val="0"/>
          <w:bCs w:val="0"/>
          <w:sz w:val="28"/>
        </w:rPr>
        <w:fldChar w:fldCharType="end"/>
      </w:r>
    </w:p>
    <w:p w14:paraId="08CDFDAE">
      <w:pPr>
        <w:pStyle w:val="17"/>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_Toc4250 </w:instrText>
      </w:r>
      <w:r>
        <w:rPr>
          <w:rFonts w:eastAsia="黑体"/>
          <w:b w:val="0"/>
          <w:bCs w:val="0"/>
          <w:sz w:val="28"/>
        </w:rPr>
        <w:fldChar w:fldCharType="separate"/>
      </w:r>
      <w:r>
        <w:rPr>
          <w:rFonts w:hint="eastAsia" w:eastAsia="黑体"/>
          <w:b w:val="0"/>
          <w:bCs w:val="0"/>
          <w:sz w:val="28"/>
        </w:rPr>
        <w:t>第七章 历史文化与地方特色风貌</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_Toc4250 \h </w:instrText>
      </w:r>
      <w:r>
        <w:rPr>
          <w:rFonts w:eastAsia="黑体"/>
          <w:b w:val="0"/>
          <w:bCs w:val="0"/>
          <w:sz w:val="28"/>
        </w:rPr>
        <w:fldChar w:fldCharType="separate"/>
      </w:r>
      <w:r>
        <w:rPr>
          <w:rFonts w:eastAsia="黑体"/>
          <w:b w:val="0"/>
          <w:bCs w:val="0"/>
          <w:sz w:val="28"/>
        </w:rPr>
        <w:t>37</w:t>
      </w:r>
      <w:r>
        <w:rPr>
          <w:rFonts w:eastAsia="黑体"/>
          <w:b w:val="0"/>
          <w:bCs w:val="0"/>
          <w:sz w:val="28"/>
        </w:rPr>
        <w:fldChar w:fldCharType="end"/>
      </w:r>
      <w:r>
        <w:rPr>
          <w:rFonts w:eastAsia="黑体"/>
          <w:b w:val="0"/>
          <w:bCs w:val="0"/>
          <w:sz w:val="28"/>
        </w:rPr>
        <w:fldChar w:fldCharType="end"/>
      </w:r>
    </w:p>
    <w:p w14:paraId="476BBF2D">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_Toc97 </w:instrText>
      </w:r>
      <w:r>
        <w:rPr>
          <w:rFonts w:eastAsia="黑体"/>
          <w:b w:val="0"/>
          <w:bCs w:val="0"/>
          <w:sz w:val="28"/>
        </w:rPr>
        <w:fldChar w:fldCharType="separate"/>
      </w:r>
      <w:r>
        <w:rPr>
          <w:rFonts w:hint="eastAsia" w:eastAsia="黑体"/>
          <w:b w:val="0"/>
          <w:bCs w:val="0"/>
          <w:sz w:val="28"/>
        </w:rPr>
        <w:t>第一节 历史文化保护</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_Toc97 \h </w:instrText>
      </w:r>
      <w:r>
        <w:rPr>
          <w:rFonts w:eastAsia="黑体"/>
          <w:b w:val="0"/>
          <w:bCs w:val="0"/>
          <w:sz w:val="28"/>
        </w:rPr>
        <w:fldChar w:fldCharType="separate"/>
      </w:r>
      <w:r>
        <w:rPr>
          <w:rFonts w:eastAsia="黑体"/>
          <w:b w:val="0"/>
          <w:bCs w:val="0"/>
          <w:sz w:val="28"/>
        </w:rPr>
        <w:t>37</w:t>
      </w:r>
      <w:r>
        <w:rPr>
          <w:rFonts w:eastAsia="黑体"/>
          <w:b w:val="0"/>
          <w:bCs w:val="0"/>
          <w:sz w:val="28"/>
        </w:rPr>
        <w:fldChar w:fldCharType="end"/>
      </w:r>
      <w:r>
        <w:rPr>
          <w:rFonts w:eastAsia="黑体"/>
          <w:b w:val="0"/>
          <w:bCs w:val="0"/>
          <w:sz w:val="28"/>
        </w:rPr>
        <w:fldChar w:fldCharType="end"/>
      </w:r>
    </w:p>
    <w:p w14:paraId="2D576BE7">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_Toc18821 </w:instrText>
      </w:r>
      <w:r>
        <w:rPr>
          <w:rFonts w:eastAsia="黑体"/>
          <w:b w:val="0"/>
          <w:bCs w:val="0"/>
          <w:sz w:val="28"/>
        </w:rPr>
        <w:fldChar w:fldCharType="separate"/>
      </w:r>
      <w:r>
        <w:rPr>
          <w:rFonts w:hint="eastAsia" w:eastAsia="黑体"/>
          <w:b w:val="0"/>
          <w:bCs w:val="0"/>
          <w:sz w:val="28"/>
        </w:rPr>
        <w:t>第二节 特色风貌塑造</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_Toc18821 \h </w:instrText>
      </w:r>
      <w:r>
        <w:rPr>
          <w:rFonts w:eastAsia="黑体"/>
          <w:b w:val="0"/>
          <w:bCs w:val="0"/>
          <w:sz w:val="28"/>
        </w:rPr>
        <w:fldChar w:fldCharType="separate"/>
      </w:r>
      <w:r>
        <w:rPr>
          <w:rFonts w:eastAsia="黑体"/>
          <w:b w:val="0"/>
          <w:bCs w:val="0"/>
          <w:sz w:val="28"/>
        </w:rPr>
        <w:t>37</w:t>
      </w:r>
      <w:r>
        <w:rPr>
          <w:rFonts w:eastAsia="黑体"/>
          <w:b w:val="0"/>
          <w:bCs w:val="0"/>
          <w:sz w:val="28"/>
        </w:rPr>
        <w:fldChar w:fldCharType="end"/>
      </w:r>
      <w:r>
        <w:rPr>
          <w:rFonts w:eastAsia="黑体"/>
          <w:b w:val="0"/>
          <w:bCs w:val="0"/>
          <w:sz w:val="28"/>
        </w:rPr>
        <w:fldChar w:fldCharType="end"/>
      </w:r>
    </w:p>
    <w:p w14:paraId="1274DBCB">
      <w:pPr>
        <w:pStyle w:val="17"/>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_Toc17949 </w:instrText>
      </w:r>
      <w:r>
        <w:rPr>
          <w:rFonts w:eastAsia="黑体"/>
          <w:b w:val="0"/>
          <w:bCs w:val="0"/>
          <w:sz w:val="28"/>
        </w:rPr>
        <w:fldChar w:fldCharType="separate"/>
      </w:r>
      <w:r>
        <w:rPr>
          <w:rFonts w:hint="eastAsia" w:eastAsia="黑体"/>
          <w:b w:val="0"/>
          <w:bCs w:val="0"/>
          <w:sz w:val="28"/>
        </w:rPr>
        <w:t>第八章 生态修复与国土综合整治</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_Toc17949 \h </w:instrText>
      </w:r>
      <w:r>
        <w:rPr>
          <w:rFonts w:eastAsia="黑体"/>
          <w:b w:val="0"/>
          <w:bCs w:val="0"/>
          <w:sz w:val="28"/>
        </w:rPr>
        <w:fldChar w:fldCharType="separate"/>
      </w:r>
      <w:r>
        <w:rPr>
          <w:rFonts w:eastAsia="黑体"/>
          <w:b w:val="0"/>
          <w:bCs w:val="0"/>
          <w:sz w:val="28"/>
        </w:rPr>
        <w:t>40</w:t>
      </w:r>
      <w:r>
        <w:rPr>
          <w:rFonts w:eastAsia="黑体"/>
          <w:b w:val="0"/>
          <w:bCs w:val="0"/>
          <w:sz w:val="28"/>
        </w:rPr>
        <w:fldChar w:fldCharType="end"/>
      </w:r>
      <w:r>
        <w:rPr>
          <w:rFonts w:eastAsia="黑体"/>
          <w:b w:val="0"/>
          <w:bCs w:val="0"/>
          <w:sz w:val="28"/>
        </w:rPr>
        <w:fldChar w:fldCharType="end"/>
      </w:r>
    </w:p>
    <w:p w14:paraId="207B59A2">
      <w:pPr>
        <w:pStyle w:val="17"/>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_Toc9213 </w:instrText>
      </w:r>
      <w:r>
        <w:rPr>
          <w:rFonts w:eastAsia="黑体"/>
          <w:b w:val="0"/>
          <w:bCs w:val="0"/>
          <w:sz w:val="28"/>
        </w:rPr>
        <w:fldChar w:fldCharType="separate"/>
      </w:r>
      <w:r>
        <w:rPr>
          <w:rFonts w:hint="eastAsia" w:eastAsia="黑体"/>
          <w:b w:val="0"/>
          <w:bCs w:val="0"/>
          <w:sz w:val="28"/>
        </w:rPr>
        <w:t xml:space="preserve">第九章 </w:t>
      </w:r>
      <w:r>
        <w:rPr>
          <w:rFonts w:eastAsia="黑体"/>
          <w:b w:val="0"/>
          <w:bCs w:val="0"/>
          <w:sz w:val="28"/>
        </w:rPr>
        <w:t>规划传导与实施</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_Toc9213 \h </w:instrText>
      </w:r>
      <w:r>
        <w:rPr>
          <w:rFonts w:eastAsia="黑体"/>
          <w:b w:val="0"/>
          <w:bCs w:val="0"/>
          <w:sz w:val="28"/>
        </w:rPr>
        <w:fldChar w:fldCharType="separate"/>
      </w:r>
      <w:r>
        <w:rPr>
          <w:rFonts w:eastAsia="黑体"/>
          <w:b w:val="0"/>
          <w:bCs w:val="0"/>
          <w:sz w:val="28"/>
        </w:rPr>
        <w:t>46</w:t>
      </w:r>
      <w:r>
        <w:rPr>
          <w:rFonts w:eastAsia="黑体"/>
          <w:b w:val="0"/>
          <w:bCs w:val="0"/>
          <w:sz w:val="28"/>
        </w:rPr>
        <w:fldChar w:fldCharType="end"/>
      </w:r>
      <w:r>
        <w:rPr>
          <w:rFonts w:eastAsia="黑体"/>
          <w:b w:val="0"/>
          <w:bCs w:val="0"/>
          <w:sz w:val="28"/>
        </w:rPr>
        <w:fldChar w:fldCharType="end"/>
      </w:r>
    </w:p>
    <w:p w14:paraId="1022421D">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_Toc15448 </w:instrText>
      </w:r>
      <w:r>
        <w:rPr>
          <w:rFonts w:eastAsia="黑体"/>
          <w:b w:val="0"/>
          <w:bCs w:val="0"/>
          <w:sz w:val="28"/>
        </w:rPr>
        <w:fldChar w:fldCharType="separate"/>
      </w:r>
      <w:r>
        <w:rPr>
          <w:rFonts w:hint="eastAsia" w:eastAsia="黑体"/>
          <w:b w:val="0"/>
          <w:bCs w:val="0"/>
          <w:sz w:val="28"/>
        </w:rPr>
        <w:t>第一节 规划传导与管控</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_Toc15448 \h </w:instrText>
      </w:r>
      <w:r>
        <w:rPr>
          <w:rFonts w:eastAsia="黑体"/>
          <w:b w:val="0"/>
          <w:bCs w:val="0"/>
          <w:sz w:val="28"/>
        </w:rPr>
        <w:fldChar w:fldCharType="separate"/>
      </w:r>
      <w:r>
        <w:rPr>
          <w:rFonts w:eastAsia="黑体"/>
          <w:b w:val="0"/>
          <w:bCs w:val="0"/>
          <w:sz w:val="28"/>
        </w:rPr>
        <w:t>46</w:t>
      </w:r>
      <w:r>
        <w:rPr>
          <w:rFonts w:eastAsia="黑体"/>
          <w:b w:val="0"/>
          <w:bCs w:val="0"/>
          <w:sz w:val="28"/>
        </w:rPr>
        <w:fldChar w:fldCharType="end"/>
      </w:r>
      <w:r>
        <w:rPr>
          <w:rFonts w:eastAsia="黑体"/>
          <w:b w:val="0"/>
          <w:bCs w:val="0"/>
          <w:sz w:val="28"/>
        </w:rPr>
        <w:fldChar w:fldCharType="end"/>
      </w:r>
    </w:p>
    <w:p w14:paraId="764F357F">
      <w:pPr>
        <w:pStyle w:val="18"/>
        <w:tabs>
          <w:tab w:val="right" w:leader="dot" w:pos="8312"/>
        </w:tabs>
        <w:rPr>
          <w:rFonts w:eastAsia="黑体"/>
          <w:b w:val="0"/>
          <w:bCs w:val="0"/>
          <w:sz w:val="28"/>
        </w:rPr>
      </w:pPr>
      <w:r>
        <w:rPr>
          <w:rFonts w:eastAsia="黑体"/>
          <w:b w:val="0"/>
          <w:bCs w:val="0"/>
          <w:sz w:val="28"/>
        </w:rPr>
        <w:fldChar w:fldCharType="begin"/>
      </w:r>
      <w:r>
        <w:rPr>
          <w:rFonts w:eastAsia="黑体"/>
          <w:b w:val="0"/>
          <w:bCs w:val="0"/>
          <w:sz w:val="28"/>
        </w:rPr>
        <w:instrText xml:space="preserve"> HYPERLINK \l _Toc13001 </w:instrText>
      </w:r>
      <w:r>
        <w:rPr>
          <w:rFonts w:eastAsia="黑体"/>
          <w:b w:val="0"/>
          <w:bCs w:val="0"/>
          <w:sz w:val="28"/>
        </w:rPr>
        <w:fldChar w:fldCharType="separate"/>
      </w:r>
      <w:r>
        <w:rPr>
          <w:rFonts w:hint="eastAsia" w:eastAsia="黑体"/>
          <w:b w:val="0"/>
          <w:bCs w:val="0"/>
          <w:sz w:val="28"/>
        </w:rPr>
        <w:t>第二节 规划实施</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_Toc13001 \h </w:instrText>
      </w:r>
      <w:r>
        <w:rPr>
          <w:rFonts w:eastAsia="黑体"/>
          <w:b w:val="0"/>
          <w:bCs w:val="0"/>
          <w:sz w:val="28"/>
        </w:rPr>
        <w:fldChar w:fldCharType="separate"/>
      </w:r>
      <w:r>
        <w:rPr>
          <w:rFonts w:eastAsia="黑体"/>
          <w:b w:val="0"/>
          <w:bCs w:val="0"/>
          <w:sz w:val="28"/>
        </w:rPr>
        <w:t>47</w:t>
      </w:r>
      <w:r>
        <w:rPr>
          <w:rFonts w:eastAsia="黑体"/>
          <w:b w:val="0"/>
          <w:bCs w:val="0"/>
          <w:sz w:val="28"/>
        </w:rPr>
        <w:fldChar w:fldCharType="end"/>
      </w:r>
      <w:r>
        <w:rPr>
          <w:rFonts w:eastAsia="黑体"/>
          <w:b w:val="0"/>
          <w:bCs w:val="0"/>
          <w:sz w:val="28"/>
        </w:rPr>
        <w:fldChar w:fldCharType="end"/>
      </w:r>
    </w:p>
    <w:p w14:paraId="06F5448F">
      <w:pPr>
        <w:pStyle w:val="17"/>
        <w:tabs>
          <w:tab w:val="right" w:leader="dot" w:pos="8312"/>
        </w:tabs>
      </w:pPr>
      <w:r>
        <w:rPr>
          <w:rFonts w:eastAsia="黑体"/>
          <w:b w:val="0"/>
          <w:bCs w:val="0"/>
          <w:sz w:val="28"/>
        </w:rPr>
        <w:fldChar w:fldCharType="begin"/>
      </w:r>
      <w:r>
        <w:rPr>
          <w:rFonts w:eastAsia="黑体"/>
          <w:b w:val="0"/>
          <w:bCs w:val="0"/>
          <w:sz w:val="28"/>
        </w:rPr>
        <w:instrText xml:space="preserve"> HYPERLINK \l _Toc24668 </w:instrText>
      </w:r>
      <w:r>
        <w:rPr>
          <w:rFonts w:eastAsia="黑体"/>
          <w:b w:val="0"/>
          <w:bCs w:val="0"/>
          <w:sz w:val="28"/>
        </w:rPr>
        <w:fldChar w:fldCharType="separate"/>
      </w:r>
      <w:r>
        <w:rPr>
          <w:rFonts w:hint="eastAsia" w:eastAsia="黑体"/>
          <w:b w:val="0"/>
          <w:bCs w:val="0"/>
          <w:sz w:val="28"/>
        </w:rPr>
        <w:t>第十章 村庄“通则式”规划管理规定</w:t>
      </w:r>
      <w:r>
        <w:rPr>
          <w:rFonts w:eastAsia="黑体"/>
          <w:b w:val="0"/>
          <w:bCs w:val="0"/>
          <w:sz w:val="28"/>
        </w:rPr>
        <w:tab/>
      </w:r>
      <w:r>
        <w:rPr>
          <w:rFonts w:eastAsia="黑体"/>
          <w:b w:val="0"/>
          <w:bCs w:val="0"/>
          <w:sz w:val="28"/>
        </w:rPr>
        <w:fldChar w:fldCharType="begin"/>
      </w:r>
      <w:r>
        <w:rPr>
          <w:rFonts w:eastAsia="黑体"/>
          <w:b w:val="0"/>
          <w:bCs w:val="0"/>
          <w:sz w:val="28"/>
        </w:rPr>
        <w:instrText xml:space="preserve"> PAGEREF _Toc24668 \h </w:instrText>
      </w:r>
      <w:r>
        <w:rPr>
          <w:rFonts w:eastAsia="黑体"/>
          <w:b w:val="0"/>
          <w:bCs w:val="0"/>
          <w:sz w:val="28"/>
        </w:rPr>
        <w:fldChar w:fldCharType="separate"/>
      </w:r>
      <w:r>
        <w:rPr>
          <w:rFonts w:eastAsia="黑体"/>
          <w:b w:val="0"/>
          <w:bCs w:val="0"/>
          <w:sz w:val="28"/>
        </w:rPr>
        <w:t>50</w:t>
      </w:r>
      <w:r>
        <w:rPr>
          <w:rFonts w:eastAsia="黑体"/>
          <w:b w:val="0"/>
          <w:bCs w:val="0"/>
          <w:sz w:val="28"/>
        </w:rPr>
        <w:fldChar w:fldCharType="end"/>
      </w:r>
      <w:r>
        <w:rPr>
          <w:rFonts w:eastAsia="黑体"/>
          <w:b w:val="0"/>
          <w:bCs w:val="0"/>
          <w:sz w:val="28"/>
        </w:rPr>
        <w:fldChar w:fldCharType="end"/>
      </w:r>
    </w:p>
    <w:p w14:paraId="14CBD1C9">
      <w:pPr>
        <w:tabs>
          <w:tab w:val="right" w:leader="dot" w:pos="8306"/>
        </w:tabs>
        <w:ind w:firstLine="0" w:firstLineChars="0"/>
        <w:jc w:val="left"/>
      </w:pPr>
      <w:r>
        <w:rPr>
          <w:rFonts w:eastAsia="黑体"/>
        </w:rPr>
        <w:fldChar w:fldCharType="end"/>
      </w:r>
    </w:p>
    <w:p w14:paraId="6A3BD778">
      <w:pPr>
        <w:pStyle w:val="26"/>
        <w:spacing w:before="217" w:after="217"/>
        <w:sectPr>
          <w:footerReference r:id="rId12" w:type="default"/>
          <w:pgSz w:w="11906" w:h="16838"/>
          <w:pgMar w:top="1440" w:right="1797" w:bottom="1440" w:left="1797" w:header="851" w:footer="850" w:gutter="0"/>
          <w:pgNumType w:fmt="lowerRoman" w:start="1"/>
          <w:cols w:space="720" w:num="1"/>
          <w:docGrid w:type="lines" w:linePitch="435" w:charSpace="0"/>
        </w:sectPr>
      </w:pPr>
      <w:bookmarkStart w:id="0" w:name="_Toc11253"/>
      <w:bookmarkStart w:id="1" w:name="_Toc18814"/>
      <w:bookmarkStart w:id="2" w:name="_Toc122541683"/>
      <w:bookmarkStart w:id="3" w:name="_Toc122541176"/>
    </w:p>
    <w:p w14:paraId="14C6136D">
      <w:pPr>
        <w:pStyle w:val="26"/>
        <w:numPr>
          <w:ilvl w:val="0"/>
          <w:numId w:val="2"/>
        </w:numPr>
        <w:spacing w:before="217" w:after="217"/>
      </w:pPr>
      <w:bookmarkStart w:id="4" w:name="_Toc142552493"/>
      <w:bookmarkStart w:id="5" w:name="_Toc32714"/>
      <w:r>
        <w:t xml:space="preserve"> </w:t>
      </w:r>
      <w:bookmarkStart w:id="6" w:name="_Toc26855"/>
      <w:r>
        <w:rPr>
          <w:rFonts w:hint="eastAsia"/>
        </w:rPr>
        <w:t>总则</w:t>
      </w:r>
      <w:bookmarkEnd w:id="0"/>
      <w:bookmarkEnd w:id="1"/>
      <w:bookmarkEnd w:id="2"/>
      <w:bookmarkEnd w:id="3"/>
      <w:bookmarkEnd w:id="4"/>
      <w:bookmarkEnd w:id="5"/>
      <w:bookmarkEnd w:id="6"/>
    </w:p>
    <w:p w14:paraId="0DE4079B">
      <w:pPr>
        <w:pStyle w:val="28"/>
        <w:numPr>
          <w:ilvl w:val="0"/>
          <w:numId w:val="1"/>
        </w:numPr>
        <w:tabs>
          <w:tab w:val="left" w:pos="2915"/>
        </w:tabs>
        <w:spacing w:before="217" w:after="217"/>
      </w:pPr>
      <w:bookmarkStart w:id="7" w:name="_Toc13450"/>
      <w:bookmarkStart w:id="8" w:name="_Toc10556"/>
      <w:bookmarkStart w:id="9" w:name="_Hlk139987975"/>
      <w:r>
        <w:rPr>
          <w:rFonts w:hint="eastAsia"/>
        </w:rPr>
        <w:t xml:space="preserve"> 规划目的</w:t>
      </w:r>
      <w:bookmarkEnd w:id="7"/>
      <w:bookmarkEnd w:id="8"/>
    </w:p>
    <w:bookmarkEnd w:id="9"/>
    <w:p w14:paraId="000471F8">
      <w:pPr>
        <w:ind w:firstLine="640"/>
      </w:pPr>
      <w:bookmarkStart w:id="10" w:name="_Hlk139987564"/>
      <w:r>
        <w:rPr>
          <w:rFonts w:hint="eastAsia"/>
        </w:rPr>
        <w:t>为贯彻落实《中共中央 国务院关于建立国土空间规划体系并监督实施的若干意见》（中发〔2019〕18号），《自然资源部关于全面开展国土空间规划工作的通知》（自然资发〔2019〕87号）等文件精神，积极响应国家及黑龙江省关于建立国土空间规划体系的新要求，落实黑龙江省推进“六个龙江”“八个振兴”战略部署和桦川县委、县政府和创业乡的实际工作需求，对创业乡全域范围内国土空间开发保护作出总体安排和综合部署，指导城乡各类开发建设活动、开展国土空间资源保护利用与修复、制定空间发展政策和实施国土空间规划管理，特编制《桦川县创业乡国土空间总体规划（2021—2035年）》（以下简称本规划）。</w:t>
      </w:r>
    </w:p>
    <w:p w14:paraId="4594F476">
      <w:pPr>
        <w:pStyle w:val="28"/>
        <w:numPr>
          <w:ilvl w:val="0"/>
          <w:numId w:val="1"/>
        </w:numPr>
        <w:tabs>
          <w:tab w:val="left" w:pos="2915"/>
        </w:tabs>
        <w:spacing w:before="217" w:after="217"/>
      </w:pPr>
      <w:r>
        <w:rPr>
          <w:rFonts w:hint="eastAsia"/>
        </w:rPr>
        <w:t xml:space="preserve"> </w:t>
      </w:r>
      <w:bookmarkStart w:id="11" w:name="_Toc31318"/>
      <w:r>
        <w:rPr>
          <w:rFonts w:hint="eastAsia"/>
        </w:rPr>
        <w:t>规划定位</w:t>
      </w:r>
      <w:bookmarkEnd w:id="11"/>
    </w:p>
    <w:p w14:paraId="7E7323A3">
      <w:pPr>
        <w:spacing w:line="640" w:lineRule="exact"/>
        <w:ind w:firstLine="640"/>
        <w:jc w:val="left"/>
      </w:pPr>
      <w:r>
        <w:rPr>
          <w:rFonts w:hint="eastAsia" w:cs="仿宋_GB2312"/>
          <w:lang w:bidi="ar"/>
        </w:rPr>
        <w:t>乡镇级国土空间总体规划是对市（县）级国土空间总体规划要求的细化落实，是对乡镇域国土空间保护开发作出的具体安排，是乡镇进行空间治理的工具，是编制城镇开发边界内的详细规划和城镇开发边界外的村庄规划、实施国土空间用途管制的基本依据。</w:t>
      </w:r>
    </w:p>
    <w:bookmarkEnd w:id="10"/>
    <w:p w14:paraId="222B2AF0">
      <w:pPr>
        <w:pStyle w:val="28"/>
        <w:keepNext/>
        <w:numPr>
          <w:ilvl w:val="0"/>
          <w:numId w:val="1"/>
        </w:numPr>
        <w:tabs>
          <w:tab w:val="left" w:pos="2915"/>
        </w:tabs>
        <w:spacing w:before="217" w:after="217"/>
      </w:pPr>
      <w:bookmarkStart w:id="12" w:name="_Toc6789"/>
      <w:bookmarkStart w:id="13" w:name="_Toc7937"/>
      <w:bookmarkStart w:id="14" w:name="_Toc122541689"/>
      <w:bookmarkStart w:id="15" w:name="_Toc122541182"/>
      <w:r>
        <w:rPr>
          <w:rFonts w:hint="eastAsia"/>
        </w:rPr>
        <w:t xml:space="preserve"> 指导思想</w:t>
      </w:r>
      <w:bookmarkEnd w:id="12"/>
      <w:bookmarkEnd w:id="13"/>
    </w:p>
    <w:p w14:paraId="6D1B0370">
      <w:pPr>
        <w:ind w:firstLine="640"/>
      </w:pPr>
      <w:r>
        <w:rPr>
          <w:rFonts w:hint="eastAsia"/>
        </w:rPr>
        <w:t>坚持以习近平总书记新时代中国特色社会主义思想为总体指导，全面贯彻党的二十大精神和总书记系列重要讲话精神，贯彻落实《中共中央 国务院关于建立国土空间规划体系并监督实施的若干意见》要求</w:t>
      </w:r>
      <w:bookmarkStart w:id="16" w:name="_Hlk139468127"/>
      <w:r>
        <w:rPr>
          <w:rFonts w:hint="eastAsia"/>
        </w:rPr>
        <w:t>，贯彻生态文明理念，坚持以人民为中心，围绕满足人民日益增长的美好生活需要，顺应新时代国土空间治理要求，构建以国土空间规划为基础、统一用途管制为手段的国土空间开发保护制度。</w:t>
      </w:r>
      <w:bookmarkEnd w:id="16"/>
      <w:r>
        <w:rPr>
          <w:rFonts w:hint="eastAsia"/>
        </w:rPr>
        <w:t>实现基层国土空间总体规划的战略性、全局性与规划方案实施可操作性的有机统一，为全面实现乡村振兴提供科学支撑。</w:t>
      </w:r>
    </w:p>
    <w:p w14:paraId="405FE01D">
      <w:pPr>
        <w:pStyle w:val="28"/>
        <w:numPr>
          <w:ilvl w:val="0"/>
          <w:numId w:val="1"/>
        </w:numPr>
        <w:tabs>
          <w:tab w:val="left" w:pos="2915"/>
        </w:tabs>
        <w:spacing w:before="217" w:after="217"/>
      </w:pPr>
      <w:bookmarkStart w:id="17" w:name="_Toc16439"/>
      <w:bookmarkStart w:id="18" w:name="_Toc25063"/>
      <w:bookmarkStart w:id="19" w:name="_Toc3111"/>
      <w:bookmarkStart w:id="20" w:name="_Toc122615827"/>
      <w:bookmarkStart w:id="21" w:name="_Toc25520"/>
      <w:bookmarkStart w:id="22" w:name="_Toc28218"/>
      <w:r>
        <w:rPr>
          <w:rFonts w:hint="eastAsia"/>
        </w:rPr>
        <w:t xml:space="preserve"> 规划原则</w:t>
      </w:r>
      <w:bookmarkEnd w:id="17"/>
      <w:bookmarkEnd w:id="18"/>
    </w:p>
    <w:bookmarkEnd w:id="19"/>
    <w:bookmarkEnd w:id="20"/>
    <w:bookmarkEnd w:id="21"/>
    <w:bookmarkEnd w:id="22"/>
    <w:p w14:paraId="39259F43">
      <w:pPr>
        <w:ind w:firstLine="640"/>
      </w:pPr>
      <w:r>
        <w:rPr>
          <w:rFonts w:hint="eastAsia"/>
        </w:rPr>
        <w:t>坚持安全底线，绿色发展。落实市县总规划定的“三条控制线”，严守国防安全、粮食安全、生态安全、能源安全、产业安全底线。</w:t>
      </w:r>
    </w:p>
    <w:p w14:paraId="735BA84D">
      <w:pPr>
        <w:ind w:firstLine="640"/>
      </w:pPr>
      <w:r>
        <w:rPr>
          <w:rFonts w:hint="eastAsia"/>
        </w:rPr>
        <w:t>坚持以人为本，品质提升。以人民为中心，处理好人与自然的和谐关系，实现城乡高质量发展、高品质生活。</w:t>
      </w:r>
    </w:p>
    <w:p w14:paraId="1E547F72">
      <w:pPr>
        <w:ind w:firstLine="640"/>
      </w:pPr>
      <w:r>
        <w:rPr>
          <w:rFonts w:hint="eastAsia"/>
        </w:rPr>
        <w:t>坚持全域管控，适度集约。强化自然资源统筹利用和用途管控，探索控制城乡建设用地增量，盘活存量的内涵式发展路径，提高土地利用效率。</w:t>
      </w:r>
    </w:p>
    <w:p w14:paraId="2AA9FA6D">
      <w:pPr>
        <w:ind w:firstLine="640"/>
      </w:pPr>
      <w:r>
        <w:rPr>
          <w:rFonts w:hint="eastAsia"/>
        </w:rPr>
        <w:t>坚持承上启下，体现特色。严格落实市县总规下达的传导内容，并将本级约束性指标（除用水总量）分解至村庄，因地制宜体现黑土地保护、生态环境、能源安全、矿业经济、守边固边等特色。</w:t>
      </w:r>
    </w:p>
    <w:p w14:paraId="55F90269">
      <w:pPr>
        <w:ind w:firstLine="640"/>
      </w:pPr>
      <w:r>
        <w:rPr>
          <w:rFonts w:hint="eastAsia"/>
        </w:rPr>
        <w:t>坚持侧重实施，突出近期。侧重对本行政区域开发保护作出具体安排，突出与国民经济和社会发展规划的衔接，保障近期项目实施。</w:t>
      </w:r>
    </w:p>
    <w:p w14:paraId="4CDE55AD">
      <w:pPr>
        <w:ind w:firstLine="640"/>
      </w:pPr>
      <w:r>
        <w:rPr>
          <w:rFonts w:hint="eastAsia"/>
        </w:rPr>
        <w:t>坚持公众参与，开放共享。广泛征求公众意见，开门编规划，保障公众的知情权、参与权和监督权。</w:t>
      </w:r>
    </w:p>
    <w:p w14:paraId="0889BE65">
      <w:pPr>
        <w:pStyle w:val="28"/>
        <w:numPr>
          <w:ilvl w:val="0"/>
          <w:numId w:val="1"/>
        </w:numPr>
        <w:tabs>
          <w:tab w:val="left" w:pos="2915"/>
        </w:tabs>
        <w:spacing w:before="217" w:after="217"/>
      </w:pPr>
      <w:bookmarkStart w:id="23" w:name="_Toc9605"/>
      <w:bookmarkStart w:id="24" w:name="_Toc16109"/>
      <w:r>
        <w:rPr>
          <w:rFonts w:hint="eastAsia"/>
        </w:rPr>
        <w:t xml:space="preserve"> 规划范围、期限</w:t>
      </w:r>
    </w:p>
    <w:p w14:paraId="507A4E6F">
      <w:pPr>
        <w:ind w:firstLine="640"/>
        <w:rPr>
          <w:rFonts w:hint="eastAsia"/>
        </w:rPr>
      </w:pPr>
      <w:r>
        <w:rPr>
          <w:rFonts w:hint="eastAsia"/>
        </w:rPr>
        <w:t>本次规划包括</w:t>
      </w:r>
      <w:r>
        <w:rPr>
          <w:rFonts w:hint="eastAsia"/>
          <w:lang w:bidi="ar"/>
        </w:rPr>
        <w:t>乡级行政辖区和乡政府驻地两个层次。乡域要统筹全域全要素规划管理</w:t>
      </w:r>
      <w:r>
        <w:rPr>
          <w:rFonts w:hint="eastAsia"/>
        </w:rPr>
        <w:t>。</w:t>
      </w:r>
    </w:p>
    <w:p w14:paraId="2759D56D">
      <w:pPr>
        <w:ind w:firstLine="640"/>
      </w:pPr>
      <w:r>
        <w:rPr>
          <w:rFonts w:hint="eastAsia"/>
          <w:lang w:bidi="ar"/>
        </w:rPr>
        <w:t>乡镇政府驻地要细化土地使用和空间布局，</w:t>
      </w:r>
      <w:r>
        <w:rPr>
          <w:rFonts w:hint="eastAsia"/>
        </w:rPr>
        <w:t>乡政府驻地规划范围。</w:t>
      </w:r>
    </w:p>
    <w:p w14:paraId="3C5D7AEF">
      <w:pPr>
        <w:pStyle w:val="45"/>
        <w:ind w:firstLine="640"/>
        <w:rPr>
          <w:rFonts w:hint="default" w:cs="Times New Roman"/>
          <w:szCs w:val="24"/>
          <w:lang w:bidi="ar"/>
        </w:rPr>
      </w:pPr>
      <w:r>
        <w:rPr>
          <w:rFonts w:hint="default" w:cs="Times New Roman"/>
          <w:szCs w:val="24"/>
          <w:lang w:bidi="ar"/>
        </w:rPr>
        <w:t>本次规划</w:t>
      </w:r>
      <w:r>
        <w:rPr>
          <w:rFonts w:cs="Times New Roman"/>
          <w:szCs w:val="24"/>
          <w:lang w:bidi="ar"/>
        </w:rPr>
        <w:t>基期年为2020年，规划期限为2021—2035年，远景展望至2050年。</w:t>
      </w:r>
    </w:p>
    <w:p w14:paraId="6941EF79">
      <w:pPr>
        <w:pStyle w:val="28"/>
        <w:numPr>
          <w:ilvl w:val="0"/>
          <w:numId w:val="1"/>
        </w:numPr>
        <w:tabs>
          <w:tab w:val="left" w:pos="2915"/>
        </w:tabs>
        <w:spacing w:before="217" w:after="217"/>
      </w:pPr>
      <w:r>
        <w:rPr>
          <w:rFonts w:hint="eastAsia"/>
        </w:rPr>
        <w:t xml:space="preserve"> 规划依据</w:t>
      </w:r>
      <w:bookmarkEnd w:id="14"/>
      <w:bookmarkEnd w:id="15"/>
      <w:bookmarkEnd w:id="23"/>
      <w:bookmarkEnd w:id="24"/>
    </w:p>
    <w:p w14:paraId="218CEE31">
      <w:pPr>
        <w:ind w:firstLine="640"/>
      </w:pPr>
      <w:bookmarkStart w:id="25" w:name="_Hlk123805776"/>
      <w:bookmarkStart w:id="26" w:name="_Toc15407"/>
      <w:bookmarkStart w:id="27" w:name="_Toc7707"/>
      <w:bookmarkStart w:id="28" w:name="_Toc122541187"/>
      <w:bookmarkStart w:id="29" w:name="_Toc122541694"/>
      <w:r>
        <w:t>1.《中华人民共和国城乡规划法》</w:t>
      </w:r>
    </w:p>
    <w:p w14:paraId="369AA398">
      <w:pPr>
        <w:ind w:firstLine="640"/>
      </w:pPr>
      <w:r>
        <w:t>2.《中华人民共和国土地管理法》</w:t>
      </w:r>
    </w:p>
    <w:p w14:paraId="6582D73B">
      <w:pPr>
        <w:ind w:firstLine="640"/>
      </w:pPr>
      <w:r>
        <w:t>3.《中华人民共和国土地管理法实施条例》</w:t>
      </w:r>
    </w:p>
    <w:p w14:paraId="6787EA8B">
      <w:pPr>
        <w:ind w:firstLine="640"/>
      </w:pPr>
      <w:r>
        <w:t>4.《中共中央 国务院关于建立国土空间规划体系并监督实施的若干意见》（</w:t>
      </w:r>
      <w:r>
        <w:rPr>
          <w:rFonts w:hint="eastAsia"/>
        </w:rPr>
        <w:t>中发〔2019〕18号</w:t>
      </w:r>
      <w:r>
        <w:t>）</w:t>
      </w:r>
    </w:p>
    <w:p w14:paraId="643DB6DA">
      <w:pPr>
        <w:ind w:firstLine="640"/>
      </w:pPr>
      <w:r>
        <w:t>5.《中共中央办公厅 国务院办公厅〈关于在国土空间规划中统筹划定落实三条控制线的指导意见〉的通知》（</w:t>
      </w:r>
      <w:r>
        <w:rPr>
          <w:rFonts w:hint="eastAsia"/>
        </w:rPr>
        <w:t>厅字〔2019〕48号）</w:t>
      </w:r>
    </w:p>
    <w:p w14:paraId="2E9CB9AA">
      <w:pPr>
        <w:ind w:firstLine="640"/>
      </w:pPr>
      <w:r>
        <w:t>6.《中共中央办公厅 国务院办公厅印发〈关于建立以国家公园为主体的自然保护地体系的指导意见〉的通知》（中办发〔2019〕42号）</w:t>
      </w:r>
    </w:p>
    <w:p w14:paraId="4D8B7AE2">
      <w:pPr>
        <w:ind w:firstLine="640"/>
      </w:pPr>
      <w:r>
        <w:t>7.《自然资源部关于全面开展国土空间规划工作的通知》（自</w:t>
      </w:r>
      <w:r>
        <w:rPr>
          <w:rFonts w:hint="eastAsia"/>
        </w:rPr>
        <w:t>然资源发〔2019〕87号）</w:t>
      </w:r>
    </w:p>
    <w:p w14:paraId="7AF61EEB">
      <w:pPr>
        <w:ind w:firstLine="640"/>
      </w:pPr>
      <w:r>
        <w:t>8.《自然资源部办公厅关于加强村庄规划促进乡村振兴的通知》</w:t>
      </w:r>
      <w:r>
        <w:rPr>
          <w:rFonts w:hint="eastAsia"/>
        </w:rPr>
        <w:t>（自然资办发〔2019〕35号）</w:t>
      </w:r>
    </w:p>
    <w:p w14:paraId="4F0D1003">
      <w:pPr>
        <w:ind w:firstLine="640"/>
      </w:pPr>
      <w:r>
        <w:t>9.《自然资源部 农业农村部关于加强和改进永久基本农田保护工作的通知》</w:t>
      </w:r>
      <w:r>
        <w:rPr>
          <w:rFonts w:hint="eastAsia"/>
        </w:rPr>
        <w:t>（自然资规〔2019〕1号）</w:t>
      </w:r>
    </w:p>
    <w:p w14:paraId="432C19A2">
      <w:pPr>
        <w:ind w:firstLine="640"/>
      </w:pPr>
      <w:r>
        <w:t>10.《自然资源部中央农村工作领导小组办公室关于学习运</w:t>
      </w:r>
      <w:r>
        <w:rPr>
          <w:rFonts w:hint="eastAsia"/>
        </w:rPr>
        <w:t>用“千万工程”经验提高村庄规划编制质量和实效的通知》（自然资发〔2024〕1号）</w:t>
      </w:r>
    </w:p>
    <w:p w14:paraId="0DE02DD4">
      <w:pPr>
        <w:ind w:firstLine="640"/>
      </w:pPr>
      <w:r>
        <w:t>11.《中共黑龙江省委 黑龙江省人民政府关于建立全省国土空间规划体系并监督实施的意见</w:t>
      </w:r>
      <w:r>
        <w:rPr>
          <w:rFonts w:hint="eastAsia"/>
        </w:rPr>
        <w:t>》（黑发〔2020〕5号）</w:t>
      </w:r>
    </w:p>
    <w:p w14:paraId="6C4AC68D">
      <w:pPr>
        <w:ind w:firstLine="640"/>
      </w:pPr>
      <w:r>
        <w:t>12.《中共黑龙江省委办公厅 黑龙江省人民政府办公厅印发〈关于在全省国土空间规划中统筹划定落实三条控制线的实施意见〉的通知》</w:t>
      </w:r>
    </w:p>
    <w:p w14:paraId="0BAFF355">
      <w:pPr>
        <w:ind w:firstLine="640"/>
      </w:pPr>
      <w:r>
        <w:t>13.《黑龙江省自然资源厅关于全面开展全省国土空间规划工作的通知》</w:t>
      </w:r>
      <w:r>
        <w:rPr>
          <w:rFonts w:hint="eastAsia"/>
        </w:rPr>
        <w:t>（黑自然资函〔2019〕291号）</w:t>
      </w:r>
    </w:p>
    <w:p w14:paraId="7816AAC3">
      <w:pPr>
        <w:ind w:firstLine="640"/>
      </w:pPr>
      <w:r>
        <w:t>14.《黑龙江省自然资源厅关于印发〈黑龙江省市县级国土</w:t>
      </w:r>
      <w:r>
        <w:rPr>
          <w:rFonts w:hint="eastAsia"/>
        </w:rPr>
        <w:t>空间总体规划成果审查报批工作办法（试行）〉的通知》（黑自然资发〔2023〕5号）</w:t>
      </w:r>
    </w:p>
    <w:p w14:paraId="18A20576">
      <w:pPr>
        <w:ind w:firstLine="640"/>
      </w:pPr>
      <w:r>
        <w:t>15.《国土空间调查、规划、用途管制用地用海分类指南》</w:t>
      </w:r>
      <w:r>
        <w:rPr>
          <w:rFonts w:hint="eastAsia"/>
        </w:rPr>
        <w:t>（自然资发〔2023〕234号）</w:t>
      </w:r>
    </w:p>
    <w:p w14:paraId="1AB834D8">
      <w:pPr>
        <w:ind w:firstLine="640"/>
      </w:pPr>
      <w:r>
        <w:t>16.《省级国土空间规划编制技术规程</w:t>
      </w:r>
      <w:r>
        <w:rPr>
          <w:rFonts w:hint="eastAsia"/>
        </w:rPr>
        <w:t>（GB/T43214-2023）》</w:t>
      </w:r>
    </w:p>
    <w:p w14:paraId="27D0060E">
      <w:pPr>
        <w:ind w:firstLine="640"/>
      </w:pPr>
      <w:r>
        <w:t>17.《市级国土空间总体规划编制指南（试行）》</w:t>
      </w:r>
    </w:p>
    <w:p w14:paraId="72851AC7">
      <w:pPr>
        <w:ind w:firstLine="640"/>
      </w:pPr>
      <w:r>
        <w:t>18.《黑龙江省县级国土空间总体规划编制指南（试行）》</w:t>
      </w:r>
    </w:p>
    <w:p w14:paraId="7761405F">
      <w:pPr>
        <w:ind w:firstLine="640"/>
      </w:pPr>
      <w:r>
        <w:t>19.《乡镇级国土空间规划数据库规范（试行）》</w:t>
      </w:r>
    </w:p>
    <w:p w14:paraId="68EF74EB">
      <w:pPr>
        <w:ind w:firstLine="640"/>
      </w:pPr>
      <w:r>
        <w:t>2</w:t>
      </w:r>
      <w:r>
        <w:rPr>
          <w:rFonts w:hint="eastAsia"/>
        </w:rPr>
        <w:t>0</w:t>
      </w:r>
      <w:r>
        <w:t>.《黑龙江省乡镇级国土空间总体规划编制指南（试行）》</w:t>
      </w:r>
    </w:p>
    <w:bookmarkEnd w:id="25"/>
    <w:p w14:paraId="456557AD">
      <w:pPr>
        <w:ind w:firstLine="640"/>
      </w:pPr>
      <w:bookmarkStart w:id="30" w:name="_Hlk123805797"/>
      <w:r>
        <w:rPr>
          <w:rFonts w:hint="eastAsia"/>
        </w:rPr>
        <w:t>21.《佳木斯市国民经济和社会发展第十四个五年规划纲要》</w:t>
      </w:r>
    </w:p>
    <w:p w14:paraId="5BE16ECC">
      <w:pPr>
        <w:ind w:firstLine="640"/>
      </w:pPr>
      <w:r>
        <w:rPr>
          <w:rFonts w:hint="eastAsia"/>
        </w:rPr>
        <w:t>22.《佳木斯市国土空间总体规划（2021—2035年）》</w:t>
      </w:r>
    </w:p>
    <w:p w14:paraId="726477F9">
      <w:pPr>
        <w:ind w:firstLine="640"/>
      </w:pPr>
      <w:r>
        <w:rPr>
          <w:rFonts w:hint="eastAsia"/>
        </w:rPr>
        <w:t>23.《桦川县国民经济和社会发展第十四个五年规划纲要》</w:t>
      </w:r>
    </w:p>
    <w:p w14:paraId="135B92EE">
      <w:pPr>
        <w:ind w:firstLine="640"/>
      </w:pPr>
      <w:r>
        <w:rPr>
          <w:rFonts w:hint="eastAsia"/>
        </w:rPr>
        <w:t>24.《桦川县国土空间总体规划（2021—2035年）》</w:t>
      </w:r>
    </w:p>
    <w:bookmarkEnd w:id="30"/>
    <w:p w14:paraId="3B207786">
      <w:pPr>
        <w:ind w:firstLine="640"/>
      </w:pPr>
      <w:r>
        <w:rPr>
          <w:rFonts w:hint="eastAsia"/>
        </w:rPr>
        <w:t>25</w:t>
      </w:r>
      <w:r>
        <w:t>.国家、省、行业主管部门颁布的其他相关文件及标准</w:t>
      </w:r>
      <w:r>
        <w:rPr>
          <w:rFonts w:hint="eastAsia"/>
        </w:rPr>
        <w:t>规范</w:t>
      </w:r>
    </w:p>
    <w:p w14:paraId="679618F5">
      <w:pPr>
        <w:pStyle w:val="28"/>
        <w:numPr>
          <w:ilvl w:val="0"/>
          <w:numId w:val="1"/>
        </w:numPr>
        <w:tabs>
          <w:tab w:val="left" w:pos="2915"/>
        </w:tabs>
        <w:spacing w:before="217" w:after="217"/>
      </w:pPr>
      <w:r>
        <w:rPr>
          <w:rFonts w:hint="eastAsia"/>
        </w:rPr>
        <w:t xml:space="preserve"> 强制性内容</w:t>
      </w:r>
      <w:bookmarkEnd w:id="26"/>
      <w:bookmarkEnd w:id="27"/>
    </w:p>
    <w:p w14:paraId="04486193">
      <w:pPr>
        <w:ind w:firstLine="640"/>
        <w:rPr>
          <w:rFonts w:hint="eastAsia" w:ascii="仿宋" w:hAnsi="仿宋" w:eastAsia="仿宋" w:cs="仿宋"/>
          <w:bCs/>
          <w:szCs w:val="32"/>
        </w:rPr>
      </w:pPr>
      <w:r>
        <w:rPr>
          <w:rFonts w:hint="eastAsia"/>
        </w:rPr>
        <w:t>强制性内容是对国土空间规划实施监督检查的基本依据，文本中加下划线内容为强制性内容条文。</w:t>
      </w:r>
    </w:p>
    <w:bookmarkEnd w:id="28"/>
    <w:bookmarkEnd w:id="29"/>
    <w:p w14:paraId="6736BB9E">
      <w:pPr>
        <w:pStyle w:val="26"/>
        <w:numPr>
          <w:ilvl w:val="0"/>
          <w:numId w:val="2"/>
        </w:numPr>
        <w:spacing w:before="217" w:after="217"/>
      </w:pPr>
      <w:bookmarkStart w:id="31" w:name="_Toc86"/>
      <w:r>
        <w:rPr>
          <w:rFonts w:hint="eastAsia"/>
        </w:rPr>
        <w:br w:type="page"/>
      </w:r>
      <w:bookmarkEnd w:id="31"/>
      <w:bookmarkStart w:id="32" w:name="_Toc122541707"/>
      <w:bookmarkStart w:id="33" w:name="_Toc122541200"/>
      <w:bookmarkStart w:id="34" w:name="_Toc4967"/>
      <w:bookmarkStart w:id="35" w:name="_Toc31779"/>
      <w:bookmarkStart w:id="36" w:name="_Toc142552497"/>
      <w:r>
        <w:rPr>
          <w:rFonts w:hint="eastAsia"/>
        </w:rPr>
        <w:t xml:space="preserve"> </w:t>
      </w:r>
      <w:bookmarkStart w:id="37" w:name="_Toc31417"/>
      <w:r>
        <w:rPr>
          <w:rFonts w:hint="eastAsia"/>
        </w:rPr>
        <w:t>目标定位与空间策略</w:t>
      </w:r>
      <w:bookmarkEnd w:id="32"/>
      <w:bookmarkEnd w:id="33"/>
      <w:bookmarkEnd w:id="34"/>
      <w:bookmarkEnd w:id="35"/>
      <w:bookmarkEnd w:id="36"/>
      <w:bookmarkEnd w:id="37"/>
    </w:p>
    <w:p w14:paraId="39C8848D">
      <w:pPr>
        <w:pStyle w:val="27"/>
        <w:numPr>
          <w:ilvl w:val="0"/>
          <w:numId w:val="3"/>
        </w:numPr>
        <w:spacing w:before="217" w:after="217"/>
      </w:pPr>
      <w:bookmarkStart w:id="38" w:name="_Toc116"/>
      <w:r>
        <w:rPr>
          <w:rFonts w:hint="eastAsia"/>
        </w:rPr>
        <w:t xml:space="preserve"> </w:t>
      </w:r>
      <w:bookmarkStart w:id="39" w:name="_Toc2511"/>
      <w:bookmarkStart w:id="40" w:name="_Toc142552498"/>
      <w:bookmarkStart w:id="41" w:name="_Toc2566"/>
      <w:r>
        <w:rPr>
          <w:rFonts w:hint="eastAsia"/>
        </w:rPr>
        <w:t>规划定位</w:t>
      </w:r>
      <w:bookmarkEnd w:id="38"/>
      <w:bookmarkEnd w:id="39"/>
      <w:bookmarkEnd w:id="40"/>
      <w:bookmarkEnd w:id="41"/>
    </w:p>
    <w:p w14:paraId="5C91DB21">
      <w:pPr>
        <w:pStyle w:val="28"/>
        <w:numPr>
          <w:ilvl w:val="0"/>
          <w:numId w:val="1"/>
        </w:numPr>
        <w:spacing w:before="217" w:after="217"/>
      </w:pPr>
      <w:bookmarkStart w:id="42" w:name="_Toc18117"/>
      <w:bookmarkStart w:id="43" w:name="_Hlk68558361"/>
      <w:r>
        <w:rPr>
          <w:rFonts w:hint="eastAsia"/>
        </w:rPr>
        <w:t xml:space="preserve"> 发展定位</w:t>
      </w:r>
      <w:bookmarkEnd w:id="42"/>
    </w:p>
    <w:p w14:paraId="62906CE2">
      <w:pPr>
        <w:ind w:firstLine="640"/>
      </w:pPr>
      <w:r>
        <w:rPr>
          <w:rFonts w:hint="eastAsia"/>
        </w:rPr>
        <w:t>发展定位：生态农业种植示范区、农副产品生产加工基地；打造寒地水稻育种第一乡；生态宜居的农贸型一般乡。</w:t>
      </w:r>
    </w:p>
    <w:bookmarkEnd w:id="43"/>
    <w:p w14:paraId="59AE0985">
      <w:pPr>
        <w:pStyle w:val="27"/>
        <w:numPr>
          <w:ilvl w:val="0"/>
          <w:numId w:val="3"/>
        </w:numPr>
        <w:spacing w:before="217" w:after="217"/>
      </w:pPr>
      <w:bookmarkStart w:id="44" w:name="_Toc1130"/>
      <w:bookmarkStart w:id="45" w:name="_Toc18239"/>
      <w:bookmarkStart w:id="46" w:name="_Toc83823057"/>
      <w:bookmarkStart w:id="47" w:name="_Toc122541205"/>
      <w:bookmarkStart w:id="48" w:name="_Toc122541712"/>
      <w:r>
        <w:rPr>
          <w:rFonts w:hint="eastAsia"/>
        </w:rPr>
        <w:t xml:space="preserve"> </w:t>
      </w:r>
      <w:bookmarkStart w:id="49" w:name="_Toc28233"/>
      <w:bookmarkStart w:id="50" w:name="_Toc19009"/>
      <w:r>
        <w:rPr>
          <w:rFonts w:hint="eastAsia"/>
        </w:rPr>
        <w:t>国土空间开发保护目标</w:t>
      </w:r>
      <w:bookmarkEnd w:id="49"/>
      <w:bookmarkEnd w:id="50"/>
    </w:p>
    <w:p w14:paraId="04B010FB">
      <w:pPr>
        <w:pStyle w:val="28"/>
        <w:numPr>
          <w:ilvl w:val="0"/>
          <w:numId w:val="1"/>
        </w:numPr>
        <w:spacing w:before="217" w:after="217"/>
      </w:pPr>
      <w:r>
        <w:rPr>
          <w:rFonts w:hint="eastAsia"/>
        </w:rPr>
        <w:t xml:space="preserve"> 国土空间发展目标</w:t>
      </w:r>
    </w:p>
    <w:p w14:paraId="7188229B">
      <w:pPr>
        <w:ind w:firstLine="640"/>
      </w:pPr>
      <w:r>
        <w:rPr>
          <w:rFonts w:hint="eastAsia"/>
        </w:rPr>
        <w:t>到2025年，严守三条空间管制控制线；各级生态功能区保护和修复体系逐步建立；农业产业格局得到优化，耕地保护指标得到落实；产镇融合度显著提升，充满活力的城乡发展格局基本奠定；国土空间的保护、利用、治理和修复水平明显提高。</w:t>
      </w:r>
    </w:p>
    <w:p w14:paraId="0EA481B5">
      <w:pPr>
        <w:ind w:firstLine="640"/>
      </w:pPr>
      <w:r>
        <w:rPr>
          <w:rFonts w:hint="eastAsia"/>
        </w:rPr>
        <w:t>至2035年，基本实现高水平现代化建设，成为生产空间集约高效、生活空间宜居适度、生态空间山清水秀，安全稳定、和谐高效、魅力品质的国土空间格局，城乡居民享受更加幸福安康的生活。基本实现人与自然和谐共生，生态环境质量、资源能源集约利用，经济发展跻身全县前列。</w:t>
      </w:r>
    </w:p>
    <w:p w14:paraId="5810B7B9">
      <w:pPr>
        <w:pStyle w:val="28"/>
        <w:numPr>
          <w:ilvl w:val="0"/>
          <w:numId w:val="1"/>
        </w:numPr>
        <w:spacing w:before="217" w:after="217"/>
      </w:pPr>
      <w:bookmarkStart w:id="51" w:name="_Toc8822"/>
      <w:r>
        <w:rPr>
          <w:rFonts w:hint="eastAsia"/>
        </w:rPr>
        <w:t xml:space="preserve"> 国土空间开发保护目标</w:t>
      </w:r>
      <w:bookmarkEnd w:id="51"/>
    </w:p>
    <w:p w14:paraId="14650C2D">
      <w:pPr>
        <w:ind w:firstLine="640"/>
      </w:pPr>
      <w:r>
        <w:rPr>
          <w:rFonts w:hint="eastAsia"/>
        </w:rPr>
        <w:t>结合创业乡国土空间开发保护新格局，落实桦川县国土空间总体规划相关指标要求，制定创业乡国土空间总体规划指标体系。包括空间底线指标8项，空间结构与效率指标6项，空间品质指标7项，共21项指标。</w:t>
      </w:r>
    </w:p>
    <w:p w14:paraId="0390D745">
      <w:pPr>
        <w:pStyle w:val="27"/>
        <w:keepNext/>
        <w:numPr>
          <w:ilvl w:val="0"/>
          <w:numId w:val="3"/>
        </w:numPr>
        <w:spacing w:before="217" w:after="217"/>
      </w:pPr>
      <w:r>
        <w:rPr>
          <w:rFonts w:hint="eastAsia"/>
        </w:rPr>
        <w:t xml:space="preserve"> </w:t>
      </w:r>
      <w:bookmarkStart w:id="52" w:name="_Toc142552499"/>
      <w:bookmarkStart w:id="53" w:name="_Toc9550"/>
      <w:bookmarkStart w:id="54" w:name="_Toc18904"/>
      <w:r>
        <w:rPr>
          <w:rFonts w:hint="eastAsia"/>
        </w:rPr>
        <w:t>空间</w:t>
      </w:r>
      <w:bookmarkEnd w:id="52"/>
      <w:r>
        <w:rPr>
          <w:rFonts w:hint="eastAsia"/>
        </w:rPr>
        <w:t>策略</w:t>
      </w:r>
      <w:bookmarkEnd w:id="53"/>
      <w:bookmarkEnd w:id="54"/>
    </w:p>
    <w:p w14:paraId="669F1907">
      <w:pPr>
        <w:pStyle w:val="28"/>
        <w:numPr>
          <w:ilvl w:val="0"/>
          <w:numId w:val="1"/>
        </w:numPr>
        <w:spacing w:before="217" w:after="217"/>
      </w:pPr>
      <w:r>
        <w:rPr>
          <w:rFonts w:hint="eastAsia"/>
        </w:rPr>
        <w:t xml:space="preserve"> 国土空间资源保护发展策略</w:t>
      </w:r>
    </w:p>
    <w:p w14:paraId="00900CC5">
      <w:pPr>
        <w:ind w:firstLine="640"/>
      </w:pPr>
      <w:bookmarkStart w:id="55" w:name="_Toc2946"/>
      <w:r>
        <w:rPr>
          <w:rFonts w:hint="eastAsia"/>
        </w:rPr>
        <w:t>根据环境承载能力，合理调整产业结构，优化生产力布局。竭力避免走“先污染、后治理”的老路子。大力宣传和树立适应可持续发展的新思想、新道德、新观念，要把尊重自然、保护环境、维护人类生存基础作为人类的环境道德准则，加强全民包括领导决策层的环境意识宣传，使公众感受到保护环境是全社会的利益所在，认识到保护环境人人有责，以强烈的社会责任感，自觉地去维护良好的生态环境。</w:t>
      </w:r>
    </w:p>
    <w:bookmarkEnd w:id="55"/>
    <w:p w14:paraId="31469245">
      <w:pPr>
        <w:pStyle w:val="28"/>
        <w:numPr>
          <w:ilvl w:val="0"/>
          <w:numId w:val="1"/>
        </w:numPr>
        <w:spacing w:before="217" w:after="217"/>
      </w:pPr>
      <w:r>
        <w:rPr>
          <w:rFonts w:hint="eastAsia"/>
        </w:rPr>
        <w:t xml:space="preserve"> 集中开发利用发展策略</w:t>
      </w:r>
    </w:p>
    <w:p w14:paraId="7B663D73">
      <w:pPr>
        <w:ind w:firstLine="640"/>
      </w:pPr>
      <w:r>
        <w:rPr>
          <w:rFonts w:hint="eastAsia"/>
        </w:rPr>
        <w:t>创业乡将按照“土地向大户集中，农民向城镇集中”的思路加快城镇化进程，逐步实现“城乡一体化”。完善城镇功能，优化城镇内部结构，创造具有聚集效益的优化组合空间，加强城镇景观塑造，提高城镇文化品位，提升城镇竞争力。</w:t>
      </w:r>
    </w:p>
    <w:p w14:paraId="1C506F0F">
      <w:pPr>
        <w:pStyle w:val="28"/>
        <w:numPr>
          <w:ilvl w:val="0"/>
          <w:numId w:val="1"/>
        </w:numPr>
        <w:spacing w:before="217" w:after="217"/>
      </w:pPr>
      <w:r>
        <w:rPr>
          <w:rFonts w:hint="eastAsia"/>
        </w:rPr>
        <w:t xml:space="preserve"> 城乡品质优质发展策略</w:t>
      </w:r>
    </w:p>
    <w:p w14:paraId="54C1617F">
      <w:pPr>
        <w:ind w:firstLine="640"/>
      </w:pPr>
      <w:r>
        <w:rPr>
          <w:rFonts w:hint="eastAsia"/>
        </w:rPr>
        <w:t>创业乡总体空间格局应发展成为以乡政府驻地为核心、中心村为支撑的规模等级，形成职能分工明确、规模结构合理、空间地域分布协调、社会经济联系紧密的居民点体系，实现城乡一体化发展。</w:t>
      </w:r>
    </w:p>
    <w:bookmarkEnd w:id="44"/>
    <w:bookmarkEnd w:id="45"/>
    <w:bookmarkEnd w:id="46"/>
    <w:bookmarkEnd w:id="47"/>
    <w:bookmarkEnd w:id="48"/>
    <w:p w14:paraId="19C6372E">
      <w:pPr>
        <w:pStyle w:val="27"/>
        <w:numPr>
          <w:ilvl w:val="0"/>
          <w:numId w:val="3"/>
        </w:numPr>
        <w:spacing w:before="217" w:after="217"/>
      </w:pPr>
      <w:r>
        <w:rPr>
          <w:rFonts w:hint="eastAsia"/>
        </w:rPr>
        <w:t xml:space="preserve"> </w:t>
      </w:r>
      <w:bookmarkStart w:id="56" w:name="_Toc18622"/>
      <w:bookmarkStart w:id="57" w:name="_Toc10796"/>
      <w:r>
        <w:rPr>
          <w:rFonts w:hint="eastAsia"/>
        </w:rPr>
        <w:t>上位规划约束传导</w:t>
      </w:r>
      <w:bookmarkEnd w:id="56"/>
      <w:bookmarkEnd w:id="57"/>
    </w:p>
    <w:p w14:paraId="643FA4B8">
      <w:pPr>
        <w:pStyle w:val="28"/>
        <w:numPr>
          <w:ilvl w:val="0"/>
          <w:numId w:val="1"/>
        </w:numPr>
        <w:spacing w:before="217" w:after="217"/>
      </w:pPr>
      <w:r>
        <w:rPr>
          <w:rFonts w:hint="eastAsia"/>
        </w:rPr>
        <w:t xml:space="preserve"> 上位规划落实</w:t>
      </w:r>
    </w:p>
    <w:p w14:paraId="789F0BD8">
      <w:pPr>
        <w:ind w:firstLine="640"/>
      </w:pPr>
      <w:r>
        <w:rPr>
          <w:rFonts w:hint="eastAsia"/>
        </w:rPr>
        <w:t>明确桦川县总规对创业乡总规的编制要求，规划重点落实上位规划对创业乡提出的发展定位、城镇等级职能、三条控制线、自然保护地、重大基础设施和综合防灾减灾设施等内容。</w:t>
      </w:r>
    </w:p>
    <w:p w14:paraId="089657FB">
      <w:pPr>
        <w:pStyle w:val="26"/>
        <w:numPr>
          <w:ilvl w:val="0"/>
          <w:numId w:val="2"/>
        </w:numPr>
        <w:spacing w:before="217" w:after="217"/>
      </w:pPr>
      <w:r>
        <w:rPr>
          <w:rFonts w:hint="eastAsia"/>
        </w:rPr>
        <w:br w:type="page"/>
      </w:r>
      <w:bookmarkStart w:id="58" w:name="_Toc12657"/>
      <w:bookmarkStart w:id="59" w:name="_Toc639"/>
      <w:bookmarkStart w:id="60" w:name="_Toc142552501"/>
      <w:bookmarkStart w:id="61" w:name="_Toc122541713"/>
      <w:bookmarkStart w:id="62" w:name="_Toc28226"/>
      <w:bookmarkStart w:id="63" w:name="_Toc83823058"/>
      <w:bookmarkStart w:id="64" w:name="_Toc122541206"/>
      <w:r>
        <w:t xml:space="preserve"> </w:t>
      </w:r>
      <w:bookmarkStart w:id="65" w:name="_Toc19474"/>
      <w:r>
        <w:t>国土空间格局</w:t>
      </w:r>
      <w:bookmarkEnd w:id="58"/>
      <w:bookmarkEnd w:id="59"/>
      <w:bookmarkEnd w:id="60"/>
      <w:bookmarkEnd w:id="65"/>
    </w:p>
    <w:p w14:paraId="0AB9EB10">
      <w:pPr>
        <w:pStyle w:val="27"/>
        <w:numPr>
          <w:ilvl w:val="0"/>
          <w:numId w:val="4"/>
        </w:numPr>
        <w:spacing w:before="217" w:after="217"/>
      </w:pPr>
      <w:r>
        <w:rPr>
          <w:rFonts w:hint="eastAsia"/>
        </w:rPr>
        <w:t xml:space="preserve"> </w:t>
      </w:r>
      <w:bookmarkStart w:id="66" w:name="_Toc13993"/>
      <w:bookmarkStart w:id="67" w:name="_Toc23414"/>
      <w:bookmarkStart w:id="68" w:name="_Toc15661"/>
      <w:r>
        <w:rPr>
          <w:rFonts w:hint="eastAsia"/>
        </w:rPr>
        <w:t>区域协同发展</w:t>
      </w:r>
      <w:bookmarkEnd w:id="66"/>
      <w:bookmarkEnd w:id="67"/>
      <w:bookmarkEnd w:id="68"/>
    </w:p>
    <w:p w14:paraId="197B851B">
      <w:pPr>
        <w:pStyle w:val="39"/>
        <w:ind w:firstLine="640"/>
      </w:pPr>
      <w:r>
        <w:rPr>
          <w:rFonts w:hint="eastAsia"/>
        </w:rPr>
        <w:t>要加强与佳木斯市、中心城区、星火朝鲜族乡、苏家店镇等的协调，加强与县域内其他乡镇的协调，发挥自身优势，避免同质竞争，促进地区协调健康发展。</w:t>
      </w:r>
    </w:p>
    <w:p w14:paraId="32AE0A71">
      <w:pPr>
        <w:pStyle w:val="39"/>
        <w:ind w:firstLine="640"/>
      </w:pPr>
      <w:r>
        <w:rPr>
          <w:rFonts w:hint="eastAsia"/>
        </w:rPr>
        <w:t>积极推进乡域内各村之间的经济合作与协调发展，加强各村在产业发展、生态建设、环境保护、城镇空间与基础设施布局等方面的协调发展，逐步缩小城乡差距，实现乡域城乡统筹协调发展。</w:t>
      </w:r>
    </w:p>
    <w:p w14:paraId="60D306E2">
      <w:pPr>
        <w:pStyle w:val="27"/>
        <w:numPr>
          <w:ilvl w:val="0"/>
          <w:numId w:val="4"/>
        </w:numPr>
        <w:spacing w:before="217" w:after="217"/>
      </w:pPr>
      <w:bookmarkStart w:id="69" w:name="_Toc2574"/>
      <w:bookmarkStart w:id="70" w:name="_Toc18721"/>
      <w:r>
        <w:rPr>
          <w:rFonts w:hint="eastAsia"/>
        </w:rPr>
        <w:t xml:space="preserve"> </w:t>
      </w:r>
      <w:bookmarkStart w:id="71" w:name="_Toc18215"/>
      <w:r>
        <w:rPr>
          <w:rFonts w:hint="eastAsia"/>
        </w:rPr>
        <w:t>落实主体功能区</w:t>
      </w:r>
      <w:bookmarkEnd w:id="69"/>
      <w:bookmarkEnd w:id="71"/>
    </w:p>
    <w:p w14:paraId="1ABBFA2C">
      <w:pPr>
        <w:pStyle w:val="28"/>
        <w:numPr>
          <w:ilvl w:val="0"/>
          <w:numId w:val="1"/>
        </w:numPr>
        <w:spacing w:before="217" w:after="217"/>
      </w:pPr>
      <w:r>
        <w:rPr>
          <w:rFonts w:hint="eastAsia"/>
        </w:rPr>
        <w:t xml:space="preserve"> 落实上位主体功能区战略</w:t>
      </w:r>
    </w:p>
    <w:p w14:paraId="38793D4E">
      <w:pPr>
        <w:ind w:firstLine="640"/>
      </w:pPr>
      <w:r>
        <w:rPr>
          <w:rFonts w:hint="eastAsia"/>
        </w:rPr>
        <w:t>落实</w:t>
      </w:r>
      <w:r>
        <w:rPr>
          <w:rFonts w:hint="eastAsia" w:cs="仿宋_GB2312"/>
          <w:szCs w:val="32"/>
          <w:lang w:bidi="ar"/>
        </w:rPr>
        <w:t>《佳木斯市国土空间总体规划（2021—2035年）》</w:t>
      </w:r>
      <w:r>
        <w:rPr>
          <w:rFonts w:hint="eastAsia"/>
        </w:rPr>
        <w:t>和</w:t>
      </w:r>
      <w:r>
        <w:rPr>
          <w:rFonts w:hint="eastAsia" w:cs="仿宋_GB2312"/>
          <w:szCs w:val="32"/>
          <w:lang w:bidi="ar"/>
        </w:rPr>
        <w:t>《桦川县国土空间总体规划（2021—2035年）》</w:t>
      </w:r>
      <w:r>
        <w:rPr>
          <w:rFonts w:hint="eastAsia"/>
        </w:rPr>
        <w:t>，确定创业乡为</w:t>
      </w:r>
      <w:r>
        <w:rPr>
          <w:rFonts w:hint="eastAsia"/>
          <w:szCs w:val="32"/>
        </w:rPr>
        <w:t>农产品主产区</w:t>
      </w:r>
      <w:r>
        <w:rPr>
          <w:rFonts w:hint="eastAsia"/>
        </w:rPr>
        <w:t>。</w:t>
      </w:r>
    </w:p>
    <w:p w14:paraId="1E31B294">
      <w:pPr>
        <w:pStyle w:val="28"/>
        <w:numPr>
          <w:ilvl w:val="0"/>
          <w:numId w:val="1"/>
        </w:numPr>
        <w:spacing w:before="217" w:after="217"/>
      </w:pPr>
      <w:r>
        <w:rPr>
          <w:rFonts w:hint="eastAsia"/>
        </w:rPr>
        <w:t xml:space="preserve"> 主体功能区发展指引</w:t>
      </w:r>
    </w:p>
    <w:p w14:paraId="739C980D">
      <w:pPr>
        <w:ind w:firstLine="640"/>
      </w:pPr>
      <w:r>
        <w:rPr>
          <w:rFonts w:hint="eastAsia"/>
        </w:rPr>
        <w:t>农产品主产区加大财政转移支付资金支持力度，重点布局现代农业和生态农业，完善土壤和水环境等监测机制，重点考核农业发展、民生改善方面的指标。</w:t>
      </w:r>
    </w:p>
    <w:p w14:paraId="59822514">
      <w:pPr>
        <w:pStyle w:val="27"/>
        <w:keepNext/>
        <w:numPr>
          <w:ilvl w:val="0"/>
          <w:numId w:val="4"/>
        </w:numPr>
        <w:spacing w:before="217" w:after="217"/>
      </w:pPr>
      <w:r>
        <w:rPr>
          <w:rFonts w:hint="eastAsia"/>
        </w:rPr>
        <w:t xml:space="preserve"> </w:t>
      </w:r>
      <w:bookmarkStart w:id="72" w:name="_Toc142552502"/>
      <w:bookmarkStart w:id="73" w:name="_Toc16897"/>
      <w:bookmarkStart w:id="74" w:name="_Toc11337"/>
      <w:r>
        <w:rPr>
          <w:rFonts w:hint="eastAsia"/>
        </w:rPr>
        <w:t>总体空间格局</w:t>
      </w:r>
      <w:bookmarkEnd w:id="70"/>
      <w:bookmarkEnd w:id="72"/>
      <w:bookmarkEnd w:id="73"/>
      <w:bookmarkEnd w:id="74"/>
    </w:p>
    <w:p w14:paraId="70D561EE">
      <w:pPr>
        <w:pStyle w:val="28"/>
        <w:keepNext/>
        <w:numPr>
          <w:ilvl w:val="0"/>
          <w:numId w:val="1"/>
        </w:numPr>
        <w:spacing w:before="217" w:after="217"/>
      </w:pPr>
      <w:bookmarkStart w:id="75" w:name="_Toc31449"/>
      <w:r>
        <w:rPr>
          <w:rFonts w:hint="eastAsia"/>
        </w:rPr>
        <w:t xml:space="preserve"> 国土空间总体格局</w:t>
      </w:r>
    </w:p>
    <w:p w14:paraId="451AD65B">
      <w:pPr>
        <w:widowControl/>
        <w:ind w:firstLine="640"/>
      </w:pPr>
      <w:r>
        <w:rPr>
          <w:rFonts w:hint="eastAsia"/>
        </w:rPr>
        <w:t>国土空间总体格局为</w:t>
      </w:r>
      <w:bookmarkEnd w:id="75"/>
      <w:r>
        <w:rPr>
          <w:rFonts w:hint="eastAsia"/>
        </w:rPr>
        <w:t>“一心、一轴、三区、多点”的总体空间布局。</w:t>
      </w:r>
    </w:p>
    <w:p w14:paraId="319E344E">
      <w:pPr>
        <w:ind w:firstLine="640"/>
      </w:pPr>
      <w:r>
        <w:rPr>
          <w:rFonts w:hint="eastAsia"/>
        </w:rPr>
        <w:t>“一心”是指以创业乡乡政府驻地为核心的乡域发展主中心，积极发展乡政府驻地，强化中心职能以此带动乡域的社会经济协调有序发展，以乡政府驻地带动发展乡域。</w:t>
      </w:r>
    </w:p>
    <w:p w14:paraId="1D49669C">
      <w:pPr>
        <w:ind w:firstLine="640"/>
      </w:pPr>
      <w:r>
        <w:rPr>
          <w:rFonts w:hint="eastAsia"/>
        </w:rPr>
        <w:t>“一轴”指沿国道（G201）贯穿乡域东西方向的乡域对外的区域性交通轴线。</w:t>
      </w:r>
    </w:p>
    <w:p w14:paraId="23F23315">
      <w:pPr>
        <w:ind w:firstLine="640"/>
      </w:pPr>
      <w:r>
        <w:rPr>
          <w:rFonts w:hint="eastAsia"/>
        </w:rPr>
        <w:t>“三区”指北部休闲农业观赏区、中部产城联动发展区和南部现代农业示范区。</w:t>
      </w:r>
    </w:p>
    <w:p w14:paraId="1D9E8040">
      <w:pPr>
        <w:ind w:firstLine="640"/>
      </w:pPr>
      <w:r>
        <w:rPr>
          <w:rFonts w:hint="eastAsia"/>
        </w:rPr>
        <w:t>“多点”是乡域内村庄发展节点。</w:t>
      </w:r>
    </w:p>
    <w:p w14:paraId="64AAE5FF">
      <w:pPr>
        <w:pStyle w:val="27"/>
        <w:numPr>
          <w:ilvl w:val="0"/>
          <w:numId w:val="4"/>
        </w:numPr>
        <w:spacing w:before="217" w:after="217"/>
      </w:pPr>
      <w:r>
        <w:rPr>
          <w:rFonts w:hint="eastAsia"/>
        </w:rPr>
        <w:t xml:space="preserve"> </w:t>
      </w:r>
      <w:bookmarkStart w:id="76" w:name="_Toc15953"/>
      <w:bookmarkStart w:id="77" w:name="_Toc25309"/>
      <w:r>
        <w:rPr>
          <w:rFonts w:hint="eastAsia"/>
        </w:rPr>
        <w:t>规划分区</w:t>
      </w:r>
      <w:bookmarkEnd w:id="76"/>
      <w:bookmarkEnd w:id="77"/>
    </w:p>
    <w:p w14:paraId="0B46642C">
      <w:pPr>
        <w:pStyle w:val="28"/>
        <w:numPr>
          <w:ilvl w:val="0"/>
          <w:numId w:val="1"/>
        </w:numPr>
        <w:spacing w:before="217" w:after="217"/>
      </w:pPr>
      <w:r>
        <w:rPr>
          <w:rFonts w:hint="eastAsia"/>
        </w:rPr>
        <w:t xml:space="preserve"> 国土空间规划分区</w:t>
      </w:r>
    </w:p>
    <w:p w14:paraId="267D9B1E">
      <w:pPr>
        <w:ind w:firstLine="640"/>
      </w:pPr>
      <w:r>
        <w:rPr>
          <w:rFonts w:hint="eastAsia"/>
          <w:lang w:bidi="ar"/>
        </w:rPr>
        <w:t>在落实上位规划确定的空间格局、规划分区和调控目标基础上，</w:t>
      </w:r>
      <w:r>
        <w:rPr>
          <w:rFonts w:hint="eastAsia"/>
        </w:rPr>
        <w:t>结合创业乡实际，规划分区分为5个一级规划分区。</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6722"/>
      </w:tblGrid>
      <w:tr w14:paraId="722D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22" w:type="dxa"/>
            <w:gridSpan w:val="2"/>
          </w:tcPr>
          <w:p w14:paraId="1846E0DE">
            <w:pPr>
              <w:pStyle w:val="14"/>
              <w:keepLines/>
              <w:adjustRightInd w:val="0"/>
              <w:snapToGrid w:val="0"/>
              <w:spacing w:after="0" w:line="240" w:lineRule="auto"/>
              <w:ind w:left="0" w:leftChars="0" w:firstLine="600"/>
              <w:jc w:val="center"/>
            </w:pPr>
            <w:r>
              <w:rPr>
                <w:rFonts w:hint="eastAsia" w:eastAsia="黑体" w:cs="黑体"/>
                <w:sz w:val="30"/>
                <w:szCs w:val="30"/>
                <w:lang w:bidi="ar"/>
              </w:rPr>
              <w:t>专栏</w:t>
            </w:r>
            <w:r>
              <w:rPr>
                <w:rFonts w:hint="eastAsia" w:eastAsia="黑体" w:cs="黑体"/>
                <w:sz w:val="30"/>
                <w:szCs w:val="30"/>
                <w:lang w:val="en-US" w:eastAsia="zh-CN" w:bidi="ar"/>
              </w:rPr>
              <w:t>1</w:t>
            </w:r>
            <w:r>
              <w:rPr>
                <w:rFonts w:hint="eastAsia" w:eastAsia="黑体" w:cs="黑体"/>
                <w:sz w:val="30"/>
                <w:szCs w:val="30"/>
                <w:lang w:bidi="ar"/>
              </w:rPr>
              <w:t>：规划分区及管控要求一览表</w:t>
            </w:r>
          </w:p>
        </w:tc>
      </w:tr>
      <w:tr w14:paraId="7D44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14:paraId="515B2CA2">
            <w:pPr>
              <w:pStyle w:val="21"/>
              <w:keepLines/>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规划分区</w:t>
            </w:r>
          </w:p>
        </w:tc>
        <w:tc>
          <w:tcPr>
            <w:tcW w:w="6722" w:type="dxa"/>
          </w:tcPr>
          <w:p w14:paraId="31CC14C0">
            <w:pPr>
              <w:pStyle w:val="21"/>
              <w:keepLines/>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管制要求</w:t>
            </w:r>
          </w:p>
        </w:tc>
      </w:tr>
      <w:tr w14:paraId="2F8C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542CE86F">
            <w:pPr>
              <w:pStyle w:val="21"/>
              <w:keepLines/>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生态控制区</w:t>
            </w:r>
          </w:p>
        </w:tc>
        <w:tc>
          <w:tcPr>
            <w:tcW w:w="6722" w:type="dxa"/>
          </w:tcPr>
          <w:p w14:paraId="59DDDDA3">
            <w:pPr>
              <w:pStyle w:val="21"/>
              <w:keepLines/>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生态控制区采取“名录管理</w:t>
            </w:r>
            <w:r>
              <w:rPr>
                <w:rFonts w:ascii="Times New Roman" w:hAnsi="Times New Roman" w:eastAsia="仿宋_GB2312" w:cs="仿宋_GB2312"/>
                <w:sz w:val="24"/>
              </w:rPr>
              <w:t>+</w:t>
            </w:r>
            <w:r>
              <w:rPr>
                <w:rFonts w:hint="eastAsia" w:ascii="Times New Roman" w:hAnsi="Times New Roman" w:eastAsia="仿宋_GB2312" w:cs="仿宋_GB2312"/>
                <w:sz w:val="24"/>
              </w:rPr>
              <w:t>约束指标</w:t>
            </w:r>
            <w:r>
              <w:rPr>
                <w:rFonts w:ascii="Times New Roman" w:hAnsi="Times New Roman" w:eastAsia="仿宋_GB2312" w:cs="仿宋_GB2312"/>
                <w:sz w:val="24"/>
              </w:rPr>
              <w:t>+</w:t>
            </w:r>
            <w:r>
              <w:rPr>
                <w:rFonts w:hint="eastAsia" w:ascii="Times New Roman" w:hAnsi="Times New Roman" w:eastAsia="仿宋_GB2312" w:cs="仿宋_GB2312"/>
                <w:sz w:val="24"/>
              </w:rPr>
              <w:t>分区准入”的方式细化管理，以保护为主，开展必要的生态修复。对生态功能极重要、生态环境极敏感脆弱区，以及其他具有重要生态功能、潜在重要生态价值、有必要严格实施保护的区域采取禁止和限制进行开发利用的行业和活动，其他区域可在不降低生态功能、不破坏生态系统安全的前提下可准允一定的开发利用与活动。</w:t>
            </w:r>
          </w:p>
        </w:tc>
      </w:tr>
      <w:tr w14:paraId="102C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41A136AD">
            <w:pPr>
              <w:pStyle w:val="21"/>
              <w:keepLines/>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农田保护区</w:t>
            </w:r>
          </w:p>
        </w:tc>
        <w:tc>
          <w:tcPr>
            <w:tcW w:w="6722" w:type="dxa"/>
          </w:tcPr>
          <w:p w14:paraId="60BB655C">
            <w:pPr>
              <w:pStyle w:val="21"/>
              <w:keepLines/>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永久基本农田严格按照《中华人民共和国农业法》《中华人民共和国土地管理法》《基本农田保护条例》等相关规定进行管理，严控非农建设占用永久基本农田，鼓励开展高标准农田建设和土地整治，提高永久基本农田质量。区内的一般耕地，应参照永久基本农田管制政策进行管护。</w:t>
            </w:r>
          </w:p>
        </w:tc>
      </w:tr>
      <w:tr w14:paraId="287B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12164415">
            <w:pPr>
              <w:pStyle w:val="21"/>
              <w:keepLines/>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城镇发展区</w:t>
            </w:r>
          </w:p>
        </w:tc>
        <w:tc>
          <w:tcPr>
            <w:tcW w:w="6722" w:type="dxa"/>
          </w:tcPr>
          <w:p w14:paraId="7B3E84DC">
            <w:pPr>
              <w:pStyle w:val="21"/>
              <w:keepLines/>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城镇发展区严格执行开发边界管控要求，对城镇集中建设区提出总体指标控制要求，对各类城镇建设土地用途和城镇建设行为提出准入要求。城镇集中建设区执行详细规划</w:t>
            </w:r>
            <w:r>
              <w:rPr>
                <w:rFonts w:ascii="Times New Roman" w:hAnsi="Times New Roman" w:eastAsia="仿宋_GB2312" w:cs="仿宋_GB2312"/>
                <w:sz w:val="24"/>
              </w:rPr>
              <w:t>+</w:t>
            </w:r>
            <w:r>
              <w:rPr>
                <w:rFonts w:hint="eastAsia" w:ascii="Times New Roman" w:hAnsi="Times New Roman" w:eastAsia="仿宋_GB2312" w:cs="仿宋_GB2312"/>
                <w:sz w:val="24"/>
              </w:rPr>
              <w:t>规划许可的形式，划定“五线”管控和城镇建设用地用途管控。</w:t>
            </w:r>
          </w:p>
        </w:tc>
      </w:tr>
      <w:tr w14:paraId="48EE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3401C61A">
            <w:pPr>
              <w:pStyle w:val="21"/>
              <w:keepLines/>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乡村发展区</w:t>
            </w:r>
          </w:p>
        </w:tc>
        <w:tc>
          <w:tcPr>
            <w:tcW w:w="6722" w:type="dxa"/>
          </w:tcPr>
          <w:p w14:paraId="43199ED3">
            <w:pPr>
              <w:pStyle w:val="21"/>
              <w:keepLines/>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乡村发展区执行“规划许可</w:t>
            </w:r>
            <w:r>
              <w:rPr>
                <w:rFonts w:ascii="Times New Roman" w:hAnsi="Times New Roman" w:eastAsia="仿宋_GB2312" w:cs="仿宋_GB2312"/>
                <w:sz w:val="24"/>
              </w:rPr>
              <w:t>+</w:t>
            </w:r>
            <w:r>
              <w:rPr>
                <w:rFonts w:hint="eastAsia" w:ascii="Times New Roman" w:hAnsi="Times New Roman" w:eastAsia="仿宋_GB2312" w:cs="仿宋_GB2312"/>
                <w:sz w:val="24"/>
              </w:rPr>
              <w:t>约束指标</w:t>
            </w:r>
            <w:r>
              <w:rPr>
                <w:rFonts w:ascii="Times New Roman" w:hAnsi="Times New Roman" w:eastAsia="仿宋_GB2312" w:cs="仿宋_GB2312"/>
                <w:sz w:val="24"/>
              </w:rPr>
              <w:t>+</w:t>
            </w:r>
            <w:r>
              <w:rPr>
                <w:rFonts w:hint="eastAsia" w:ascii="Times New Roman" w:hAnsi="Times New Roman" w:eastAsia="仿宋_GB2312" w:cs="仿宋_GB2312"/>
                <w:sz w:val="24"/>
              </w:rPr>
              <w:t>分区准入”，禁止连片的城镇开发建设，在充分的可行性和必要性研究基础上，在不影响安全、不破坏功能的前提下允许建设区域性基础设施廊道，并需做好相应补偿措施；实行占用耕地补偿制度，严格控制耕地转为非耕地，禁止闲置、荒芜耕地，禁止擅自在耕地建房、建坟、挖砂、采石、采矿、取土、堆放固体废弃物等毁坏种植条件的开发活动。有序推进空心村整治和村庄整合，合理安排农村生活用地，优先满足农村基本公共服务设施用地需求。适度允许区域性基础设施建设、生态环境保护工程配套、生态旅游开发及特殊用地建设，提升村庄建设特色和民族风情引导。</w:t>
            </w:r>
          </w:p>
        </w:tc>
      </w:tr>
      <w:tr w14:paraId="6360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0D4DAB4C">
            <w:pPr>
              <w:pStyle w:val="21"/>
              <w:keepLines/>
              <w:adjustRightInd w:val="0"/>
              <w:snapToGrid w:val="0"/>
              <w:rPr>
                <w:rFonts w:ascii="Times New Roman" w:hAnsi="Times New Roman" w:eastAsia="仿宋_GB2312" w:cs="仿宋_GB2312"/>
                <w:sz w:val="24"/>
              </w:rPr>
            </w:pPr>
            <w:r>
              <w:rPr>
                <w:rFonts w:hint="eastAsia" w:ascii="Times New Roman" w:hAnsi="Times New Roman" w:eastAsia="仿宋_GB2312" w:cs="仿宋_GB2312"/>
                <w:sz w:val="24"/>
              </w:rPr>
              <w:t>矿产能源发展区</w:t>
            </w:r>
          </w:p>
        </w:tc>
        <w:tc>
          <w:tcPr>
            <w:tcW w:w="6722" w:type="dxa"/>
          </w:tcPr>
          <w:p w14:paraId="77B12EE4">
            <w:pPr>
              <w:pStyle w:val="21"/>
              <w:keepLines/>
              <w:adjustRightInd w:val="0"/>
              <w:snapToGrid w:val="0"/>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重点矿区要按照省级及以上绿色矿山建设标准，加快各矿山绿色矿山建设，积极争取纳入国家级绿色矿山管理名录。储备区内，非主矿种的其他矿山严格设置准入，确需设置的，须经严格论证，在不影响主矿种的情况下且经省级自然资源管理部门批准，方能设立。完善监测管理系统，实现矿山地质环境保护与治理的动态管理，所有生产矿山必须制定环境保护方案，并合理使用矿山地质环境治理恢复基金，切实保护生态环境，同时严格执行矿山地质环境破坏的处罚制度，从严从重处罚破坏矿山地质环境的活动。</w:t>
            </w:r>
          </w:p>
        </w:tc>
      </w:tr>
      <w:bookmarkEnd w:id="61"/>
      <w:bookmarkEnd w:id="62"/>
      <w:bookmarkEnd w:id="63"/>
      <w:bookmarkEnd w:id="64"/>
    </w:tbl>
    <w:p w14:paraId="12E88CCC">
      <w:pPr>
        <w:pStyle w:val="27"/>
        <w:keepNext/>
        <w:numPr>
          <w:ilvl w:val="0"/>
          <w:numId w:val="4"/>
        </w:numPr>
        <w:spacing w:before="217" w:after="217"/>
      </w:pPr>
      <w:bookmarkStart w:id="78" w:name="_Toc79562445"/>
      <w:bookmarkStart w:id="79" w:name="_Toc83823060"/>
      <w:r>
        <w:rPr>
          <w:rFonts w:hint="eastAsia"/>
        </w:rPr>
        <w:t xml:space="preserve"> </w:t>
      </w:r>
      <w:bookmarkStart w:id="80" w:name="_Toc28632"/>
      <w:bookmarkStart w:id="81" w:name="_Toc32677"/>
      <w:r>
        <w:rPr>
          <w:rFonts w:hint="eastAsia"/>
        </w:rPr>
        <w:t>国土空间用地用途和结构调整</w:t>
      </w:r>
      <w:bookmarkEnd w:id="80"/>
      <w:bookmarkEnd w:id="81"/>
    </w:p>
    <w:p w14:paraId="0956B8D6">
      <w:pPr>
        <w:pStyle w:val="28"/>
        <w:keepNext/>
        <w:numPr>
          <w:ilvl w:val="0"/>
          <w:numId w:val="1"/>
        </w:numPr>
        <w:spacing w:before="217" w:after="217"/>
      </w:pPr>
      <w:r>
        <w:rPr>
          <w:rFonts w:hint="eastAsia"/>
        </w:rPr>
        <w:t xml:space="preserve"> 土地集约节约利用</w:t>
      </w:r>
    </w:p>
    <w:p w14:paraId="5EFDB02C">
      <w:pPr>
        <w:ind w:firstLine="640"/>
      </w:pPr>
      <w:r>
        <w:rPr>
          <w:rFonts w:hint="eastAsia"/>
        </w:rPr>
        <w:t>1.盘活存量建设用地措施</w:t>
      </w:r>
    </w:p>
    <w:p w14:paraId="455C7E4C">
      <w:pPr>
        <w:ind w:firstLine="640"/>
      </w:pPr>
      <w:r>
        <w:rPr>
          <w:rFonts w:hint="eastAsia"/>
        </w:rPr>
        <w:t>按照“要素跟着项目走”的要求，大力盘活使用批而未供土地和闲置土地资源，对复工复产和招商引资项目用地实行“应保尽保”。持续加大旧城区、旧厂房、旧村庄改造力度，提升功能和土地利用效率。</w:t>
      </w:r>
    </w:p>
    <w:p w14:paraId="0865FC2F">
      <w:pPr>
        <w:ind w:firstLine="640"/>
      </w:pPr>
      <w:r>
        <w:rPr>
          <w:rFonts w:hint="eastAsia"/>
        </w:rPr>
        <w:t>开展集中整治行动，加快推动实际已用但未办理供地手续等历史遗留问题解决。完善建设用地二级市场，积极盘活低效闲置建设用地。</w:t>
      </w:r>
    </w:p>
    <w:p w14:paraId="4B8850FE">
      <w:pPr>
        <w:ind w:firstLine="640"/>
      </w:pPr>
      <w:r>
        <w:rPr>
          <w:rFonts w:hint="eastAsia"/>
        </w:rPr>
        <w:t>2.建设用地增减挂钩措施</w:t>
      </w:r>
    </w:p>
    <w:p w14:paraId="479809C6">
      <w:pPr>
        <w:ind w:firstLine="640"/>
      </w:pPr>
      <w:r>
        <w:rPr>
          <w:rFonts w:hint="eastAsia"/>
        </w:rPr>
        <w:t>根据建设实际情况，结合旧宅腾退、乡村振兴，合理确定目标任务，尽快完成排查摸底，编制增减挂钩项目实施方案，制定可行的补偿标准、安置方式、拆旧复垦规模等内容，确保做到“成熟一个，实施一个，成功一个”。</w:t>
      </w:r>
    </w:p>
    <w:p w14:paraId="2EBBC12E">
      <w:pPr>
        <w:ind w:firstLine="640"/>
      </w:pPr>
      <w:r>
        <w:rPr>
          <w:rFonts w:hint="eastAsia"/>
        </w:rPr>
        <w:t>增减挂钩项目虽以县人民政府为主体，但具体由乡级政府负责具体的拆迁、腾退以及后期管护等工作。同时其他涉农部门也需要密切协作，共同配合落实项目落地建设。</w:t>
      </w:r>
    </w:p>
    <w:p w14:paraId="73EEC9CA">
      <w:pPr>
        <w:pStyle w:val="26"/>
        <w:numPr>
          <w:ilvl w:val="0"/>
          <w:numId w:val="2"/>
        </w:numPr>
        <w:spacing w:before="217" w:after="217"/>
      </w:pPr>
      <w:r>
        <w:rPr>
          <w:rFonts w:hint="eastAsia"/>
        </w:rPr>
        <w:br w:type="page"/>
      </w:r>
      <w:bookmarkEnd w:id="78"/>
      <w:bookmarkEnd w:id="79"/>
      <w:bookmarkStart w:id="82" w:name="_Toc142552506"/>
      <w:bookmarkStart w:id="83" w:name="_Toc11640"/>
      <w:bookmarkStart w:id="84" w:name="_Toc122541736"/>
      <w:bookmarkStart w:id="85" w:name="_Toc122541229"/>
      <w:bookmarkStart w:id="86" w:name="_Toc27167"/>
      <w:r>
        <w:rPr>
          <w:rFonts w:hint="eastAsia"/>
        </w:rPr>
        <w:t xml:space="preserve"> </w:t>
      </w:r>
      <w:bookmarkStart w:id="87" w:name="_Toc28427"/>
      <w:bookmarkStart w:id="88" w:name="_Toc20598"/>
      <w:r>
        <w:rPr>
          <w:rFonts w:hint="eastAsia"/>
        </w:rPr>
        <w:t>空间布局优化</w:t>
      </w:r>
      <w:bookmarkEnd w:id="87"/>
      <w:bookmarkEnd w:id="88"/>
    </w:p>
    <w:p w14:paraId="2AC0408C">
      <w:pPr>
        <w:pStyle w:val="27"/>
        <w:numPr>
          <w:ilvl w:val="0"/>
          <w:numId w:val="5"/>
        </w:numPr>
        <w:spacing w:before="217" w:after="217"/>
      </w:pPr>
      <w:bookmarkStart w:id="89" w:name="_Toc24716"/>
      <w:r>
        <w:rPr>
          <w:rFonts w:hint="eastAsia"/>
        </w:rPr>
        <w:t xml:space="preserve"> </w:t>
      </w:r>
      <w:bookmarkStart w:id="90" w:name="_Toc28280"/>
      <w:r>
        <w:rPr>
          <w:rFonts w:hint="eastAsia"/>
        </w:rPr>
        <w:t>农业生产空间</w:t>
      </w:r>
      <w:bookmarkEnd w:id="82"/>
      <w:bookmarkEnd w:id="89"/>
      <w:bookmarkEnd w:id="90"/>
    </w:p>
    <w:p w14:paraId="2C78FF92">
      <w:pPr>
        <w:pStyle w:val="28"/>
        <w:numPr>
          <w:ilvl w:val="0"/>
          <w:numId w:val="1"/>
        </w:numPr>
        <w:spacing w:before="217" w:after="217"/>
      </w:pPr>
      <w:r>
        <w:rPr>
          <w:rFonts w:hint="eastAsia"/>
        </w:rPr>
        <w:t xml:space="preserve"> 优化农业空间布局</w:t>
      </w:r>
    </w:p>
    <w:p w14:paraId="38F14D2B">
      <w:pPr>
        <w:ind w:firstLine="640"/>
      </w:pPr>
      <w:r>
        <w:rPr>
          <w:rFonts w:hint="eastAsia"/>
        </w:rPr>
        <w:t>规划全乡形成“一轴、一区”的农业空间格局。</w:t>
      </w:r>
    </w:p>
    <w:p w14:paraId="1C2A4F41">
      <w:pPr>
        <w:ind w:firstLine="640"/>
      </w:pPr>
      <w:r>
        <w:rPr>
          <w:rFonts w:hint="eastAsia"/>
        </w:rPr>
        <w:t>“一轴”：寒地粳稻良种繁育示范带，是指沿国道G102形成的产业发展轴线。</w:t>
      </w:r>
    </w:p>
    <w:p w14:paraId="1E2F21EB">
      <w:pPr>
        <w:widowControl/>
        <w:ind w:firstLine="640"/>
        <w:jc w:val="left"/>
      </w:pPr>
      <w:r>
        <w:rPr>
          <w:rFonts w:hint="eastAsia"/>
        </w:rPr>
        <w:t>“一区”：全乡为</w:t>
      </w:r>
      <w:r>
        <w:rPr>
          <w:rFonts w:ascii="仿宋_GB2312" w:hAnsi="宋体" w:cs="仿宋_GB2312"/>
          <w:color w:val="000000"/>
          <w:kern w:val="0"/>
          <w:sz w:val="31"/>
          <w:szCs w:val="31"/>
          <w:lang w:bidi="ar"/>
        </w:rPr>
        <w:t>特色农产品优势区</w:t>
      </w:r>
      <w:r>
        <w:rPr>
          <w:rFonts w:hint="eastAsia" w:ascii="仿宋_GB2312" w:hAnsi="宋体" w:cs="仿宋_GB2312"/>
          <w:color w:val="000000"/>
          <w:kern w:val="0"/>
          <w:sz w:val="31"/>
          <w:szCs w:val="31"/>
          <w:lang w:bidi="ar"/>
        </w:rPr>
        <w:t>。</w:t>
      </w:r>
    </w:p>
    <w:p w14:paraId="1134FBC8">
      <w:pPr>
        <w:ind w:firstLine="640"/>
      </w:pPr>
      <w:r>
        <w:rPr>
          <w:rFonts w:hint="eastAsia"/>
        </w:rPr>
        <w:t>1.做大做强绿色食品产业</w:t>
      </w:r>
    </w:p>
    <w:p w14:paraId="38ABDF1B">
      <w:pPr>
        <w:ind w:firstLine="640"/>
      </w:pPr>
      <w:r>
        <w:rPr>
          <w:rFonts w:hint="eastAsia"/>
        </w:rPr>
        <w:t>聚焦全产业链，培育壮大优势绿色粮食、有机食品加工等主导产业。大力发展特色种植、农业旅游等特色产业，打造绿色农产品生产基地。加强农业基础设施建设。</w:t>
      </w:r>
    </w:p>
    <w:p w14:paraId="349AD22C">
      <w:pPr>
        <w:ind w:firstLine="640"/>
      </w:pPr>
      <w:r>
        <w:rPr>
          <w:rFonts w:hint="eastAsia"/>
        </w:rPr>
        <w:t>2.培优培强生态畜牧业</w:t>
      </w:r>
    </w:p>
    <w:p w14:paraId="327DA0C7">
      <w:pPr>
        <w:ind w:firstLine="640"/>
      </w:pPr>
      <w:r>
        <w:rPr>
          <w:rFonts w:hint="eastAsia"/>
          <w:lang w:val="zh-CN"/>
        </w:rPr>
        <w:t>提质发展畜牧业，以</w:t>
      </w:r>
      <w:r>
        <w:rPr>
          <w:rFonts w:hint="eastAsia"/>
        </w:rPr>
        <w:t>生猪养殖</w:t>
      </w:r>
      <w:r>
        <w:rPr>
          <w:rFonts w:hint="eastAsia"/>
          <w:lang w:val="zh-CN"/>
        </w:rPr>
        <w:t>为主导，发展生态养殖、成规模养殖，保障畜牧业发展用地空间，推进规模化养殖、标准化养殖基地建设。</w:t>
      </w:r>
    </w:p>
    <w:p w14:paraId="188DAE03">
      <w:pPr>
        <w:pStyle w:val="28"/>
        <w:numPr>
          <w:ilvl w:val="0"/>
          <w:numId w:val="1"/>
        </w:numPr>
        <w:spacing w:before="217" w:after="217"/>
      </w:pPr>
      <w:r>
        <w:rPr>
          <w:rFonts w:hint="eastAsia"/>
        </w:rPr>
        <w:t xml:space="preserve"> </w:t>
      </w:r>
      <w:bookmarkStart w:id="91" w:name="_Toc142552507"/>
      <w:r>
        <w:rPr>
          <w:rFonts w:hint="eastAsia"/>
        </w:rPr>
        <w:t>实施黑土耕地“三位一体”保护</w:t>
      </w:r>
      <w:bookmarkEnd w:id="91"/>
    </w:p>
    <w:p w14:paraId="0E597A04">
      <w:pPr>
        <w:ind w:firstLine="640"/>
      </w:pPr>
      <w:bookmarkStart w:id="92" w:name="_Toc31468"/>
      <w:r>
        <w:rPr>
          <w:rFonts w:hint="eastAsia"/>
        </w:rPr>
        <w:t>1.耕地数量</w:t>
      </w:r>
      <w:bookmarkEnd w:id="92"/>
    </w:p>
    <w:p w14:paraId="429CD6C1">
      <w:pPr>
        <w:ind w:firstLine="640"/>
      </w:pPr>
      <w:r>
        <w:rPr>
          <w:rFonts w:hint="eastAsia"/>
        </w:rPr>
        <w:t>签订耕地保护责任书，压实耕地保护主体责任。对耕地保护责任目标完成情况定期考核，实行耕地保护党政同责，终身追责。</w:t>
      </w:r>
    </w:p>
    <w:p w14:paraId="15E7721F">
      <w:pPr>
        <w:widowControl/>
        <w:ind w:firstLine="640"/>
        <w:jc w:val="left"/>
      </w:pPr>
      <w:r>
        <w:rPr>
          <w:rFonts w:hint="eastAsia"/>
        </w:rPr>
        <w:t>各类非农业建设项目选址布局尽量不占或少占耕地，特别是永久基本农田。确需占用的，按照“以补定占”原则，合理安排建设用地计划，严格落实耕地占补平衡责任，落实“数量相等、质量相当、产能不降”要求，严禁占优补劣、占水田补旱地，并按照相关规定对占用耕地耕作层土壤进行剥离再利用。对未纳入耕地保护目标的耕地，同等严格落实占补平衡。</w:t>
      </w:r>
    </w:p>
    <w:p w14:paraId="6B11D817">
      <w:pPr>
        <w:ind w:firstLine="640"/>
      </w:pPr>
      <w:bookmarkStart w:id="93" w:name="_Toc17905"/>
      <w:r>
        <w:rPr>
          <w:rFonts w:hint="eastAsia"/>
        </w:rPr>
        <w:t>2.耕地质量</w:t>
      </w:r>
      <w:bookmarkEnd w:id="93"/>
    </w:p>
    <w:p w14:paraId="269BD97A">
      <w:pPr>
        <w:ind w:firstLine="640"/>
      </w:pPr>
      <w:r>
        <w:rPr>
          <w:rFonts w:hint="eastAsia"/>
        </w:rPr>
        <w:t>提高耕地质量。坚持耕地数量和质量保护并重，落实国家“藏粮于地、藏粮于技”战略，积极推进土地综合整治，因地制宜开展农用地整治，加强高标准农田建设，不断提高耕地和永久基本农田的质量。</w:t>
      </w:r>
    </w:p>
    <w:p w14:paraId="43F2DF2F">
      <w:pPr>
        <w:ind w:firstLine="640"/>
      </w:pPr>
      <w:bookmarkStart w:id="94" w:name="_Toc7484"/>
      <w:r>
        <w:rPr>
          <w:rFonts w:hint="eastAsia"/>
        </w:rPr>
        <w:t>3.耕地生态</w:t>
      </w:r>
      <w:bookmarkEnd w:id="94"/>
    </w:p>
    <w:p w14:paraId="5768DAF3">
      <w:pPr>
        <w:ind w:firstLine="640"/>
      </w:pPr>
      <w:r>
        <w:rPr>
          <w:rFonts w:hint="eastAsia"/>
        </w:rPr>
        <w:t>推动用地与养地相结合，积极落实农业轮作制度，推广玉米、大豆、水稻、杂粮、经济作物轮作等绿色、高产、高质、综合配套技术模式；稳步推进不适宜耕种土地的退耕还林，实行保护性耕作，加快耕地退化治理；深入实施土壤污染防治行动计划，加大农药残留、农膜等治理力度，推广土壤污染防治与修复技术的应用。</w:t>
      </w:r>
    </w:p>
    <w:p w14:paraId="6CA4840D">
      <w:pPr>
        <w:pStyle w:val="28"/>
        <w:keepNext/>
        <w:numPr>
          <w:ilvl w:val="0"/>
          <w:numId w:val="1"/>
        </w:numPr>
        <w:spacing w:before="217" w:after="217"/>
      </w:pPr>
      <w:bookmarkStart w:id="95" w:name="_Toc2042"/>
      <w:r>
        <w:rPr>
          <w:rFonts w:hint="eastAsia"/>
        </w:rPr>
        <w:t xml:space="preserve"> 黑土地保护</w:t>
      </w:r>
      <w:bookmarkEnd w:id="95"/>
    </w:p>
    <w:p w14:paraId="7E6AD683">
      <w:pPr>
        <w:ind w:firstLine="640"/>
      </w:pPr>
      <w:r>
        <w:rPr>
          <w:rFonts w:hint="eastAsia"/>
        </w:rPr>
        <w:t>坚持生态优先、用养结合，对黑土耕地实行战略性保护。</w:t>
      </w:r>
      <w:r>
        <w:t>坚持高位推动，用规划引领黑土地保护</w:t>
      </w:r>
      <w:r>
        <w:rPr>
          <w:rFonts w:hint="eastAsia"/>
        </w:rPr>
        <w:t>；</w:t>
      </w:r>
      <w:r>
        <w:t>坚持工程、农艺、生物措施综合施</w:t>
      </w:r>
      <w:r>
        <w:rPr>
          <w:rFonts w:hint="eastAsia"/>
        </w:rPr>
        <w:t>策</w:t>
      </w:r>
      <w:r>
        <w:t>，提升黑土</w:t>
      </w:r>
      <w:r>
        <w:rPr>
          <w:rFonts w:hint="eastAsia"/>
        </w:rPr>
        <w:t>地</w:t>
      </w:r>
      <w:r>
        <w:t>耕地质量</w:t>
      </w:r>
      <w:r>
        <w:rPr>
          <w:rFonts w:hint="eastAsia"/>
        </w:rPr>
        <w:t>，采用玉米秸秆翻埋还田，深耕改善土壤物理性状，增强土壤保水保肥能力；堆沤有机肥施用技术，提升土壤肥力，遏制黑土地退化；推行米豆轮作深松养分调控，固氮肥田；利用水稻秸秆翻压还田，增加土壤有机质；</w:t>
      </w:r>
      <w:r>
        <w:t>强化监管，健全黑土地保护长效机制</w:t>
      </w:r>
      <w:r>
        <w:rPr>
          <w:rFonts w:hint="eastAsia"/>
        </w:rPr>
        <w:t>，</w:t>
      </w:r>
      <w:r>
        <w:t>恢复黑土区田间生物群落，坚决保护好</w:t>
      </w:r>
      <w:r>
        <w:rPr>
          <w:rFonts w:hint="eastAsia"/>
        </w:rPr>
        <w:t>黑土地这一“耕地中的大熊猫”。</w:t>
      </w:r>
    </w:p>
    <w:p w14:paraId="63B46017">
      <w:pPr>
        <w:pStyle w:val="28"/>
        <w:numPr>
          <w:ilvl w:val="0"/>
          <w:numId w:val="1"/>
        </w:numPr>
        <w:spacing w:before="217" w:after="217"/>
      </w:pPr>
      <w:r>
        <w:rPr>
          <w:rFonts w:hint="eastAsia"/>
        </w:rPr>
        <w:t xml:space="preserve"> </w:t>
      </w:r>
      <w:r>
        <w:t>耕地后备资源</w:t>
      </w:r>
    </w:p>
    <w:p w14:paraId="19D73FFA">
      <w:pPr>
        <w:ind w:firstLine="640"/>
      </w:pPr>
      <w:bookmarkStart w:id="96" w:name="_Hlk164430616"/>
      <w:r>
        <w:rPr>
          <w:rFonts w:hint="eastAsia"/>
        </w:rPr>
        <w:t>在确保生态安全的前提下，合理开发耕地后备资源。对具备开垦为水田或高质量等别耕地的后备资源，优先纳入补充耕地储备库。针对地形复杂、分布零散的区域，加强农业工程基础设施建设，搞好田、林、路、渠的综合配套，优化用地布局，提升耕地集中连片度，保障开发质量。对于新增耕地中质量较好、集中连片、符合法律法规政策的耕地及时开展耕地储备入库工作。</w:t>
      </w:r>
      <w:bookmarkEnd w:id="96"/>
    </w:p>
    <w:p w14:paraId="71BE29B1">
      <w:pPr>
        <w:pStyle w:val="27"/>
        <w:numPr>
          <w:ilvl w:val="0"/>
          <w:numId w:val="5"/>
        </w:numPr>
        <w:spacing w:before="217" w:after="217"/>
      </w:pPr>
      <w:bookmarkStart w:id="97" w:name="_Toc142552509"/>
      <w:bookmarkStart w:id="98" w:name="_Toc32622"/>
      <w:r>
        <w:rPr>
          <w:rFonts w:hint="eastAsia"/>
        </w:rPr>
        <w:t xml:space="preserve"> </w:t>
      </w:r>
      <w:bookmarkStart w:id="99" w:name="_Toc4416"/>
      <w:r>
        <w:rPr>
          <w:rFonts w:hint="eastAsia"/>
        </w:rPr>
        <w:t>生态功能空间</w:t>
      </w:r>
      <w:bookmarkEnd w:id="97"/>
      <w:bookmarkEnd w:id="98"/>
      <w:bookmarkEnd w:id="99"/>
    </w:p>
    <w:bookmarkEnd w:id="83"/>
    <w:bookmarkEnd w:id="84"/>
    <w:bookmarkEnd w:id="85"/>
    <w:bookmarkEnd w:id="86"/>
    <w:p w14:paraId="27525D45">
      <w:pPr>
        <w:pStyle w:val="28"/>
        <w:numPr>
          <w:ilvl w:val="0"/>
          <w:numId w:val="1"/>
        </w:numPr>
        <w:spacing w:before="217" w:after="217"/>
      </w:pPr>
      <w:bookmarkStart w:id="100" w:name="_Toc122541741"/>
      <w:bookmarkStart w:id="101" w:name="_Toc26832"/>
      <w:bookmarkStart w:id="102" w:name="_Toc122541234"/>
      <w:bookmarkStart w:id="103" w:name="_Toc1537"/>
      <w:r>
        <w:rPr>
          <w:rFonts w:hint="eastAsia"/>
        </w:rPr>
        <w:t xml:space="preserve"> 自然保护地体系</w:t>
      </w:r>
    </w:p>
    <w:p w14:paraId="1DD0DE2F">
      <w:pPr>
        <w:ind w:firstLine="640"/>
        <w:rPr>
          <w:u w:val="single"/>
          <w:lang w:val="zh-CN"/>
        </w:rPr>
      </w:pPr>
      <w:r>
        <w:rPr>
          <w:rFonts w:hint="eastAsia"/>
        </w:rPr>
        <w:t>规划至2035年，乡域内无自然保护地。</w:t>
      </w:r>
    </w:p>
    <w:p w14:paraId="70E87ACD">
      <w:pPr>
        <w:pStyle w:val="28"/>
        <w:keepNext/>
        <w:numPr>
          <w:ilvl w:val="0"/>
          <w:numId w:val="1"/>
        </w:numPr>
        <w:spacing w:before="217" w:after="217"/>
      </w:pPr>
      <w:r>
        <w:rPr>
          <w:rFonts w:hint="eastAsia"/>
        </w:rPr>
        <w:t xml:space="preserve"> 保护生物多样性</w:t>
      </w:r>
    </w:p>
    <w:p w14:paraId="21BC007D">
      <w:pPr>
        <w:ind w:firstLine="640"/>
      </w:pPr>
      <w:r>
        <w:rPr>
          <w:rFonts w:hint="eastAsia"/>
        </w:rPr>
        <w:t>加强铃铛麦河水系生态廊道建设，加强野生动植物保护，</w:t>
      </w:r>
      <w:r>
        <w:t>保</w:t>
      </w:r>
      <w:r>
        <w:rPr>
          <w:rFonts w:hint="eastAsia"/>
        </w:rPr>
        <w:t>护野生动物栖息地和繁殖地，为珍稀濒危物种生存繁衍提供空间保障。对候鸟重要栖息地和迁飞通道实施空间管控。风力发电等设施布局建设应避让重要栖息地和迁飞节点。</w:t>
      </w:r>
    </w:p>
    <w:p w14:paraId="446B722F">
      <w:pPr>
        <w:pStyle w:val="28"/>
        <w:numPr>
          <w:ilvl w:val="0"/>
          <w:numId w:val="1"/>
        </w:numPr>
        <w:spacing w:before="217" w:after="217"/>
      </w:pPr>
      <w:r>
        <w:rPr>
          <w:rFonts w:hint="eastAsia"/>
        </w:rPr>
        <w:t xml:space="preserve"> 国土造林绿化行动</w:t>
      </w:r>
    </w:p>
    <w:p w14:paraId="69084672">
      <w:pPr>
        <w:widowControl/>
        <w:ind w:firstLine="640"/>
        <w:jc w:val="left"/>
        <w:rPr>
          <w:rFonts w:hint="eastAsia" w:ascii="仿宋_GB2312" w:hAnsi="宋体" w:cs="仿宋_GB2312"/>
          <w:kern w:val="0"/>
          <w:szCs w:val="32"/>
          <w:lang w:bidi="ar"/>
        </w:rPr>
      </w:pPr>
      <w:r>
        <w:rPr>
          <w:rFonts w:hint="eastAsia" w:ascii="仿宋_GB2312" w:hAnsi="宋体" w:cs="仿宋_GB2312"/>
          <w:kern w:val="0"/>
          <w:szCs w:val="32"/>
          <w:lang w:bidi="ar"/>
        </w:rPr>
        <w:t>1.国土绿化行动目标</w:t>
      </w:r>
    </w:p>
    <w:p w14:paraId="7D83674A">
      <w:pPr>
        <w:widowControl/>
        <w:ind w:firstLine="640"/>
        <w:jc w:val="left"/>
        <w:rPr>
          <w:rFonts w:hint="eastAsia" w:ascii="仿宋_GB2312" w:hAnsi="宋体" w:cs="仿宋_GB2312"/>
          <w:kern w:val="0"/>
          <w:szCs w:val="32"/>
          <w:lang w:bidi="ar"/>
        </w:rPr>
      </w:pPr>
      <w:r>
        <w:rPr>
          <w:rFonts w:hint="eastAsia" w:ascii="仿宋_GB2312" w:hAnsi="宋体" w:cs="仿宋_GB2312"/>
          <w:kern w:val="0"/>
          <w:szCs w:val="32"/>
          <w:lang w:bidi="ar"/>
        </w:rPr>
        <w:t>通过造林绿化空间适宜性评估，清晰掌握林草资源本底，科学安排造林用地，带位置落实绿化任务，落实国土空间总体规划中的造林绿化空间。加强森林保育和质量精准提升、科学实施造林绿化、加快乡村美化绿化、合理优化防护林体系、强化沙化土地治理。</w:t>
      </w:r>
    </w:p>
    <w:p w14:paraId="351E86F5">
      <w:pPr>
        <w:widowControl/>
        <w:ind w:firstLine="640"/>
        <w:jc w:val="left"/>
        <w:rPr>
          <w:rFonts w:hint="eastAsia" w:ascii="仿宋_GB2312" w:hAnsi="宋体" w:cs="仿宋_GB2312"/>
          <w:kern w:val="0"/>
          <w:szCs w:val="32"/>
          <w:lang w:bidi="ar"/>
        </w:rPr>
      </w:pPr>
      <w:r>
        <w:rPr>
          <w:rFonts w:hint="eastAsia" w:ascii="仿宋_GB2312" w:hAnsi="宋体" w:cs="仿宋_GB2312"/>
          <w:kern w:val="0"/>
          <w:szCs w:val="32"/>
          <w:lang w:bidi="ar"/>
        </w:rPr>
        <w:t>2.国土绿化行动总体要求</w:t>
      </w:r>
    </w:p>
    <w:p w14:paraId="6F2C2F41">
      <w:pPr>
        <w:widowControl/>
        <w:ind w:firstLine="640"/>
        <w:jc w:val="left"/>
        <w:rPr>
          <w:rFonts w:hint="eastAsia" w:ascii="仿宋_GB2312" w:hAnsi="宋体" w:cs="仿宋_GB2312"/>
          <w:kern w:val="0"/>
          <w:szCs w:val="32"/>
          <w:lang w:bidi="ar"/>
        </w:rPr>
      </w:pPr>
      <w:r>
        <w:rPr>
          <w:rFonts w:hint="eastAsia" w:ascii="仿宋_GB2312" w:hAnsi="宋体" w:cs="仿宋_GB2312"/>
          <w:kern w:val="0"/>
          <w:szCs w:val="32"/>
          <w:lang w:bidi="ar"/>
        </w:rPr>
        <w:t>科学开展国土绿化行动，坚持生态优先，生态、经济、社会三大效益兼顾原则；坚持因地制宜，遵循自然和经济规律，充分考虑“三区三线”等因素原则；坚持质量优先、速度与成效相统一原则；坚持与生物多样性保护、生态环境保护相结合，提倡多林种、多树种造林原则。</w:t>
      </w:r>
    </w:p>
    <w:p w14:paraId="0D1DD10B">
      <w:pPr>
        <w:widowControl/>
        <w:ind w:firstLine="640"/>
        <w:jc w:val="left"/>
        <w:rPr>
          <w:rFonts w:hint="eastAsia" w:ascii="仿宋_GB2312" w:hAnsi="宋体" w:cs="仿宋_GB2312"/>
          <w:kern w:val="0"/>
          <w:szCs w:val="32"/>
          <w:lang w:bidi="ar"/>
        </w:rPr>
      </w:pPr>
      <w:r>
        <w:rPr>
          <w:rFonts w:hint="eastAsia" w:ascii="仿宋_GB2312" w:hAnsi="宋体" w:cs="仿宋_GB2312"/>
          <w:kern w:val="0"/>
          <w:szCs w:val="32"/>
          <w:lang w:bidi="ar"/>
        </w:rPr>
        <w:t>3.国土绿化重点举措</w:t>
      </w:r>
    </w:p>
    <w:p w14:paraId="4BE9535C">
      <w:pPr>
        <w:widowControl/>
        <w:ind w:firstLine="640"/>
        <w:jc w:val="left"/>
        <w:rPr>
          <w:kern w:val="0"/>
          <w:szCs w:val="32"/>
          <w:lang w:bidi="ar"/>
        </w:rPr>
      </w:pPr>
      <w:r>
        <w:rPr>
          <w:kern w:val="0"/>
          <w:szCs w:val="32"/>
          <w:lang w:bidi="ar"/>
        </w:rPr>
        <w:t>有序安排年度造林绿化任务，将适宜造林绿化土地统筹确定为规划造林绿化空间，并落实到国土空间规划“一张图”上。到2035年，按照</w:t>
      </w:r>
      <w:r>
        <w:rPr>
          <w:rFonts w:hint="eastAsia"/>
          <w:kern w:val="0"/>
          <w:szCs w:val="32"/>
          <w:lang w:bidi="ar"/>
        </w:rPr>
        <w:t>县</w:t>
      </w:r>
      <w:r>
        <w:rPr>
          <w:kern w:val="0"/>
          <w:szCs w:val="32"/>
          <w:lang w:bidi="ar"/>
        </w:rPr>
        <w:t>下达造林计划完成任务。</w:t>
      </w:r>
    </w:p>
    <w:bookmarkEnd w:id="100"/>
    <w:bookmarkEnd w:id="101"/>
    <w:bookmarkEnd w:id="102"/>
    <w:bookmarkEnd w:id="103"/>
    <w:p w14:paraId="512FCB62">
      <w:pPr>
        <w:pStyle w:val="28"/>
        <w:numPr>
          <w:ilvl w:val="0"/>
          <w:numId w:val="1"/>
        </w:numPr>
        <w:spacing w:before="217" w:after="217"/>
      </w:pPr>
      <w:bookmarkStart w:id="104" w:name="_Toc19022"/>
      <w:r>
        <w:rPr>
          <w:rFonts w:hint="eastAsia"/>
        </w:rPr>
        <w:t xml:space="preserve"> 水资源保护与利用</w:t>
      </w:r>
      <w:bookmarkEnd w:id="104"/>
    </w:p>
    <w:p w14:paraId="319A5C13">
      <w:pPr>
        <w:ind w:firstLine="640"/>
      </w:pPr>
      <w:r>
        <w:rPr>
          <w:rFonts w:hint="eastAsia"/>
        </w:rPr>
        <w:t>1.保护目标</w:t>
      </w:r>
    </w:p>
    <w:p w14:paraId="09CB06D8">
      <w:pPr>
        <w:ind w:firstLine="640"/>
      </w:pPr>
      <w:r>
        <w:rPr>
          <w:rFonts w:hint="eastAsia"/>
        </w:rPr>
        <w:t>坚持“以水定城、以水定地、以水定人、以水定产”，落实最严格的水资源管理制度，强化水资源总量控制、用水效率控制。结合乡域水资源现状，推动工业节水减排、城镇节水降损和农业节水增效，大力发展节水产业。到2035年，乡域用水总量不超过上级下达指标。</w:t>
      </w:r>
    </w:p>
    <w:p w14:paraId="4CD239F3">
      <w:pPr>
        <w:ind w:firstLine="640"/>
      </w:pPr>
      <w:bookmarkStart w:id="105" w:name="_Toc9284"/>
      <w:r>
        <w:rPr>
          <w:rFonts w:hint="eastAsia"/>
        </w:rPr>
        <w:t>2.重要水空间保护</w:t>
      </w:r>
      <w:bookmarkEnd w:id="105"/>
    </w:p>
    <w:p w14:paraId="380602EF">
      <w:pPr>
        <w:ind w:firstLine="640"/>
      </w:pPr>
      <w:r>
        <w:rPr>
          <w:rFonts w:hint="eastAsia"/>
        </w:rPr>
        <w:t>加强铃铛麦河等中小河流水域保护与生态综合治理。积极开展水域生态综合治理、水域岸线管控、政府驻地及周边水体治理，实施水环境水生态保护与修复。</w:t>
      </w:r>
    </w:p>
    <w:p w14:paraId="59AB54A1">
      <w:pPr>
        <w:ind w:firstLine="640"/>
      </w:pPr>
      <w:r>
        <w:rPr>
          <w:rFonts w:hint="eastAsia"/>
        </w:rPr>
        <w:t>加强饮用水水源地环境保护，强化水质安全。按不同的水质标准及防护要求，分级划分饮用水水源保护区。乡饮用水水源地7处，分别为创业乡集中式饮用水水源地、宏图村饮用水源地、堆峰里供水工程饮用水源地、西冯村饮用水源地、小堆峰村饮用水源地、拉拉街村饮用水源地、丰年村饮用水源地，在饮用水水源地取水口外范围划定饮用水水源地一级保护区和二级保护区。饮用水水源地水质应符合Ⅱ类水质以上标准。</w:t>
      </w:r>
    </w:p>
    <w:p w14:paraId="1CDA7B1C">
      <w:pPr>
        <w:pStyle w:val="28"/>
        <w:numPr>
          <w:ilvl w:val="0"/>
          <w:numId w:val="1"/>
        </w:numPr>
        <w:spacing w:before="217" w:after="217"/>
      </w:pPr>
      <w:bookmarkStart w:id="106" w:name="_Toc15297"/>
      <w:r>
        <w:rPr>
          <w:rFonts w:hint="eastAsia"/>
        </w:rPr>
        <w:t xml:space="preserve"> 湿地资源保护与利用</w:t>
      </w:r>
      <w:bookmarkEnd w:id="106"/>
    </w:p>
    <w:p w14:paraId="04B193C1">
      <w:pPr>
        <w:ind w:firstLine="640"/>
      </w:pPr>
      <w:r>
        <w:rPr>
          <w:rFonts w:hint="eastAsia"/>
        </w:rPr>
        <w:t>推进河流型、湖泊型、沼泽型、人工湿地的保护，保障湿地生态功能。严禁湿地开垦等破坏性活动。实施重点湿地保护与恢复工程，推进湿地保护、植被恢复、本底资源调查、科普宣教设施建设。实施退耕还湿、湿地生态效益补偿、湿地保护奖励措施，建立湿地生态修复机制，严格管控湿地保护红线。</w:t>
      </w:r>
      <w:bookmarkStart w:id="107" w:name="_Hlk141361579"/>
      <w:r>
        <w:rPr>
          <w:rFonts w:hint="eastAsia"/>
        </w:rPr>
        <w:t>到2035年，湿地面积及湿地保护率不低于上级下达指标。</w:t>
      </w:r>
    </w:p>
    <w:bookmarkEnd w:id="107"/>
    <w:p w14:paraId="2B7DF788">
      <w:pPr>
        <w:pStyle w:val="28"/>
        <w:numPr>
          <w:ilvl w:val="0"/>
          <w:numId w:val="1"/>
        </w:numPr>
        <w:spacing w:before="217" w:after="217"/>
      </w:pPr>
      <w:bookmarkStart w:id="108" w:name="_Toc29255"/>
      <w:bookmarkStart w:id="109" w:name="_Toc122541747"/>
      <w:bookmarkStart w:id="110" w:name="_Toc122541240"/>
      <w:bookmarkStart w:id="111" w:name="_Toc10862"/>
      <w:bookmarkStart w:id="112" w:name="_Toc18875"/>
      <w:r>
        <w:rPr>
          <w:rFonts w:hint="eastAsia"/>
        </w:rPr>
        <w:t xml:space="preserve"> </w:t>
      </w:r>
      <w:bookmarkStart w:id="113" w:name="_Toc142552513"/>
      <w:r>
        <w:rPr>
          <w:rFonts w:hint="eastAsia"/>
        </w:rPr>
        <w:t>森林资源</w:t>
      </w:r>
      <w:bookmarkEnd w:id="108"/>
      <w:bookmarkEnd w:id="109"/>
      <w:bookmarkEnd w:id="110"/>
      <w:bookmarkEnd w:id="111"/>
      <w:bookmarkEnd w:id="112"/>
      <w:r>
        <w:rPr>
          <w:rFonts w:hint="eastAsia"/>
        </w:rPr>
        <w:t>保护与利用</w:t>
      </w:r>
      <w:bookmarkEnd w:id="113"/>
    </w:p>
    <w:p w14:paraId="1A8DDA86">
      <w:pPr>
        <w:ind w:firstLine="640"/>
        <w:rPr>
          <w:u w:val="single"/>
        </w:rPr>
      </w:pPr>
      <w:r>
        <w:rPr>
          <w:rFonts w:hint="eastAsia"/>
        </w:rPr>
        <w:t>规划到2035年，乡域森林覆盖率不低于上级下达指标。</w:t>
      </w:r>
    </w:p>
    <w:p w14:paraId="4F051069">
      <w:pPr>
        <w:ind w:firstLine="640"/>
      </w:pPr>
      <w:r>
        <w:rPr>
          <w:rFonts w:hint="eastAsia"/>
        </w:rPr>
        <w:t>强化天然林保护，加快建立全面保护、系统恢复、用途管控、权责明确的天然林保护修复制度体系；加强重点生态功能区和生态环境敏感脆弱区域的林地资源保护，禁止毁林开垦；加强中幼龄林抚育，保护幼苗幼树，提高林地培育质量，增加林地水源涵养、水土保持等方面功能。</w:t>
      </w:r>
    </w:p>
    <w:p w14:paraId="10535BCC">
      <w:pPr>
        <w:ind w:firstLine="640"/>
      </w:pPr>
      <w:r>
        <w:rPr>
          <w:rFonts w:hint="eastAsia"/>
        </w:rPr>
        <w:t>持续推进人工造林，促进沿主要交通干线、水域生态廊道建设，构建生态网络体系。主要包括京抚公路G102、河流水系生态廊道建设，维护生态系统稳定，保护生物多样性。</w:t>
      </w:r>
    </w:p>
    <w:p w14:paraId="68F557CE">
      <w:pPr>
        <w:ind w:firstLine="640"/>
      </w:pPr>
      <w:r>
        <w:t>国家级公益林，要以发挥生态效益为核心，落实专人管护，优先安排造林任务，全面禁止商品性采伐，林地内禁止矿产资源勘探与开发，尽快实现休养生息。商品林，要在保障生态功能的基础上，科学合理地进行经营，有效发挥经济效益。公益林和商品林中的天然林均不得采伐。</w:t>
      </w:r>
    </w:p>
    <w:p w14:paraId="27366A9B">
      <w:pPr>
        <w:pStyle w:val="28"/>
        <w:keepNext/>
        <w:numPr>
          <w:ilvl w:val="0"/>
          <w:numId w:val="1"/>
        </w:numPr>
        <w:spacing w:before="217" w:after="217"/>
      </w:pPr>
      <w:bookmarkStart w:id="114" w:name="_Toc13641"/>
      <w:r>
        <w:rPr>
          <w:rFonts w:hint="eastAsia"/>
        </w:rPr>
        <w:t xml:space="preserve"> 草地资源保护与利用</w:t>
      </w:r>
      <w:bookmarkEnd w:id="114"/>
    </w:p>
    <w:p w14:paraId="6DA47DF1">
      <w:pPr>
        <w:pStyle w:val="45"/>
        <w:ind w:firstLine="640"/>
        <w:rPr>
          <w:rFonts w:hint="default"/>
        </w:rPr>
      </w:pPr>
      <w:r>
        <w:t>以现有草地为基础，结合国土空间适宜性评价和乡村特色产业发展需求，适度优化调整乡域草地布局和发展方向，发展特色产业经济，提高草地资源利用效益。落实封禁沙化土地保护区管理要求，加强草原用途管制。</w:t>
      </w:r>
    </w:p>
    <w:p w14:paraId="2017D74F">
      <w:pPr>
        <w:pStyle w:val="28"/>
        <w:numPr>
          <w:ilvl w:val="0"/>
          <w:numId w:val="1"/>
        </w:numPr>
        <w:spacing w:before="217" w:after="217"/>
      </w:pPr>
      <w:r>
        <w:rPr>
          <w:rFonts w:hint="eastAsia"/>
        </w:rPr>
        <w:t xml:space="preserve"> 矿产资源保护与利用</w:t>
      </w:r>
    </w:p>
    <w:p w14:paraId="4DABB728">
      <w:pPr>
        <w:ind w:firstLine="640"/>
      </w:pPr>
      <w:r>
        <w:rPr>
          <w:rFonts w:hint="eastAsia"/>
        </w:rPr>
        <w:t>依据《桦川县矿产资源总体规划（2021—2025年）》，落实创业乡小堆峰村建筑用花岗岩开采规划区块1处。</w:t>
      </w:r>
    </w:p>
    <w:p w14:paraId="4F9E61FB">
      <w:pPr>
        <w:ind w:firstLine="640"/>
      </w:pPr>
      <w:r>
        <w:rPr>
          <w:rFonts w:hint="eastAsia"/>
        </w:rPr>
        <w:t>1.加强矿产资源管控</w:t>
      </w:r>
    </w:p>
    <w:p w14:paraId="0A21BBF8">
      <w:pPr>
        <w:ind w:firstLine="640"/>
      </w:pPr>
      <w:r>
        <w:t>禁止在</w:t>
      </w:r>
      <w:r>
        <w:rPr>
          <w:rFonts w:hint="eastAsia"/>
        </w:rPr>
        <w:t>居民点集中</w:t>
      </w:r>
      <w:r>
        <w:t>建设用地范围、重要基础设施周边、集中式饮用水源地一级保护区范围内开展矿产资源开发活动。强化开采规模准入管理，提高规模化集约化开采水平，推进矿山规模化发展，促进矿产资源优势向经济优势转变。协调好与生态保护红线、永久基本农田、公益林的关系，限制采矿用地占用耕地、林地。</w:t>
      </w:r>
    </w:p>
    <w:p w14:paraId="4B34CE25">
      <w:pPr>
        <w:ind w:firstLine="640"/>
      </w:pPr>
      <w:r>
        <w:rPr>
          <w:rFonts w:hint="eastAsia"/>
        </w:rPr>
        <w:t>2.加强矿山环境治理和生态恢复</w:t>
      </w:r>
    </w:p>
    <w:p w14:paraId="43D52BFF">
      <w:pPr>
        <w:ind w:firstLine="640"/>
      </w:pPr>
      <w:r>
        <w:rPr>
          <w:rFonts w:hint="eastAsia"/>
        </w:rPr>
        <w:t>依据上级对矿山治理和生态修复等专项规划要求，创业乡将</w:t>
      </w:r>
      <w:r>
        <w:t>强化河道采砂管理，清理整顿、有序规范河道采砂行动。对历史遗留或废弃矿坑采料坑、压占破坏的土地和露天临时用地等因地制宜进行复垦和治理。</w:t>
      </w:r>
    </w:p>
    <w:p w14:paraId="6405A535">
      <w:pPr>
        <w:pStyle w:val="27"/>
        <w:keepNext/>
        <w:numPr>
          <w:ilvl w:val="0"/>
          <w:numId w:val="5"/>
        </w:numPr>
        <w:spacing w:before="217" w:after="217"/>
      </w:pPr>
      <w:bookmarkStart w:id="115" w:name="_Toc122541761"/>
      <w:bookmarkStart w:id="116" w:name="_Toc32292"/>
      <w:bookmarkStart w:id="117" w:name="_Toc142552515"/>
      <w:bookmarkStart w:id="118" w:name="_Toc122541254"/>
      <w:bookmarkStart w:id="119" w:name="_Toc18054"/>
      <w:r>
        <w:rPr>
          <w:rFonts w:hint="eastAsia"/>
        </w:rPr>
        <w:t xml:space="preserve"> </w:t>
      </w:r>
      <w:bookmarkStart w:id="120" w:name="_Toc26605"/>
      <w:r>
        <w:rPr>
          <w:rFonts w:hint="eastAsia"/>
        </w:rPr>
        <w:t>城乡</w:t>
      </w:r>
      <w:bookmarkEnd w:id="115"/>
      <w:bookmarkEnd w:id="116"/>
      <w:bookmarkEnd w:id="117"/>
      <w:bookmarkEnd w:id="118"/>
      <w:r>
        <w:rPr>
          <w:rFonts w:hint="eastAsia"/>
        </w:rPr>
        <w:t>建设空间</w:t>
      </w:r>
      <w:bookmarkEnd w:id="119"/>
      <w:bookmarkEnd w:id="120"/>
    </w:p>
    <w:p w14:paraId="479FDEB6">
      <w:pPr>
        <w:pStyle w:val="28"/>
        <w:numPr>
          <w:ilvl w:val="0"/>
          <w:numId w:val="1"/>
        </w:numPr>
        <w:spacing w:before="217" w:after="217"/>
      </w:pPr>
      <w:bookmarkStart w:id="121" w:name="_Toc122615885"/>
      <w:bookmarkStart w:id="122" w:name="_Toc10353"/>
      <w:bookmarkStart w:id="123" w:name="_Toc19683"/>
      <w:r>
        <w:rPr>
          <w:rFonts w:hint="eastAsia"/>
        </w:rPr>
        <w:t xml:space="preserve"> 人口</w:t>
      </w:r>
      <w:bookmarkEnd w:id="121"/>
      <w:bookmarkEnd w:id="122"/>
      <w:r>
        <w:rPr>
          <w:rFonts w:hint="eastAsia"/>
        </w:rPr>
        <w:t>预测</w:t>
      </w:r>
    </w:p>
    <w:p w14:paraId="5B2FBAA4">
      <w:pPr>
        <w:ind w:firstLine="640"/>
      </w:pPr>
      <w:bookmarkStart w:id="124" w:name="_Toc122541764"/>
      <w:bookmarkStart w:id="125" w:name="_Toc122541257"/>
      <w:bookmarkStart w:id="126" w:name="_Toc1128"/>
      <w:r>
        <w:rPr>
          <w:rFonts w:hint="eastAsia"/>
        </w:rPr>
        <w:t>近期2025年乡域常住总人口为1.10万人，乡政府驻地人口为0.20万人。</w:t>
      </w:r>
    </w:p>
    <w:p w14:paraId="51180D34">
      <w:pPr>
        <w:ind w:firstLine="640"/>
      </w:pPr>
      <w:r>
        <w:rPr>
          <w:rFonts w:hint="eastAsia"/>
        </w:rPr>
        <w:t>远期2035年乡域常住总人口为1.00万人，乡政府驻地人口为0.25万人。</w:t>
      </w:r>
    </w:p>
    <w:p w14:paraId="22BF65C0">
      <w:pPr>
        <w:pStyle w:val="28"/>
        <w:numPr>
          <w:ilvl w:val="0"/>
          <w:numId w:val="1"/>
        </w:numPr>
        <w:spacing w:before="217" w:after="217"/>
      </w:pPr>
      <w:r>
        <w:rPr>
          <w:rFonts w:hint="eastAsia"/>
        </w:rPr>
        <w:t xml:space="preserve"> </w:t>
      </w:r>
      <w:bookmarkStart w:id="127" w:name="_Toc142552517"/>
      <w:r>
        <w:rPr>
          <w:rFonts w:hint="eastAsia"/>
        </w:rPr>
        <w:t>居民点体系规划</w:t>
      </w:r>
      <w:bookmarkEnd w:id="123"/>
      <w:bookmarkEnd w:id="124"/>
      <w:bookmarkEnd w:id="125"/>
      <w:bookmarkEnd w:id="126"/>
      <w:bookmarkEnd w:id="127"/>
    </w:p>
    <w:p w14:paraId="23AF32C5">
      <w:pPr>
        <w:ind w:firstLine="640"/>
      </w:pPr>
      <w:bookmarkStart w:id="128" w:name="_Toc4765"/>
      <w:r>
        <w:rPr>
          <w:rFonts w:hint="eastAsia"/>
        </w:rPr>
        <w:t>1.等级</w:t>
      </w:r>
      <w:bookmarkEnd w:id="128"/>
      <w:r>
        <w:rPr>
          <w:rFonts w:hint="eastAsia"/>
        </w:rPr>
        <w:t>结构</w:t>
      </w:r>
    </w:p>
    <w:p w14:paraId="133B7601">
      <w:pPr>
        <w:ind w:firstLine="640"/>
      </w:pPr>
      <w:r>
        <w:rPr>
          <w:rFonts w:hint="eastAsia"/>
        </w:rPr>
        <w:t>创业乡居民点等级规模结构分为：乡政府驻地—中心村—一般村三个层次。</w:t>
      </w:r>
    </w:p>
    <w:p w14:paraId="6B2AADF2">
      <w:pPr>
        <w:ind w:firstLine="640"/>
      </w:pPr>
      <w:r>
        <w:rPr>
          <w:rFonts w:hint="eastAsia"/>
        </w:rPr>
        <w:t>乡政府驻地（拉拉街村）；</w:t>
      </w:r>
    </w:p>
    <w:p w14:paraId="5F6015D9">
      <w:pPr>
        <w:ind w:firstLine="640"/>
      </w:pPr>
      <w:r>
        <w:rPr>
          <w:rFonts w:hint="eastAsia"/>
        </w:rPr>
        <w:t>中心村为西大村、谷大村、中山村；</w:t>
      </w:r>
    </w:p>
    <w:p w14:paraId="04330645">
      <w:pPr>
        <w:ind w:firstLine="640"/>
      </w:pPr>
      <w:r>
        <w:rPr>
          <w:rFonts w:hint="eastAsia"/>
        </w:rPr>
        <w:t>一般村为新发村、丰年村、堆峰里村、宏图村、西冯村和小堆峰村。</w:t>
      </w:r>
    </w:p>
    <w:p w14:paraId="34842FC7">
      <w:pPr>
        <w:ind w:firstLine="640"/>
      </w:pPr>
      <w:bookmarkStart w:id="129" w:name="_Toc990"/>
      <w:r>
        <w:rPr>
          <w:rFonts w:hint="eastAsia"/>
        </w:rPr>
        <w:t>2.</w:t>
      </w:r>
      <w:r>
        <w:t>职能结构</w:t>
      </w:r>
      <w:bookmarkEnd w:id="129"/>
    </w:p>
    <w:p w14:paraId="4E29AD4C">
      <w:pPr>
        <w:ind w:firstLine="640"/>
      </w:pPr>
      <w:r>
        <w:rPr>
          <w:rFonts w:hint="eastAsia"/>
        </w:rPr>
        <w:t>规划至2035年，乡域居民点体系的职能结构类型有3种：综合服务型、特色农贸型、特色农业型。其中。乡政府驻地（拉拉街村）为综合服务型；谷大村、丰年村为特色农贸型；堆峰里村、中山村、西冯村、新发村、宏图村、西大村和小堆峰村为特色农业型。</w:t>
      </w:r>
    </w:p>
    <w:p w14:paraId="2FEA2BCE">
      <w:pPr>
        <w:ind w:firstLine="640"/>
      </w:pPr>
      <w:bookmarkStart w:id="130" w:name="_Toc5612"/>
      <w:r>
        <w:rPr>
          <w:rFonts w:hint="eastAsia"/>
        </w:rPr>
        <w:t>3.村庄</w:t>
      </w:r>
      <w:r>
        <w:t>分类</w:t>
      </w:r>
      <w:bookmarkEnd w:id="130"/>
    </w:p>
    <w:p w14:paraId="459F4697">
      <w:pPr>
        <w:ind w:firstLine="640"/>
      </w:pPr>
      <w:r>
        <w:rPr>
          <w:rFonts w:hint="eastAsia"/>
        </w:rPr>
        <w:t>创业乡</w:t>
      </w:r>
      <w:r>
        <w:rPr>
          <w:rFonts w:hint="eastAsia"/>
          <w:lang w:val="zh-CN"/>
        </w:rPr>
        <w:t>规划村庄分类</w:t>
      </w:r>
      <w:r>
        <w:rPr>
          <w:rFonts w:hint="eastAsia"/>
        </w:rPr>
        <w:t>均为集聚提升类。</w:t>
      </w:r>
    </w:p>
    <w:p w14:paraId="0A63F702">
      <w:pPr>
        <w:pStyle w:val="28"/>
        <w:numPr>
          <w:ilvl w:val="0"/>
          <w:numId w:val="1"/>
        </w:numPr>
        <w:spacing w:before="217" w:after="217"/>
        <w:rPr>
          <w:lang w:val="zh-CN"/>
        </w:rPr>
      </w:pPr>
      <w:bookmarkStart w:id="131" w:name="_Toc7170"/>
      <w:r>
        <w:rPr>
          <w:rFonts w:hint="eastAsia"/>
          <w:lang w:val="zh-CN"/>
        </w:rPr>
        <w:t xml:space="preserve"> 建设用地节约集约利用</w:t>
      </w:r>
    </w:p>
    <w:p w14:paraId="3807CDA3">
      <w:pPr>
        <w:ind w:firstLine="640"/>
      </w:pPr>
      <w:r>
        <w:rPr>
          <w:rFonts w:hint="eastAsia"/>
        </w:rPr>
        <w:t>严格控制建设用地总量。严格按照上级划定的建设边界范围和建设用地指标要求进行开发建设。凡不符合国土空间规划、国家区域政策、产业政策和供地政策的建设项目，不得安排土地利用年度计划指标。做好现状建设用地中闲置和空闲土地调查，在用地安排上以存量土地为主。</w:t>
      </w:r>
    </w:p>
    <w:p w14:paraId="1E68ABC0">
      <w:pPr>
        <w:ind w:firstLine="640"/>
      </w:pPr>
      <w:r>
        <w:rPr>
          <w:rFonts w:hint="eastAsia"/>
        </w:rPr>
        <w:t>新建设项目要优先利用已有建设用地，要大力推行强化节约和集约用地政策，鼓励各地节约和集约用地，通过分配机制鼓励地方盘活存量土地。以内部挖潜为主，搞好旧区改造，提高建筑密度和建筑容积率，通过合理调整用地结构，按照控制总量、合理布局、保护耕地的原则，统筹安排居民点建设用地。</w:t>
      </w:r>
    </w:p>
    <w:p w14:paraId="3091ADCE">
      <w:pPr>
        <w:ind w:firstLine="640"/>
      </w:pPr>
      <w:r>
        <w:rPr>
          <w:rFonts w:hint="eastAsia"/>
        </w:rPr>
        <w:t>合理确定村庄规模，以村庄规划为指导推进低效用地整治，严格落实“一户一宅”政策规定，优化村庄土地利用格局，引导村庄基础设施配套完善与提升。</w:t>
      </w:r>
    </w:p>
    <w:p w14:paraId="6D9ABF21">
      <w:pPr>
        <w:pStyle w:val="28"/>
        <w:numPr>
          <w:ilvl w:val="0"/>
          <w:numId w:val="1"/>
        </w:numPr>
        <w:spacing w:before="217" w:after="217"/>
      </w:pPr>
      <w:r>
        <w:t xml:space="preserve"> 产业空间</w:t>
      </w:r>
      <w:r>
        <w:rPr>
          <w:rFonts w:hint="eastAsia"/>
        </w:rPr>
        <w:t>发展</w:t>
      </w:r>
      <w:r>
        <w:t>布局</w:t>
      </w:r>
      <w:bookmarkEnd w:id="131"/>
    </w:p>
    <w:p w14:paraId="64A33651">
      <w:pPr>
        <w:ind w:firstLine="640"/>
      </w:pPr>
      <w:bookmarkStart w:id="132" w:name="_Toc9336"/>
      <w:r>
        <w:rPr>
          <w:rFonts w:hint="eastAsia"/>
        </w:rPr>
        <w:t>1.产业空间格局</w:t>
      </w:r>
    </w:p>
    <w:p w14:paraId="6467BFD4">
      <w:pPr>
        <w:ind w:firstLine="640"/>
      </w:pPr>
      <w:r>
        <w:t>产业发展空间格局为</w:t>
      </w:r>
      <w:r>
        <w:rPr>
          <w:rFonts w:hint="eastAsia"/>
        </w:rPr>
        <w:t>“一轴、两区”。</w:t>
      </w:r>
    </w:p>
    <w:p w14:paraId="7B371243">
      <w:pPr>
        <w:ind w:firstLine="640"/>
      </w:pPr>
      <w:r>
        <w:rPr>
          <w:rFonts w:hint="eastAsia"/>
        </w:rPr>
        <w:t>“一轴”指沿京抚公路（G102）贯穿乡域东西方向的乡域对外的区域性交通产业发展轴线。</w:t>
      </w:r>
    </w:p>
    <w:p w14:paraId="0AC483E9">
      <w:pPr>
        <w:ind w:firstLine="640"/>
      </w:pPr>
      <w:r>
        <w:rPr>
          <w:rFonts w:hint="eastAsia"/>
        </w:rPr>
        <w:t>“两区”指生态农业、规模养殖示范区，乡村产业发展重点区。</w:t>
      </w:r>
    </w:p>
    <w:bookmarkEnd w:id="132"/>
    <w:p w14:paraId="300546F4">
      <w:pPr>
        <w:ind w:firstLine="640"/>
      </w:pPr>
      <w:bookmarkStart w:id="133" w:name="_Toc122541268"/>
      <w:bookmarkStart w:id="134" w:name="_Toc5033"/>
      <w:bookmarkStart w:id="135" w:name="_Toc122541775"/>
      <w:r>
        <w:rPr>
          <w:rFonts w:hint="eastAsia"/>
        </w:rPr>
        <w:t>2.保障农村一二三产融合用地空间</w:t>
      </w:r>
    </w:p>
    <w:p w14:paraId="557FD927">
      <w:pPr>
        <w:ind w:firstLine="640"/>
      </w:pPr>
      <w:r>
        <w:rPr>
          <w:rFonts w:hint="eastAsia"/>
        </w:rPr>
        <w:t>如具有一定规模的农产品加工要向经济开发区和城镇开发边界内集聚；直接服务种植养殖业的农产品加工、电子商务、仓储保鲜冷链、产地低温直销配送等产业，要集中在行政村村庄建设边界内；利用农村本地资源开展农产品初加工、发展休闲观光旅游而必需的配套设施建设，在村庄建设边界外安排少量建设用地。预留不超过5%的建设用地机动指标，支持零星分散的乡村文旅设施及农村新产业用地；拓展集体建设用地使用途径和大力盘活农村存量建设用地，腾挪空间用于保障农村产业融合发展用地需要。</w:t>
      </w:r>
    </w:p>
    <w:p w14:paraId="24BA9732">
      <w:pPr>
        <w:ind w:firstLine="640"/>
      </w:pPr>
      <w:r>
        <w:rPr>
          <w:rFonts w:hint="eastAsia"/>
        </w:rPr>
        <w:t>3.促进文旅产业融合发展</w:t>
      </w:r>
    </w:p>
    <w:p w14:paraId="25470D77">
      <w:pPr>
        <w:ind w:firstLine="640"/>
      </w:pPr>
      <w:r>
        <w:rPr>
          <w:rFonts w:hint="eastAsia"/>
        </w:rPr>
        <w:t>依托创业乡丰厚的自然资源、休闲农业等资源，将创业乡建设成为桦川县西部，乡村旅游节点，使创业乡成为桦川县集农事体验、休闲度假、生态旅游等功能于一体的宜养宜居小镇。</w:t>
      </w:r>
    </w:p>
    <w:bookmarkEnd w:id="133"/>
    <w:bookmarkEnd w:id="134"/>
    <w:bookmarkEnd w:id="135"/>
    <w:p w14:paraId="31DC5FD4">
      <w:pPr>
        <w:ind w:firstLine="640"/>
      </w:pPr>
      <w:bookmarkStart w:id="136" w:name="_Toc5794"/>
      <w:bookmarkStart w:id="137" w:name="_Toc122541279"/>
      <w:bookmarkStart w:id="138" w:name="_Toc22809"/>
      <w:bookmarkStart w:id="139" w:name="_Toc122541786"/>
      <w:r>
        <w:rPr>
          <w:rFonts w:hint="eastAsia"/>
        </w:rPr>
        <w:t>4.产业发展导向</w:t>
      </w:r>
    </w:p>
    <w:p w14:paraId="6E551A6F">
      <w:pPr>
        <w:ind w:firstLine="640"/>
      </w:pPr>
      <w:r>
        <w:rPr>
          <w:rFonts w:hint="eastAsia"/>
        </w:rPr>
        <w:t>依据创业乡自身发展情况和资源情况，创业乡经济发展应以第一产业为重点，通过特色种植、育种培育的发展，提升创业乡的知名度和层次，带动乡村旅游、物流运输等第三产业，巩固农业的基础产业地位，同时也要大力发展第二产业，积极促进第三产业。</w:t>
      </w:r>
    </w:p>
    <w:p w14:paraId="51E40D08">
      <w:pPr>
        <w:ind w:firstLine="640"/>
      </w:pPr>
      <w:r>
        <w:rPr>
          <w:rFonts w:hint="eastAsia"/>
        </w:rPr>
        <w:t>第一产业发展导向：以水稻、糯米种植为特色的农业生产基地；重点发展观光农业和良种培育；以生猪为主，建设标准化、规模化特色养殖基地；</w:t>
      </w:r>
    </w:p>
    <w:p w14:paraId="34D4DDB9">
      <w:pPr>
        <w:ind w:firstLine="640"/>
      </w:pPr>
      <w:r>
        <w:rPr>
          <w:rFonts w:hint="eastAsia"/>
        </w:rPr>
        <w:t>第二产业发展导向：依托特色种植资源，加快农副产品加工、冷链物流储存和快速运输基地建设，将农副产品精深加工、冷储、转运作为重点产业来培育。</w:t>
      </w:r>
    </w:p>
    <w:p w14:paraId="654AD8AC">
      <w:pPr>
        <w:ind w:firstLine="640"/>
      </w:pPr>
      <w:r>
        <w:rPr>
          <w:rFonts w:hint="eastAsia"/>
        </w:rPr>
        <w:t>第三产业发展导向：充分利用创业乡的种植资源，大力发展以采摘旅游、观光旅游、商贸服务为主的现代商贸物流服务业、运输业的发展，实现第三产业跨越式发展。</w:t>
      </w:r>
    </w:p>
    <w:p w14:paraId="03672FDB">
      <w:pPr>
        <w:pStyle w:val="28"/>
        <w:numPr>
          <w:ilvl w:val="0"/>
          <w:numId w:val="1"/>
        </w:numPr>
        <w:spacing w:before="217" w:after="217"/>
        <w:rPr>
          <w:lang w:val="zh-CN"/>
        </w:rPr>
      </w:pPr>
      <w:r>
        <w:rPr>
          <w:rFonts w:hint="eastAsia"/>
          <w:lang w:val="zh-CN"/>
        </w:rPr>
        <w:t xml:space="preserve"> 地上地下空间协同</w:t>
      </w:r>
    </w:p>
    <w:p w14:paraId="28A39138">
      <w:pPr>
        <w:ind w:firstLine="640"/>
        <w:sectPr>
          <w:headerReference r:id="rId13" w:type="default"/>
          <w:footerReference r:id="rId14" w:type="default"/>
          <w:pgSz w:w="11906" w:h="16838"/>
          <w:pgMar w:top="1440" w:right="1797" w:bottom="1440" w:left="1797" w:header="851" w:footer="850" w:gutter="0"/>
          <w:pgNumType w:start="1"/>
          <w:cols w:space="720" w:num="1"/>
          <w:docGrid w:type="lines" w:linePitch="435" w:charSpace="0"/>
        </w:sectPr>
      </w:pPr>
      <w:r>
        <w:rPr>
          <w:rFonts w:hint="eastAsia"/>
        </w:rPr>
        <w:t>统筹地上地下空间资源保护开发及管理体系，统筹各类市政、人防、公服设施，矿产资源勘查开采与生态保护红线及永久基本农田等控制线的关系，完善各类地下设施的档案管理，促进地下空间资源综合开发利用。</w:t>
      </w:r>
    </w:p>
    <w:bookmarkEnd w:id="136"/>
    <w:bookmarkEnd w:id="137"/>
    <w:bookmarkEnd w:id="138"/>
    <w:bookmarkEnd w:id="139"/>
    <w:p w14:paraId="2606CEB6">
      <w:pPr>
        <w:pStyle w:val="26"/>
        <w:numPr>
          <w:ilvl w:val="0"/>
          <w:numId w:val="2"/>
        </w:numPr>
        <w:spacing w:before="217" w:after="217"/>
      </w:pPr>
      <w:bookmarkStart w:id="140" w:name="_Toc122541294"/>
      <w:bookmarkStart w:id="141" w:name="_Toc31374"/>
      <w:bookmarkStart w:id="142" w:name="_Toc122541801"/>
      <w:r>
        <w:rPr>
          <w:rFonts w:hint="eastAsia"/>
        </w:rPr>
        <w:t xml:space="preserve"> </w:t>
      </w:r>
      <w:bookmarkStart w:id="143" w:name="_Toc19514"/>
      <w:bookmarkStart w:id="144" w:name="_Toc18058"/>
      <w:r>
        <w:rPr>
          <w:rFonts w:hint="eastAsia"/>
        </w:rPr>
        <w:t>乡政府驻地用地布局</w:t>
      </w:r>
      <w:bookmarkEnd w:id="143"/>
      <w:bookmarkEnd w:id="144"/>
    </w:p>
    <w:p w14:paraId="6E34ECE3">
      <w:pPr>
        <w:pStyle w:val="27"/>
        <w:numPr>
          <w:ilvl w:val="0"/>
          <w:numId w:val="6"/>
        </w:numPr>
        <w:spacing w:before="217" w:after="217"/>
      </w:pPr>
      <w:r>
        <w:rPr>
          <w:rFonts w:hint="eastAsia"/>
        </w:rPr>
        <w:t xml:space="preserve"> </w:t>
      </w:r>
      <w:bookmarkStart w:id="145" w:name="_Toc6039"/>
      <w:bookmarkStart w:id="146" w:name="_Toc25529"/>
      <w:r>
        <w:rPr>
          <w:rFonts w:hint="eastAsia"/>
        </w:rPr>
        <w:t>用地结构和布局</w:t>
      </w:r>
      <w:bookmarkEnd w:id="145"/>
      <w:bookmarkEnd w:id="146"/>
    </w:p>
    <w:p w14:paraId="7F70B952">
      <w:pPr>
        <w:pStyle w:val="28"/>
        <w:numPr>
          <w:ilvl w:val="0"/>
          <w:numId w:val="1"/>
        </w:numPr>
        <w:spacing w:before="217" w:after="217"/>
      </w:pPr>
      <w:r>
        <w:rPr>
          <w:rFonts w:hint="eastAsia"/>
        </w:rPr>
        <w:t xml:space="preserve"> 发展方向</w:t>
      </w:r>
    </w:p>
    <w:p w14:paraId="22827E8B">
      <w:pPr>
        <w:ind w:firstLine="640"/>
      </w:pPr>
      <w:r>
        <w:rPr>
          <w:rFonts w:hint="eastAsia"/>
        </w:rPr>
        <w:t>综合分析创业乡发展形态的演变具有明显沿主要对外交通轴线向外延伸的发展趋势。现状乡政府驻地西部区域用地为以整合现状建设用地结构为主，以现状建成区为基础，整合闲置用地，本次规划主要向东部发展。</w:t>
      </w:r>
    </w:p>
    <w:p w14:paraId="583D890E">
      <w:pPr>
        <w:pStyle w:val="27"/>
        <w:numPr>
          <w:ilvl w:val="0"/>
          <w:numId w:val="6"/>
        </w:numPr>
        <w:spacing w:before="217" w:after="217"/>
      </w:pPr>
      <w:r>
        <w:rPr>
          <w:rFonts w:hint="eastAsia"/>
        </w:rPr>
        <w:t xml:space="preserve"> </w:t>
      </w:r>
      <w:bookmarkStart w:id="147" w:name="_Toc18793"/>
      <w:bookmarkStart w:id="148" w:name="_Toc32329"/>
      <w:r>
        <w:rPr>
          <w:rFonts w:hint="eastAsia"/>
        </w:rPr>
        <w:t>居住空间布局</w:t>
      </w:r>
      <w:bookmarkEnd w:id="147"/>
      <w:bookmarkEnd w:id="148"/>
    </w:p>
    <w:p w14:paraId="4BBFCC61">
      <w:pPr>
        <w:pStyle w:val="28"/>
        <w:numPr>
          <w:ilvl w:val="0"/>
          <w:numId w:val="1"/>
        </w:numPr>
        <w:spacing w:before="217" w:after="217"/>
      </w:pPr>
      <w:r>
        <w:rPr>
          <w:rFonts w:hint="eastAsia"/>
        </w:rPr>
        <w:t xml:space="preserve"> 居住用地保障</w:t>
      </w:r>
    </w:p>
    <w:p w14:paraId="4E0FDB1B">
      <w:pPr>
        <w:ind w:firstLine="640"/>
      </w:pPr>
      <w:r>
        <w:rPr>
          <w:rFonts w:hint="eastAsia"/>
        </w:rPr>
        <w:t>加强路网建设，打通外循环，连通内循环，打通断头路，提升交通综合承载能力。完善“三供一业”基础设施，推进供热设施改造、完善供水、供电基础设施，引入大物业管理模式。完善公共服务设施。合理布局汽车充电桩、自助停车场、丰巢等智能投递系统设施。</w:t>
      </w:r>
    </w:p>
    <w:p w14:paraId="51558295">
      <w:pPr>
        <w:ind w:firstLine="640"/>
      </w:pPr>
      <w:r>
        <w:rPr>
          <w:rFonts w:hint="eastAsia"/>
        </w:rPr>
        <w:t>全面提升住房品质和服务。提高住宅小区规划设计水平；提升住宅工程建造品质；全面推进老旧小区改造；加强既有住房结构安全使用管理；推动住房绿色发展。</w:t>
      </w:r>
    </w:p>
    <w:p w14:paraId="023E7890">
      <w:pPr>
        <w:pStyle w:val="27"/>
        <w:keepNext/>
        <w:numPr>
          <w:ilvl w:val="0"/>
          <w:numId w:val="6"/>
        </w:numPr>
        <w:spacing w:before="217" w:after="217"/>
      </w:pPr>
      <w:r>
        <w:rPr>
          <w:rFonts w:hint="eastAsia"/>
        </w:rPr>
        <w:t xml:space="preserve"> </w:t>
      </w:r>
      <w:bookmarkStart w:id="149" w:name="_Toc6083"/>
      <w:bookmarkStart w:id="150" w:name="_Toc16556"/>
      <w:r>
        <w:rPr>
          <w:rFonts w:hint="eastAsia"/>
        </w:rPr>
        <w:t>公共服务空间布局</w:t>
      </w:r>
      <w:bookmarkEnd w:id="149"/>
      <w:bookmarkEnd w:id="150"/>
    </w:p>
    <w:p w14:paraId="31A3CEDB">
      <w:pPr>
        <w:pStyle w:val="28"/>
        <w:numPr>
          <w:ilvl w:val="0"/>
          <w:numId w:val="1"/>
        </w:numPr>
        <w:spacing w:before="217" w:after="217"/>
      </w:pPr>
      <w:r>
        <w:rPr>
          <w:rFonts w:hint="eastAsia"/>
        </w:rPr>
        <w:t xml:space="preserve"> 公共服务中心规划</w:t>
      </w:r>
    </w:p>
    <w:p w14:paraId="74437748">
      <w:pPr>
        <w:ind w:firstLine="640"/>
      </w:pPr>
      <w:r>
        <w:rPr>
          <w:rFonts w:hint="eastAsia"/>
        </w:rPr>
        <w:t>按照乡镇层级社区生活圈服务要素配置各类公共服务设施，满足居民各项基本的公共服务设施需求。结合居住组团、公园绿地及广场合理布局公共管理与公共设施用地，包括机关团体、文化体育、教育科研、医疗卫生设施。规划期末，乡政府驻地形成一个10分钟乡镇级社区生活圈。</w:t>
      </w:r>
    </w:p>
    <w:p w14:paraId="37C346C1">
      <w:pPr>
        <w:pStyle w:val="27"/>
        <w:numPr>
          <w:ilvl w:val="0"/>
          <w:numId w:val="6"/>
        </w:numPr>
        <w:spacing w:before="217" w:after="217"/>
      </w:pPr>
      <w:r>
        <w:rPr>
          <w:rFonts w:hint="eastAsia"/>
        </w:rPr>
        <w:t xml:space="preserve"> </w:t>
      </w:r>
      <w:bookmarkStart w:id="151" w:name="_Toc21285"/>
      <w:bookmarkStart w:id="152" w:name="_Toc18941"/>
      <w:r>
        <w:rPr>
          <w:rFonts w:hint="eastAsia"/>
        </w:rPr>
        <w:t>绿地与开敞空间布局</w:t>
      </w:r>
      <w:bookmarkEnd w:id="151"/>
      <w:bookmarkEnd w:id="152"/>
    </w:p>
    <w:p w14:paraId="597E215E">
      <w:pPr>
        <w:pStyle w:val="28"/>
        <w:numPr>
          <w:ilvl w:val="0"/>
          <w:numId w:val="1"/>
        </w:numPr>
        <w:spacing w:before="217" w:after="217"/>
      </w:pPr>
      <w:r>
        <w:rPr>
          <w:rFonts w:hint="eastAsia"/>
        </w:rPr>
        <w:t xml:space="preserve"> 绿地开敞空间用地布局</w:t>
      </w:r>
    </w:p>
    <w:p w14:paraId="56D30962">
      <w:pPr>
        <w:ind w:firstLine="640"/>
      </w:pPr>
      <w:r>
        <w:rPr>
          <w:rFonts w:hint="eastAsia"/>
        </w:rPr>
        <w:t>明确公园绿地、广场用地、水面等开敞空间的控制范围和管控要求，确定公园绿地与广场用地的总量、人均面积和覆盖率指标。网络化布局社区公园等开敞空间，构建尺度宜人、富有活力的公共空间体系。鼓励各类公共空间与公共设施、基础设施的共用共享，提高公共空间利用效率。</w:t>
      </w:r>
    </w:p>
    <w:p w14:paraId="791BE690">
      <w:pPr>
        <w:ind w:firstLine="640"/>
      </w:pPr>
      <w:r>
        <w:rPr>
          <w:rFonts w:hint="eastAsia"/>
        </w:rPr>
        <w:t>规划新建公园绿地和广场5处。道路两侧设置绿地与开敞空间，同时加宽道路红线，提高道路绿化率，美化主要道路和塑造优美宜人的居住环境。</w:t>
      </w:r>
    </w:p>
    <w:p w14:paraId="63F34163">
      <w:pPr>
        <w:pStyle w:val="27"/>
        <w:numPr>
          <w:ilvl w:val="0"/>
          <w:numId w:val="6"/>
        </w:numPr>
        <w:spacing w:before="217" w:after="217"/>
      </w:pPr>
      <w:r>
        <w:rPr>
          <w:rFonts w:hint="eastAsia"/>
        </w:rPr>
        <w:t xml:space="preserve"> </w:t>
      </w:r>
      <w:bookmarkStart w:id="153" w:name="_Toc31320"/>
      <w:bookmarkStart w:id="154" w:name="_Toc26763"/>
      <w:r>
        <w:rPr>
          <w:rFonts w:hint="eastAsia"/>
        </w:rPr>
        <w:t>“四线”管控</w:t>
      </w:r>
      <w:bookmarkEnd w:id="153"/>
      <w:bookmarkEnd w:id="154"/>
    </w:p>
    <w:p w14:paraId="06206D1A">
      <w:pPr>
        <w:pStyle w:val="28"/>
        <w:numPr>
          <w:ilvl w:val="0"/>
          <w:numId w:val="1"/>
        </w:numPr>
        <w:spacing w:before="217" w:after="217"/>
      </w:pPr>
      <w:r>
        <w:rPr>
          <w:rFonts w:hint="eastAsia"/>
        </w:rPr>
        <w:t xml:space="preserve"> 黄线管控</w:t>
      </w:r>
    </w:p>
    <w:p w14:paraId="7A23377D">
      <w:pPr>
        <w:ind w:firstLine="640"/>
        <w:rPr>
          <w:u w:val="single"/>
        </w:rPr>
      </w:pPr>
      <w:r>
        <w:rPr>
          <w:rFonts w:hint="eastAsia"/>
          <w:u w:val="single"/>
        </w:rPr>
        <w:t>黄线一经批准，不得擅自调整。需要调整黄线的，应当组织专家论证，依法调整镇总体规划，并相应调整黄线。</w:t>
      </w:r>
    </w:p>
    <w:p w14:paraId="3414B304">
      <w:pPr>
        <w:pStyle w:val="28"/>
        <w:numPr>
          <w:ilvl w:val="0"/>
          <w:numId w:val="1"/>
        </w:numPr>
        <w:spacing w:before="217" w:after="217"/>
      </w:pPr>
      <w:r>
        <w:rPr>
          <w:rFonts w:hint="eastAsia"/>
        </w:rPr>
        <w:t xml:space="preserve"> 绿线管控</w:t>
      </w:r>
    </w:p>
    <w:p w14:paraId="27DBDC44">
      <w:pPr>
        <w:ind w:firstLine="640"/>
        <w:rPr>
          <w:u w:val="single"/>
        </w:rPr>
      </w:pPr>
      <w:r>
        <w:rPr>
          <w:rFonts w:hint="eastAsia"/>
          <w:u w:val="single"/>
        </w:rPr>
        <w:t>绿线内的用地，不得改作他用，不得违反法律法规、强制性标准以及批准的规划进行开发建设，因建设或者其他特殊情况，需要临时占用绿线内用地的，必须依法办理相关审批手续。</w:t>
      </w:r>
    </w:p>
    <w:p w14:paraId="39CE9C36">
      <w:pPr>
        <w:ind w:firstLine="640"/>
      </w:pPr>
    </w:p>
    <w:p w14:paraId="464BA912">
      <w:pPr>
        <w:ind w:firstLine="640"/>
        <w:sectPr>
          <w:pgSz w:w="11906" w:h="16838"/>
          <w:pgMar w:top="1440" w:right="1797" w:bottom="1440" w:left="1797" w:header="851" w:footer="850" w:gutter="0"/>
          <w:cols w:space="720" w:num="1"/>
          <w:docGrid w:type="lines" w:linePitch="435" w:charSpace="0"/>
        </w:sectPr>
      </w:pPr>
    </w:p>
    <w:p w14:paraId="5FA1EF21">
      <w:pPr>
        <w:pStyle w:val="26"/>
        <w:numPr>
          <w:ilvl w:val="0"/>
          <w:numId w:val="2"/>
        </w:numPr>
        <w:spacing w:before="217" w:after="217"/>
      </w:pPr>
      <w:bookmarkStart w:id="155" w:name="_Toc142552521"/>
      <w:bookmarkStart w:id="156" w:name="_Toc5687"/>
      <w:r>
        <w:rPr>
          <w:rFonts w:hint="eastAsia"/>
        </w:rPr>
        <w:t xml:space="preserve"> </w:t>
      </w:r>
      <w:bookmarkEnd w:id="140"/>
      <w:bookmarkEnd w:id="141"/>
      <w:bookmarkEnd w:id="142"/>
      <w:bookmarkEnd w:id="155"/>
      <w:bookmarkStart w:id="157" w:name="_Toc6542"/>
      <w:r>
        <w:rPr>
          <w:rFonts w:hint="eastAsia"/>
        </w:rPr>
        <w:t>基础保障体系</w:t>
      </w:r>
      <w:bookmarkEnd w:id="156"/>
      <w:bookmarkEnd w:id="157"/>
    </w:p>
    <w:p w14:paraId="625FABCA">
      <w:pPr>
        <w:pStyle w:val="27"/>
        <w:numPr>
          <w:ilvl w:val="0"/>
          <w:numId w:val="7"/>
        </w:numPr>
        <w:spacing w:before="217" w:after="217"/>
      </w:pPr>
      <w:bookmarkStart w:id="158" w:name="_Toc122541802"/>
      <w:bookmarkStart w:id="159" w:name="_Toc23585"/>
      <w:bookmarkStart w:id="160" w:name="_Toc122541295"/>
      <w:r>
        <w:rPr>
          <w:rFonts w:hint="eastAsia"/>
        </w:rPr>
        <w:t xml:space="preserve"> </w:t>
      </w:r>
      <w:bookmarkStart w:id="161" w:name="_Toc142552523"/>
      <w:bookmarkStart w:id="162" w:name="_Toc25595"/>
      <w:bookmarkStart w:id="163" w:name="_Toc27632"/>
      <w:r>
        <w:rPr>
          <w:rFonts w:hint="eastAsia"/>
        </w:rPr>
        <w:t>公共服务设施</w:t>
      </w:r>
      <w:bookmarkEnd w:id="161"/>
      <w:bookmarkEnd w:id="162"/>
      <w:bookmarkEnd w:id="163"/>
    </w:p>
    <w:p w14:paraId="0B4E4651">
      <w:pPr>
        <w:ind w:firstLine="640"/>
      </w:pPr>
      <w:r>
        <w:rPr>
          <w:rFonts w:hint="eastAsia"/>
        </w:rPr>
        <w:t>结合创业乡发展前景，建设行政、文化、商业金融为一体的现代化小镇，建立配套完善的公建服务系统，建设规模考虑乡政府驻地对其外围区域的服务辐射。强化各村屯居民点文化、娱乐、休闲设施的建设，结合开放空间设置，丰富居民生活，提高居民生活品位。加强教育、体育设施，医疗保健设施的建设和管理，合理布局，方便居民。</w:t>
      </w:r>
    </w:p>
    <w:p w14:paraId="54EC5469">
      <w:pPr>
        <w:ind w:firstLine="640"/>
      </w:pPr>
      <w:r>
        <w:t>加大社区卫生服务中心、文化活动场所、快递便民服务网点、连锁便民店等设施。鼓励建设养老机构、老人日托中心、居家养老照料中心等，提升基本养老服务水平。提高</w:t>
      </w:r>
      <w:r>
        <w:rPr>
          <w:rFonts w:hint="eastAsia"/>
        </w:rPr>
        <w:t>居民</w:t>
      </w:r>
      <w:r>
        <w:t>科技文化素质，加快培育新型职业农民，推动人才振兴。</w:t>
      </w:r>
    </w:p>
    <w:p w14:paraId="096F28D3">
      <w:pPr>
        <w:ind w:firstLine="640"/>
      </w:pPr>
      <w:r>
        <w:rPr>
          <w:rFonts w:hint="eastAsia"/>
        </w:rPr>
        <w:t>规划期末，乡政府驻地形成一个10分钟乡镇级社区生活圈。</w:t>
      </w:r>
    </w:p>
    <w:p w14:paraId="087DD09E">
      <w:pPr>
        <w:pStyle w:val="28"/>
        <w:numPr>
          <w:ilvl w:val="0"/>
          <w:numId w:val="1"/>
        </w:numPr>
        <w:spacing w:before="217" w:after="217"/>
      </w:pPr>
      <w:bookmarkStart w:id="164" w:name="_Toc122541807"/>
      <w:bookmarkStart w:id="165" w:name="_Toc122542151"/>
      <w:bookmarkStart w:id="166" w:name="_Toc122615912"/>
      <w:bookmarkStart w:id="167" w:name="_Toc11223"/>
      <w:bookmarkStart w:id="168" w:name="_Toc24906"/>
      <w:bookmarkStart w:id="169" w:name="_Toc122541300"/>
      <w:r>
        <w:rPr>
          <w:rFonts w:hint="eastAsia"/>
        </w:rPr>
        <w:t xml:space="preserve"> 教育设施</w:t>
      </w:r>
      <w:bookmarkEnd w:id="164"/>
      <w:bookmarkEnd w:id="165"/>
      <w:bookmarkEnd w:id="166"/>
      <w:bookmarkEnd w:id="167"/>
      <w:bookmarkEnd w:id="168"/>
      <w:bookmarkEnd w:id="169"/>
    </w:p>
    <w:p w14:paraId="5DB8E615">
      <w:pPr>
        <w:ind w:firstLine="640"/>
      </w:pPr>
      <w:r>
        <w:rPr>
          <w:rFonts w:hint="eastAsia"/>
        </w:rPr>
        <w:t>教育设施规划按照相对集中、扩大规模、方便入学、改善条件的原则。加强基础教育，积极推行寄宿制学校建设。改善办学条件，提高办学水平，提高高中入学率，提高九年义务教育质量，全面推行义务教育的公平化。</w:t>
      </w:r>
    </w:p>
    <w:p w14:paraId="195FA5AC">
      <w:pPr>
        <w:ind w:firstLine="640"/>
      </w:pPr>
      <w:r>
        <w:rPr>
          <w:rFonts w:hint="eastAsia"/>
        </w:rPr>
        <w:t>规划保留现有创业乡中心学校，提高规模等级。规划优化配置学校资源，使学校管理规模化、科学化，提高总体办学水平。发展学前幼儿教育，吸引民间资本和力量，参与学前幼儿教育，方便适龄儿童入园，使幼儿入园（班）比例达到95%以上。鼓励社会资本建设民办幼儿园。</w:t>
      </w:r>
    </w:p>
    <w:p w14:paraId="05637C7F">
      <w:pPr>
        <w:pStyle w:val="28"/>
        <w:numPr>
          <w:ilvl w:val="0"/>
          <w:numId w:val="1"/>
        </w:numPr>
        <w:spacing w:before="217" w:after="217"/>
      </w:pPr>
      <w:bookmarkStart w:id="170" w:name="_Toc122542152"/>
      <w:bookmarkStart w:id="171" w:name="_Toc122541808"/>
      <w:bookmarkStart w:id="172" w:name="_Toc122615913"/>
      <w:bookmarkStart w:id="173" w:name="_Toc25131"/>
      <w:bookmarkStart w:id="174" w:name="_Toc122541301"/>
      <w:bookmarkStart w:id="175" w:name="_Toc29288"/>
      <w:r>
        <w:rPr>
          <w:rFonts w:hint="eastAsia"/>
        </w:rPr>
        <w:t xml:space="preserve"> 文体设施</w:t>
      </w:r>
      <w:bookmarkEnd w:id="170"/>
      <w:bookmarkEnd w:id="171"/>
      <w:bookmarkEnd w:id="172"/>
      <w:bookmarkEnd w:id="173"/>
      <w:bookmarkEnd w:id="174"/>
      <w:bookmarkEnd w:id="175"/>
    </w:p>
    <w:p w14:paraId="54ABD2C7">
      <w:pPr>
        <w:ind w:firstLine="640"/>
      </w:pPr>
      <w:r>
        <w:rPr>
          <w:rFonts w:hint="eastAsia"/>
        </w:rPr>
        <w:t>至2035年，规划以创业乡为依托，以中心村和一般村为重点建设完善文化服务设施，形成公共文化设施服务网络，在乡政府驻地新建文化站、图书馆、影剧院、文化活动中心等文化设施，设施可部分合建，完善城镇功能，丰富居民生活，提升城镇品质。规划乡政府驻地配建文化活动站，中心村（一般村）配建文化活动室。</w:t>
      </w:r>
    </w:p>
    <w:p w14:paraId="5EC1F070">
      <w:pPr>
        <w:ind w:firstLine="640"/>
      </w:pPr>
      <w:r>
        <w:rPr>
          <w:rFonts w:hint="eastAsia"/>
        </w:rPr>
        <w:t>至2035年，规划在乡政府驻地所在地建设育健身场所。各村庄建设小型标准化的体育运动场地，结合绿地、广场建设，满足村民的体育活动的需求。</w:t>
      </w:r>
    </w:p>
    <w:p w14:paraId="5131D1DA">
      <w:pPr>
        <w:pStyle w:val="28"/>
        <w:numPr>
          <w:ilvl w:val="0"/>
          <w:numId w:val="1"/>
        </w:numPr>
        <w:spacing w:before="217" w:after="217"/>
      </w:pPr>
      <w:bookmarkStart w:id="176" w:name="_Toc122541302"/>
      <w:bookmarkStart w:id="177" w:name="_Toc18922"/>
      <w:bookmarkStart w:id="178" w:name="_Toc12912"/>
      <w:bookmarkStart w:id="179" w:name="_Toc122541809"/>
      <w:bookmarkStart w:id="180" w:name="_Toc122542153"/>
      <w:bookmarkStart w:id="181" w:name="_Toc122615914"/>
      <w:r>
        <w:rPr>
          <w:rFonts w:hint="eastAsia"/>
        </w:rPr>
        <w:t xml:space="preserve"> 医疗卫生设施</w:t>
      </w:r>
      <w:bookmarkEnd w:id="176"/>
      <w:bookmarkEnd w:id="177"/>
      <w:bookmarkEnd w:id="178"/>
      <w:bookmarkEnd w:id="179"/>
      <w:bookmarkEnd w:id="180"/>
      <w:bookmarkEnd w:id="181"/>
    </w:p>
    <w:p w14:paraId="7F4C77E0">
      <w:pPr>
        <w:ind w:firstLine="640"/>
      </w:pPr>
      <w:r>
        <w:rPr>
          <w:rFonts w:hint="eastAsia"/>
        </w:rPr>
        <w:t>规划以创业乡卫生院为中心，以各村卫生室为支撑，构建乡域医疗卫生体系。完善现有医院医疗设备，达到综合医院标准，并以其为中心，配套相应社区医疗设施为支撑，构建乡域医疗卫生体系。</w:t>
      </w:r>
    </w:p>
    <w:p w14:paraId="339FCADB">
      <w:pPr>
        <w:pStyle w:val="28"/>
        <w:numPr>
          <w:ilvl w:val="0"/>
          <w:numId w:val="1"/>
        </w:numPr>
        <w:spacing w:before="217" w:after="217"/>
      </w:pPr>
      <w:r>
        <w:rPr>
          <w:rFonts w:hint="eastAsia"/>
        </w:rPr>
        <w:t xml:space="preserve"> 社会福利设施</w:t>
      </w:r>
    </w:p>
    <w:p w14:paraId="1435FE6A">
      <w:pPr>
        <w:ind w:firstLine="640"/>
      </w:pPr>
      <w:r>
        <w:rPr>
          <w:rFonts w:hint="eastAsia"/>
        </w:rPr>
        <w:t>规划乡政府驻地布置一处社会福利设施用地，为老年人提供居住、康复、保健等服务。村庄养老设施结合幸福大院共同建设。大力推进家庭养老、互助养老等社区养老模式。</w:t>
      </w:r>
    </w:p>
    <w:p w14:paraId="766DED97">
      <w:pPr>
        <w:pStyle w:val="27"/>
        <w:numPr>
          <w:ilvl w:val="0"/>
          <w:numId w:val="7"/>
        </w:numPr>
        <w:spacing w:before="217" w:after="217"/>
      </w:pPr>
      <w:r>
        <w:rPr>
          <w:rFonts w:hint="eastAsia"/>
        </w:rPr>
        <w:t xml:space="preserve"> </w:t>
      </w:r>
      <w:bookmarkStart w:id="182" w:name="_Toc142552522"/>
      <w:bookmarkStart w:id="183" w:name="_Toc12834"/>
      <w:bookmarkStart w:id="184" w:name="_Toc25143"/>
      <w:r>
        <w:rPr>
          <w:rFonts w:hint="eastAsia"/>
        </w:rPr>
        <w:t>综合交通</w:t>
      </w:r>
      <w:bookmarkEnd w:id="158"/>
      <w:bookmarkEnd w:id="159"/>
      <w:bookmarkEnd w:id="160"/>
      <w:bookmarkEnd w:id="182"/>
      <w:bookmarkEnd w:id="183"/>
      <w:r>
        <w:rPr>
          <w:rFonts w:hint="eastAsia"/>
        </w:rPr>
        <w:t>设施</w:t>
      </w:r>
      <w:bookmarkEnd w:id="184"/>
    </w:p>
    <w:p w14:paraId="7240A5D3">
      <w:pPr>
        <w:pStyle w:val="28"/>
        <w:numPr>
          <w:ilvl w:val="0"/>
          <w:numId w:val="1"/>
        </w:numPr>
        <w:spacing w:before="217" w:after="217"/>
      </w:pPr>
      <w:bookmarkStart w:id="185" w:name="_Toc28258"/>
      <w:bookmarkStart w:id="186" w:name="_Toc122542147"/>
      <w:bookmarkStart w:id="187" w:name="_Hlk141361759"/>
      <w:bookmarkStart w:id="188" w:name="_Toc122615908"/>
      <w:bookmarkStart w:id="189" w:name="_Toc122541803"/>
      <w:bookmarkStart w:id="190" w:name="_Toc122541296"/>
      <w:bookmarkStart w:id="191" w:name="_Hlk141363363"/>
      <w:r>
        <w:rPr>
          <w:rFonts w:hint="eastAsia"/>
        </w:rPr>
        <w:t xml:space="preserve"> 发展目标和策略</w:t>
      </w:r>
    </w:p>
    <w:p w14:paraId="3526861D">
      <w:pPr>
        <w:ind w:firstLine="640"/>
      </w:pPr>
      <w:r>
        <w:rPr>
          <w:rFonts w:hint="eastAsia"/>
        </w:rPr>
        <w:t>1.交通发展目标</w:t>
      </w:r>
    </w:p>
    <w:p w14:paraId="21F3E71F">
      <w:pPr>
        <w:ind w:firstLine="640"/>
      </w:pPr>
      <w:r>
        <w:rPr>
          <w:rFonts w:hint="eastAsia"/>
        </w:rPr>
        <w:t>创业乡加强京抚公路G102、乡道、村村通公路等交通基础设施的建设和改造，‌提高全乡的交通通达性和便捷性。合理设置公交站点、‌完善站点设施、‌加强非机动车与步行交通规划等措施，‌提高公共交通服务的质量和效率。‌通过改善交通条件，‌促进创业乡与佳木斯、中心城区及周边乡镇的经济联系，‌吸引投资，‌促进产业发展。</w:t>
      </w:r>
    </w:p>
    <w:p w14:paraId="24F648E9">
      <w:pPr>
        <w:ind w:firstLine="640"/>
      </w:pPr>
      <w:r>
        <w:rPr>
          <w:rFonts w:hint="eastAsia"/>
        </w:rPr>
        <w:t>2.交通发展策略</w:t>
      </w:r>
    </w:p>
    <w:p w14:paraId="1757D269">
      <w:pPr>
        <w:ind w:firstLine="640"/>
      </w:pPr>
      <w:r>
        <w:rPr>
          <w:rFonts w:hint="eastAsia"/>
        </w:rPr>
        <w:t>加强全乡道路、‌桥梁的建设与维护，‌确保交通网络的畅通与安全。提高客运和货运的服务质量，‌包括增加班次频率、‌提升车辆舒适度、‌减少等待时间等，‌以满足全乡居民的出行需求。‌同时，‌推动快递服务进乡镇，‌提高物流效率，‌促进商品流通。‌‌‌</w:t>
      </w:r>
    </w:p>
    <w:p w14:paraId="1F2FCFBA">
      <w:pPr>
        <w:pStyle w:val="28"/>
        <w:keepNext/>
        <w:numPr>
          <w:ilvl w:val="0"/>
          <w:numId w:val="1"/>
        </w:numPr>
        <w:spacing w:before="217" w:after="217"/>
      </w:pPr>
      <w:r>
        <w:rPr>
          <w:rFonts w:hint="eastAsia"/>
        </w:rPr>
        <w:t xml:space="preserve"> </w:t>
      </w:r>
      <w:bookmarkStart w:id="192" w:name="_Hlk141361808"/>
      <w:r>
        <w:rPr>
          <w:rFonts w:hint="eastAsia"/>
        </w:rPr>
        <w:t>乡域</w:t>
      </w:r>
      <w:bookmarkEnd w:id="185"/>
      <w:bookmarkEnd w:id="186"/>
      <w:bookmarkEnd w:id="187"/>
      <w:bookmarkEnd w:id="188"/>
      <w:bookmarkEnd w:id="189"/>
      <w:bookmarkEnd w:id="190"/>
      <w:bookmarkEnd w:id="192"/>
      <w:r>
        <w:rPr>
          <w:rFonts w:hint="eastAsia"/>
        </w:rPr>
        <w:t>综合交通体系</w:t>
      </w:r>
    </w:p>
    <w:bookmarkEnd w:id="191"/>
    <w:p w14:paraId="0840D449">
      <w:pPr>
        <w:keepNext/>
        <w:ind w:firstLine="640"/>
      </w:pPr>
      <w:bookmarkStart w:id="193" w:name="_Hlk141361772"/>
      <w:bookmarkStart w:id="194" w:name="_Hlk141363372"/>
      <w:r>
        <w:rPr>
          <w:rFonts w:hint="eastAsia"/>
        </w:rPr>
        <w:t>1.道路交通结构</w:t>
      </w:r>
    </w:p>
    <w:p w14:paraId="3A1CB376">
      <w:pPr>
        <w:ind w:firstLine="640"/>
      </w:pPr>
      <w:r>
        <w:rPr>
          <w:rFonts w:hint="eastAsia"/>
        </w:rPr>
        <w:t>创业乡域形成“乡域</w:t>
      </w:r>
      <w:r>
        <w:t>道路交通</w:t>
      </w:r>
      <w:r>
        <w:rPr>
          <w:rFonts w:hint="eastAsia"/>
        </w:rPr>
        <w:t>－</w:t>
      </w:r>
      <w:r>
        <w:t>居民点建成区道路交通</w:t>
      </w:r>
      <w:r>
        <w:rPr>
          <w:rFonts w:hint="eastAsia"/>
        </w:rPr>
        <w:t>”的二级道路交通结构，通过各级道路的建设，形成结构明晰的道路系统。</w:t>
      </w:r>
      <w:bookmarkEnd w:id="193"/>
    </w:p>
    <w:bookmarkEnd w:id="194"/>
    <w:p w14:paraId="7A1D7F85">
      <w:pPr>
        <w:ind w:firstLine="640"/>
      </w:pPr>
      <w:bookmarkStart w:id="195" w:name="_Hlk141363389"/>
      <w:r>
        <w:rPr>
          <w:rFonts w:hint="eastAsia"/>
        </w:rPr>
        <w:t>2.乡域交通网络</w:t>
      </w:r>
    </w:p>
    <w:bookmarkEnd w:id="195"/>
    <w:p w14:paraId="58B2005C">
      <w:pPr>
        <w:ind w:firstLine="640"/>
      </w:pPr>
      <w:bookmarkStart w:id="196" w:name="_Hlk141361861"/>
      <w:r>
        <w:rPr>
          <w:rFonts w:hint="eastAsia"/>
        </w:rPr>
        <w:t>乡域</w:t>
      </w:r>
      <w:r>
        <w:t>道路交通规划包括</w:t>
      </w:r>
      <w:r>
        <w:rPr>
          <w:rFonts w:hint="eastAsia"/>
        </w:rPr>
        <w:t>乡域</w:t>
      </w:r>
      <w:r>
        <w:t>过境</w:t>
      </w:r>
      <w:r>
        <w:rPr>
          <w:rFonts w:hint="eastAsia"/>
        </w:rPr>
        <w:t>交通、乡村公路、村屯道路</w:t>
      </w:r>
      <w:r>
        <w:t>以及交通场站规划</w:t>
      </w:r>
      <w:r>
        <w:rPr>
          <w:rFonts w:hint="eastAsia"/>
        </w:rPr>
        <w:t>。</w:t>
      </w:r>
    </w:p>
    <w:bookmarkEnd w:id="196"/>
    <w:p w14:paraId="3FC4AAC1">
      <w:pPr>
        <w:ind w:firstLine="640"/>
      </w:pPr>
      <w:r>
        <w:rPr>
          <w:rFonts w:hint="eastAsia"/>
        </w:rPr>
        <w:t>（1）乡域过境公路</w:t>
      </w:r>
    </w:p>
    <w:p w14:paraId="76D78613">
      <w:pPr>
        <w:ind w:firstLine="640"/>
      </w:pPr>
      <w:r>
        <w:rPr>
          <w:rFonts w:hint="eastAsia"/>
        </w:rPr>
        <w:t>过境交通承担着创业乡的主要客货运交通及对外经济贸易的任务，创业乡规划过境交通主要为公路。现状公路主要为京抚公路G102。</w:t>
      </w:r>
    </w:p>
    <w:p w14:paraId="453F908C">
      <w:pPr>
        <w:ind w:firstLine="640"/>
      </w:pPr>
      <w:r>
        <w:rPr>
          <w:rFonts w:hint="eastAsia"/>
        </w:rPr>
        <w:t>（2）乡村公路</w:t>
      </w:r>
    </w:p>
    <w:p w14:paraId="32991843">
      <w:pPr>
        <w:ind w:firstLine="640"/>
      </w:pPr>
      <w:r>
        <w:rPr>
          <w:rFonts w:hint="eastAsia"/>
        </w:rPr>
        <w:t>乡村公路主要承载从乡政府驻地到各行政村的交通运输任务。</w:t>
      </w:r>
      <w:bookmarkStart w:id="197" w:name="_Hlk145426476"/>
      <w:r>
        <w:rPr>
          <w:rFonts w:hint="eastAsia"/>
        </w:rPr>
        <w:t>规划将着重建设公路路面质量和服务水平，提高公路技术等级。对乡域内跨河桥梁进行不间断的技术检查、维修和保养，对局部破损处实施快速修复，提高桥梁承载和通行能力。</w:t>
      </w:r>
      <w:bookmarkEnd w:id="197"/>
    </w:p>
    <w:p w14:paraId="36448E2B">
      <w:pPr>
        <w:pStyle w:val="39"/>
        <w:spacing w:line="360" w:lineRule="auto"/>
        <w:ind w:firstLine="640"/>
      </w:pPr>
      <w:r>
        <w:rPr>
          <w:rFonts w:hint="eastAsia"/>
        </w:rPr>
        <w:t>规划到2025年，对创苏公路—小堆峰村、创业—佳市农校农场、创业—苏家店、创业乡—堆峰里村、创业至苏家店公路建设项目、德庆村—创业进行改扩建。</w:t>
      </w:r>
    </w:p>
    <w:p w14:paraId="7F0EDA90">
      <w:pPr>
        <w:ind w:firstLine="640"/>
      </w:pPr>
      <w:r>
        <w:rPr>
          <w:rFonts w:hint="eastAsia"/>
        </w:rPr>
        <w:t>（3）村屯道路</w:t>
      </w:r>
    </w:p>
    <w:p w14:paraId="77E3C96F">
      <w:pPr>
        <w:ind w:firstLine="640"/>
      </w:pPr>
      <w:r>
        <w:rPr>
          <w:rFonts w:hint="eastAsia"/>
        </w:rPr>
        <w:t>村屯道路主要承担各行政村内各自然屯之间的交通联系作用。规划期内将开展通屯道路网建设，使得路网结构和通行能力能进一步增强，提高农村公路的通达深度。加大乡村公共基础设施改善力度。建设农村“四好公路”、重点推进升级改造通村公路、逐步推进村内主干路改造，持续推进农村危桥改造。</w:t>
      </w:r>
    </w:p>
    <w:p w14:paraId="78B3A2BA">
      <w:pPr>
        <w:ind w:firstLine="640"/>
      </w:pPr>
      <w:r>
        <w:rPr>
          <w:rFonts w:hint="eastAsia"/>
        </w:rPr>
        <w:t>（4）交通场站规划</w:t>
      </w:r>
    </w:p>
    <w:p w14:paraId="1E76C012">
      <w:pPr>
        <w:ind w:firstLine="640"/>
      </w:pPr>
      <w:bookmarkStart w:id="198" w:name="_Hlk141363504"/>
      <w:bookmarkStart w:id="199" w:name="_Hlk145426488"/>
      <w:bookmarkStart w:id="200" w:name="_Hlk141362014"/>
      <w:r>
        <w:rPr>
          <w:rFonts w:hint="eastAsia"/>
        </w:rPr>
        <w:t>规划创业乡改造维修农村客运综合服务站1处，建立公交线路，并配套建设公交站点。下辖各个村屯居民点在适宜位置各建一处公交停靠站，方便居民外出。</w:t>
      </w:r>
    </w:p>
    <w:p w14:paraId="4CB327D0">
      <w:pPr>
        <w:pStyle w:val="28"/>
        <w:numPr>
          <w:ilvl w:val="0"/>
          <w:numId w:val="1"/>
        </w:numPr>
        <w:spacing w:before="217" w:after="217"/>
      </w:pPr>
      <w:r>
        <w:rPr>
          <w:rFonts w:hint="eastAsia"/>
        </w:rPr>
        <w:t xml:space="preserve"> 公路两侧建筑控制区管控措施</w:t>
      </w:r>
    </w:p>
    <w:p w14:paraId="100B3606">
      <w:pPr>
        <w:pStyle w:val="10"/>
        <w:ind w:firstLine="640"/>
        <w:rPr>
          <w:lang w:eastAsia="zh-CN" w:bidi="ar-SA"/>
        </w:rPr>
      </w:pPr>
      <w:r>
        <w:rPr>
          <w:rFonts w:hint="eastAsia"/>
          <w:lang w:eastAsia="zh-CN" w:bidi="ar-SA"/>
        </w:rPr>
        <w:t>乡域内公路类型主要为国道和通村公路。</w:t>
      </w:r>
    </w:p>
    <w:p w14:paraId="19244765">
      <w:pPr>
        <w:pStyle w:val="10"/>
        <w:ind w:firstLine="640"/>
        <w:rPr>
          <w:lang w:eastAsia="zh-CN" w:bidi="ar-SA"/>
        </w:rPr>
      </w:pPr>
      <w:r>
        <w:rPr>
          <w:rFonts w:hint="eastAsia"/>
          <w:lang w:eastAsia="zh-CN" w:bidi="ar-SA"/>
        </w:rPr>
        <w:t>公路两侧建筑控制区域规定的公路边沟外缘，无边沟的与坡角外3.5米最小间距符合以下规定：</w:t>
      </w:r>
    </w:p>
    <w:p w14:paraId="1FD39E8C">
      <w:pPr>
        <w:pStyle w:val="10"/>
        <w:ind w:firstLine="640"/>
        <w:rPr>
          <w:u w:val="single"/>
          <w:lang w:eastAsia="zh-CN" w:bidi="ar-SA"/>
        </w:rPr>
      </w:pPr>
      <w:r>
        <w:rPr>
          <w:rFonts w:hint="eastAsia"/>
          <w:u w:val="single"/>
          <w:lang w:eastAsia="zh-CN" w:bidi="ar-SA"/>
        </w:rPr>
        <w:t>国道不少于20米；通村公路不少于10米。</w:t>
      </w:r>
    </w:p>
    <w:p w14:paraId="147624D3">
      <w:pPr>
        <w:pStyle w:val="10"/>
        <w:ind w:firstLine="640"/>
        <w:rPr>
          <w:lang w:eastAsia="zh-CN"/>
        </w:rPr>
      </w:pPr>
      <w:r>
        <w:rPr>
          <w:rFonts w:hint="eastAsia"/>
          <w:lang w:eastAsia="zh-CN" w:bidi="ar-SA"/>
        </w:rPr>
        <w:t>公路建筑控制区内禁止修建建筑物和地面构筑物；因公路新建、改建或公路建筑控制区调整，被划入公路控制区内的建筑物和地面构筑物，不得扩建、改建；对已列入公路发展规划拟新建、改建的公路，有关部门在建筑控制区内，不得再行审批建筑物、地面构筑物的建设。其他进行设置路标、泼洒、堆放、占用、挖掘、停靠等影响公路建设和运输等行为时，需满足《黑龙江省公路条例》内各项条款的规定。</w:t>
      </w:r>
    </w:p>
    <w:bookmarkEnd w:id="198"/>
    <w:bookmarkEnd w:id="199"/>
    <w:bookmarkEnd w:id="200"/>
    <w:p w14:paraId="136F5C77">
      <w:pPr>
        <w:pStyle w:val="28"/>
        <w:numPr>
          <w:ilvl w:val="0"/>
          <w:numId w:val="1"/>
        </w:numPr>
        <w:spacing w:before="217" w:after="217"/>
      </w:pPr>
      <w:bookmarkStart w:id="201" w:name="_Toc122541299"/>
      <w:bookmarkStart w:id="202" w:name="_Toc30925"/>
      <w:bookmarkStart w:id="203" w:name="_Toc122541806"/>
      <w:r>
        <w:rPr>
          <w:rFonts w:hint="eastAsia"/>
        </w:rPr>
        <w:t xml:space="preserve"> 乡政府驻地道路交通系统</w:t>
      </w:r>
    </w:p>
    <w:p w14:paraId="323B0258">
      <w:pPr>
        <w:ind w:firstLine="640"/>
      </w:pPr>
      <w:r>
        <w:rPr>
          <w:rFonts w:hint="eastAsia"/>
        </w:rPr>
        <w:t>1.道路结构和密度</w:t>
      </w:r>
    </w:p>
    <w:p w14:paraId="1CD5BDE4">
      <w:pPr>
        <w:ind w:firstLine="640"/>
      </w:pPr>
      <w:r>
        <w:rPr>
          <w:rFonts w:hint="eastAsia"/>
        </w:rPr>
        <w:t>规划依据道路现状特点和用地布局确定完善路网结构，结合建设用地现状，路网形式以方格网为主。</w:t>
      </w:r>
    </w:p>
    <w:p w14:paraId="65F17009">
      <w:pPr>
        <w:ind w:firstLine="640"/>
      </w:pPr>
      <w:r>
        <w:rPr>
          <w:rFonts w:hint="eastAsia"/>
        </w:rPr>
        <w:t>2.道路等级</w:t>
      </w:r>
    </w:p>
    <w:p w14:paraId="7A64069F">
      <w:pPr>
        <w:ind w:firstLine="640"/>
      </w:pPr>
      <w:r>
        <w:rPr>
          <w:rFonts w:hint="eastAsia"/>
        </w:rPr>
        <w:t>主干路：主要承担乡政府驻地内部的主要交通功能和对外交通功能，规划道路红线宽度14米。</w:t>
      </w:r>
    </w:p>
    <w:p w14:paraId="6A5EFD8A">
      <w:pPr>
        <w:ind w:firstLine="640"/>
      </w:pPr>
      <w:r>
        <w:rPr>
          <w:rFonts w:hint="eastAsia"/>
        </w:rPr>
        <w:t>次干路：主要承担各功能区间的联系作用，规划道路红线宽度14米。</w:t>
      </w:r>
    </w:p>
    <w:p w14:paraId="59319A08">
      <w:pPr>
        <w:ind w:firstLine="640"/>
      </w:pPr>
      <w:r>
        <w:rPr>
          <w:rFonts w:hint="eastAsia"/>
        </w:rPr>
        <w:t>支路：连接干路和各片区的道路，规划道路红线宽度为12米；规划道路红线宽度10米。</w:t>
      </w:r>
    </w:p>
    <w:p w14:paraId="5EEF0B42">
      <w:pPr>
        <w:ind w:firstLine="640"/>
      </w:pPr>
      <w:r>
        <w:rPr>
          <w:rFonts w:hint="eastAsia"/>
        </w:rPr>
        <w:t>3.交叉口规划</w:t>
      </w:r>
    </w:p>
    <w:p w14:paraId="138FC177">
      <w:pPr>
        <w:ind w:firstLine="640"/>
      </w:pPr>
      <w:r>
        <w:rPr>
          <w:rFonts w:hint="eastAsia"/>
        </w:rPr>
        <w:t>道路交叉口通行能力是整个道路系统通行能力的关键，根据乡政府驻地情况，道路相交以平面交叉形式，道路交叉口应加强乡政府驻地交通管理，高等级道路交叉口通过信号灯管制和其他交通管理手段，合理组织交叉口交通，达到投资少，见效快的目的。</w:t>
      </w:r>
    </w:p>
    <w:p w14:paraId="0CFDA795">
      <w:pPr>
        <w:pStyle w:val="28"/>
        <w:numPr>
          <w:ilvl w:val="0"/>
          <w:numId w:val="1"/>
        </w:numPr>
        <w:spacing w:before="217" w:after="217"/>
      </w:pPr>
      <w:r>
        <w:rPr>
          <w:rFonts w:hint="eastAsia"/>
        </w:rPr>
        <w:t xml:space="preserve"> 村庄集中建设区道路交通系统</w:t>
      </w:r>
    </w:p>
    <w:p w14:paraId="7A12BF30">
      <w:pPr>
        <w:ind w:firstLine="640"/>
      </w:pPr>
      <w:r>
        <w:rPr>
          <w:rFonts w:hint="eastAsia"/>
        </w:rPr>
        <w:t>各居民点建成区内道路分为两个层次：干路和支路。</w:t>
      </w:r>
    </w:p>
    <w:p w14:paraId="3C3DA041">
      <w:pPr>
        <w:ind w:firstLine="640"/>
      </w:pPr>
      <w:r>
        <w:rPr>
          <w:rFonts w:hint="eastAsia"/>
        </w:rPr>
        <w:t>干路红线宽度为6—12米，采用一块板断面形式。</w:t>
      </w:r>
    </w:p>
    <w:p w14:paraId="2339B55B">
      <w:pPr>
        <w:ind w:firstLine="640"/>
      </w:pPr>
      <w:r>
        <w:rPr>
          <w:rFonts w:hint="eastAsia"/>
        </w:rPr>
        <w:t>支路红线宽度为3—6米，采用一块板断面形式。</w:t>
      </w:r>
    </w:p>
    <w:bookmarkEnd w:id="201"/>
    <w:bookmarkEnd w:id="202"/>
    <w:bookmarkEnd w:id="203"/>
    <w:p w14:paraId="77EF326E">
      <w:pPr>
        <w:pStyle w:val="27"/>
        <w:keepNext/>
        <w:numPr>
          <w:ilvl w:val="0"/>
          <w:numId w:val="7"/>
        </w:numPr>
        <w:spacing w:before="217" w:after="217"/>
      </w:pPr>
      <w:bookmarkStart w:id="204" w:name="_Toc122541303"/>
      <w:bookmarkStart w:id="205" w:name="_Toc790"/>
      <w:bookmarkStart w:id="206" w:name="_Toc122541810"/>
      <w:r>
        <w:rPr>
          <w:rFonts w:hint="eastAsia"/>
        </w:rPr>
        <w:t xml:space="preserve"> </w:t>
      </w:r>
      <w:bookmarkStart w:id="207" w:name="_Toc274"/>
      <w:bookmarkStart w:id="208" w:name="_Toc7692"/>
      <w:r>
        <w:rPr>
          <w:rFonts w:hint="eastAsia"/>
        </w:rPr>
        <w:t>水利基础设施</w:t>
      </w:r>
      <w:bookmarkEnd w:id="207"/>
      <w:bookmarkEnd w:id="208"/>
    </w:p>
    <w:p w14:paraId="2E6EA604">
      <w:pPr>
        <w:pStyle w:val="28"/>
        <w:numPr>
          <w:ilvl w:val="0"/>
          <w:numId w:val="1"/>
        </w:numPr>
        <w:spacing w:before="217" w:after="217"/>
      </w:pPr>
      <w:r>
        <w:rPr>
          <w:rFonts w:hint="eastAsia"/>
        </w:rPr>
        <w:t xml:space="preserve"> 完善水利设施建设</w:t>
      </w:r>
    </w:p>
    <w:p w14:paraId="65E3AB43">
      <w:pPr>
        <w:ind w:firstLine="640"/>
        <w:rPr>
          <w:u w:val="single"/>
        </w:rPr>
      </w:pPr>
      <w:r>
        <w:rPr>
          <w:rFonts w:hint="eastAsia"/>
        </w:rPr>
        <w:t>通过创业灌区续建配套与节水改造项目建设，达到节水型、生态型灌区建设改造目标，继续为保障国家粮食安全提供有力的水利支撑。</w:t>
      </w:r>
    </w:p>
    <w:p w14:paraId="6A2E11F0">
      <w:pPr>
        <w:pStyle w:val="28"/>
        <w:numPr>
          <w:ilvl w:val="0"/>
          <w:numId w:val="1"/>
        </w:numPr>
        <w:spacing w:before="217" w:after="217"/>
      </w:pPr>
      <w:r>
        <w:rPr>
          <w:rFonts w:hint="eastAsia"/>
        </w:rPr>
        <w:t xml:space="preserve"> 水利设施管控</w:t>
      </w:r>
    </w:p>
    <w:p w14:paraId="047313E9">
      <w:pPr>
        <w:widowControl/>
        <w:ind w:firstLine="640"/>
      </w:pPr>
      <w:r>
        <w:rPr>
          <w:rFonts w:hint="eastAsia"/>
          <w:u w:val="single"/>
        </w:rPr>
        <w:t>管理范围，干渠两侧不小于10米，支渠两侧不小于5米，建筑物工程不小于50米；保护范围，干、支渠以管理范围边界以外不小于20米为界，建筑物工程以建筑物管理范围边界以外不小于50米为界。建设现代灌区，更新现状设施，提高农业灌溉水利用系数。</w:t>
      </w:r>
    </w:p>
    <w:p w14:paraId="4DCF7E73">
      <w:pPr>
        <w:pStyle w:val="27"/>
        <w:numPr>
          <w:ilvl w:val="0"/>
          <w:numId w:val="7"/>
        </w:numPr>
        <w:spacing w:before="217" w:after="217"/>
      </w:pPr>
      <w:r>
        <w:rPr>
          <w:rFonts w:hint="eastAsia"/>
        </w:rPr>
        <w:t xml:space="preserve"> </w:t>
      </w:r>
      <w:bookmarkStart w:id="209" w:name="_Toc1945"/>
      <w:bookmarkStart w:id="210" w:name="_Toc6593"/>
      <w:r>
        <w:rPr>
          <w:rFonts w:hint="eastAsia"/>
        </w:rPr>
        <w:t>市政基础设施</w:t>
      </w:r>
      <w:bookmarkEnd w:id="209"/>
      <w:bookmarkEnd w:id="210"/>
    </w:p>
    <w:p w14:paraId="2C32F372">
      <w:pPr>
        <w:pStyle w:val="28"/>
        <w:numPr>
          <w:ilvl w:val="0"/>
          <w:numId w:val="1"/>
        </w:numPr>
        <w:spacing w:before="217" w:after="217"/>
      </w:pPr>
      <w:r>
        <w:rPr>
          <w:rFonts w:hint="eastAsia"/>
        </w:rPr>
        <w:t xml:space="preserve"> 乡域基础设施</w:t>
      </w:r>
    </w:p>
    <w:p w14:paraId="39B224F2">
      <w:pPr>
        <w:ind w:firstLine="640"/>
      </w:pPr>
      <w:r>
        <w:rPr>
          <w:rFonts w:hint="eastAsia"/>
        </w:rPr>
        <w:t>1.供水工程</w:t>
      </w:r>
    </w:p>
    <w:p w14:paraId="02402B2A">
      <w:pPr>
        <w:ind w:firstLine="640"/>
        <w:rPr>
          <w:rFonts w:hint="eastAsia" w:ascii="宋体" w:hAnsi="宋体"/>
        </w:rPr>
      </w:pPr>
      <w:r>
        <w:rPr>
          <w:rFonts w:hint="eastAsia"/>
        </w:rPr>
        <w:t>综合用水定额：乡域居民综合用水量标准为综合用水标准</w:t>
      </w:r>
      <w:r>
        <w:t>1</w:t>
      </w:r>
      <w:r>
        <w:rPr>
          <w:rFonts w:hint="eastAsia"/>
        </w:rPr>
        <w:t>50升/人</w:t>
      </w:r>
      <w:r>
        <w:rPr>
          <w:rFonts w:ascii="宋体" w:hAnsi="宋体"/>
        </w:rPr>
        <w:t>·</w:t>
      </w:r>
      <w:r>
        <w:rPr>
          <w:rFonts w:hint="eastAsia"/>
        </w:rPr>
        <w:t>日。</w:t>
      </w:r>
      <w:r>
        <w:rPr>
          <w:rFonts w:hint="eastAsia" w:ascii="宋体" w:hAnsi="宋体"/>
        </w:rPr>
        <w:t>各村屯居民点</w:t>
      </w:r>
      <w:r>
        <w:rPr>
          <w:rFonts w:ascii="宋体" w:hAnsi="宋体"/>
        </w:rPr>
        <w:t>综合用水标准</w:t>
      </w:r>
      <w:r>
        <w:rPr>
          <w:rFonts w:hint="eastAsia"/>
        </w:rPr>
        <w:t>120</w:t>
      </w:r>
      <w:r>
        <w:rPr>
          <w:rFonts w:ascii="宋体" w:hAnsi="宋体"/>
        </w:rPr>
        <w:t>升/人·日。</w:t>
      </w:r>
    </w:p>
    <w:p w14:paraId="7AC1B408">
      <w:pPr>
        <w:ind w:firstLine="640"/>
      </w:pPr>
      <w:r>
        <w:rPr>
          <w:rFonts w:hint="eastAsia"/>
        </w:rPr>
        <w:t>2.排水工程</w:t>
      </w:r>
    </w:p>
    <w:p w14:paraId="74248187">
      <w:pPr>
        <w:ind w:firstLine="640"/>
        <w:rPr>
          <w:u w:val="single"/>
        </w:rPr>
      </w:pPr>
      <w:r>
        <w:rPr>
          <w:rFonts w:hint="eastAsia"/>
          <w:u w:val="single"/>
        </w:rPr>
        <w:t>规划乡政府驻地采用雨污分流制排水方式，乡政府驻地新建污水处理厂一座，污水集中到污水处理设施处理（处理方式根据具体情况确定）。</w:t>
      </w:r>
    </w:p>
    <w:p w14:paraId="378A042A">
      <w:pPr>
        <w:ind w:firstLine="640"/>
      </w:pPr>
      <w:r>
        <w:rPr>
          <w:rFonts w:hint="eastAsia"/>
        </w:rPr>
        <w:t>有条件的村庄可建设小型一体化污水处理设施，敷设污水管线，生活污水经污水管网送至污水处理设施，经处理达标后排入周边边沟或水体。无条件村屯可采用分户收集污水，定期吸污车集中转运，送至乡政府驻地污水处理厂或处理能力有较大富余的临近村庄污水处理设施进行污水处理。</w:t>
      </w:r>
    </w:p>
    <w:p w14:paraId="44CE9D4B">
      <w:pPr>
        <w:ind w:firstLine="640"/>
      </w:pPr>
      <w:r>
        <w:rPr>
          <w:rFonts w:hint="eastAsia"/>
        </w:rPr>
        <w:t>3.供电工程</w:t>
      </w:r>
    </w:p>
    <w:p w14:paraId="45751E83">
      <w:pPr>
        <w:ind w:firstLine="640"/>
      </w:pPr>
      <w:r>
        <w:rPr>
          <w:rFonts w:hint="eastAsia"/>
          <w:u w:val="single"/>
        </w:rPr>
        <w:t>现状电源为悦西110kv变电所，</w:t>
      </w:r>
      <w:r>
        <w:rPr>
          <w:rFonts w:hint="eastAsia"/>
        </w:rPr>
        <w:t>形成10千伏中压输电网和380/220伏低压配电网的供电系统，电力负荷可满足用电需求。部分道路需更换电力线杆，中、低压架空电力线路应同杆架设，繁华地段和人员密集区宜采用埋地敷设电缆，电力线路之间应减少交叉、跨越，并不得对弱电产生干扰；保障居民安全。</w:t>
      </w:r>
    </w:p>
    <w:p w14:paraId="2A1E4C72">
      <w:pPr>
        <w:ind w:firstLine="640"/>
      </w:pPr>
      <w:r>
        <w:rPr>
          <w:rFonts w:hint="eastAsia"/>
        </w:rPr>
        <w:t>4.通信工程</w:t>
      </w:r>
    </w:p>
    <w:p w14:paraId="676777C5">
      <w:pPr>
        <w:ind w:firstLine="640"/>
      </w:pPr>
      <w:r>
        <w:rPr>
          <w:rFonts w:hint="eastAsia"/>
          <w:u w:val="single"/>
        </w:rPr>
        <w:t>规划保留现状通信工程设施</w:t>
      </w:r>
      <w:r>
        <w:rPr>
          <w:rFonts w:hint="eastAsia"/>
        </w:rPr>
        <w:t>，增加服务项目，完善配套设施。对线路进行优化和调整。规划乡政府驻地和各村屯居民点广播电视数字化程度达98%，有线电视网入户率达100%，网络信号乡域全覆盖无盲区。</w:t>
      </w:r>
    </w:p>
    <w:p w14:paraId="076AAFEA">
      <w:pPr>
        <w:ind w:firstLine="640"/>
      </w:pPr>
      <w:r>
        <w:rPr>
          <w:rFonts w:hint="eastAsia" w:ascii="宋体" w:hAnsi="宋体"/>
          <w:u w:val="single"/>
        </w:rPr>
        <w:t>规划保留乡政府驻地邮政支局</w:t>
      </w:r>
      <w:r>
        <w:rPr>
          <w:rFonts w:hint="eastAsia" w:ascii="宋体" w:hAnsi="宋体"/>
        </w:rPr>
        <w:t>，建立快速干线邮政运输网。</w:t>
      </w:r>
    </w:p>
    <w:p w14:paraId="22EB5457">
      <w:pPr>
        <w:ind w:firstLine="640"/>
      </w:pPr>
      <w:r>
        <w:rPr>
          <w:rFonts w:hint="eastAsia"/>
        </w:rPr>
        <w:t>5.供热工程</w:t>
      </w:r>
    </w:p>
    <w:p w14:paraId="390F4727">
      <w:pPr>
        <w:ind w:firstLine="640"/>
      </w:pPr>
      <w:r>
        <w:rPr>
          <w:rFonts w:hint="eastAsia"/>
          <w:u w:val="single"/>
        </w:rPr>
        <w:t>规划乡政府驻地采用集中供热方式，规划建设集中供热热源1处，各村屯居民点采用集中供热和分散供热相结合方式。</w:t>
      </w:r>
      <w:r>
        <w:rPr>
          <w:rFonts w:hint="eastAsia"/>
        </w:rPr>
        <w:t>供暖能源大多以煤、秸秆为主，以火炕、火墙等方式取暖，也可采用家用小型采暖系统、复合式太阳能采暖房、电取暖等方式。热负荷高的村屯居民点鼓励采用集中供热，鼓励使用清洁能源、可再生能源作为供热方式。</w:t>
      </w:r>
    </w:p>
    <w:p w14:paraId="1A2969D4">
      <w:pPr>
        <w:ind w:firstLine="640"/>
      </w:pPr>
      <w:r>
        <w:rPr>
          <w:rFonts w:hint="eastAsia"/>
        </w:rPr>
        <w:t>6.供燃气工程</w:t>
      </w:r>
    </w:p>
    <w:p w14:paraId="41CDA882">
      <w:pPr>
        <w:ind w:firstLine="640"/>
      </w:pPr>
      <w:r>
        <w:rPr>
          <w:rFonts w:hint="eastAsia"/>
        </w:rPr>
        <w:t>规划全乡使用罐装液化石油气为主，同时积极发展太阳能和沼气等新能源技术。</w:t>
      </w:r>
    </w:p>
    <w:p w14:paraId="09C64970">
      <w:pPr>
        <w:ind w:firstLine="640"/>
      </w:pPr>
      <w:r>
        <w:rPr>
          <w:rFonts w:hint="eastAsia"/>
        </w:rPr>
        <w:t>7.环卫工程</w:t>
      </w:r>
    </w:p>
    <w:p w14:paraId="16FC08BC">
      <w:pPr>
        <w:ind w:firstLine="640"/>
      </w:pPr>
      <w:r>
        <w:rPr>
          <w:rFonts w:hint="eastAsia"/>
          <w:u w:val="single"/>
        </w:rPr>
        <w:t>采用“村收集、镇转运、县处理”方式，实现生活垃圾无害化、减量化、资源化处理。乡政府驻地建设垃圾转运站一处。各村庄建设垃圾收集点，并配备村收集车进行收集，最终均送至县处理厂进行处理。</w:t>
      </w:r>
    </w:p>
    <w:p w14:paraId="5DE7CCDE">
      <w:pPr>
        <w:ind w:firstLine="640"/>
      </w:pPr>
      <w:r>
        <w:rPr>
          <w:rFonts w:hint="eastAsia"/>
        </w:rPr>
        <w:t>乡政府驻地结合开敞空间和公共场所均衡布置节水型公共厕所，按一类标准建设。各村屯居民点结合公园广场规划布置公共厕所。生活垃圾日产量可按每人1.2千克计算。</w:t>
      </w:r>
    </w:p>
    <w:bookmarkEnd w:id="204"/>
    <w:bookmarkEnd w:id="205"/>
    <w:bookmarkEnd w:id="206"/>
    <w:p w14:paraId="54588CFE">
      <w:pPr>
        <w:pStyle w:val="27"/>
        <w:numPr>
          <w:ilvl w:val="0"/>
          <w:numId w:val="7"/>
        </w:numPr>
        <w:spacing w:before="217" w:after="217"/>
      </w:pPr>
      <w:bookmarkStart w:id="211" w:name="_Toc122541311"/>
      <w:bookmarkStart w:id="212" w:name="_Toc20738"/>
      <w:bookmarkStart w:id="213" w:name="_Toc122541818"/>
      <w:r>
        <w:rPr>
          <w:rFonts w:hint="eastAsia"/>
        </w:rPr>
        <w:t xml:space="preserve"> </w:t>
      </w:r>
      <w:bookmarkEnd w:id="211"/>
      <w:bookmarkEnd w:id="212"/>
      <w:bookmarkEnd w:id="213"/>
      <w:bookmarkStart w:id="214" w:name="_Toc14739"/>
      <w:bookmarkStart w:id="215" w:name="_Toc14195"/>
      <w:r>
        <w:rPr>
          <w:rFonts w:hint="eastAsia"/>
        </w:rPr>
        <w:t>综合防灾减灾设施</w:t>
      </w:r>
      <w:bookmarkEnd w:id="214"/>
      <w:bookmarkEnd w:id="215"/>
    </w:p>
    <w:p w14:paraId="6425C68F">
      <w:pPr>
        <w:pStyle w:val="28"/>
        <w:numPr>
          <w:ilvl w:val="0"/>
          <w:numId w:val="1"/>
        </w:numPr>
        <w:spacing w:before="217" w:after="217"/>
      </w:pPr>
      <w:bookmarkStart w:id="216" w:name="_Toc122615924"/>
      <w:bookmarkStart w:id="217" w:name="_Toc9414"/>
      <w:bookmarkStart w:id="218" w:name="_Toc122541312"/>
      <w:bookmarkStart w:id="219" w:name="_Toc122541819"/>
      <w:bookmarkStart w:id="220" w:name="_Toc122542163"/>
      <w:r>
        <w:rPr>
          <w:rFonts w:hint="eastAsia"/>
        </w:rPr>
        <w:t xml:space="preserve"> 消防</w:t>
      </w:r>
      <w:bookmarkEnd w:id="216"/>
      <w:bookmarkEnd w:id="217"/>
      <w:bookmarkEnd w:id="218"/>
      <w:bookmarkEnd w:id="219"/>
      <w:bookmarkEnd w:id="220"/>
      <w:r>
        <w:t xml:space="preserve">系统 </w:t>
      </w:r>
    </w:p>
    <w:p w14:paraId="183F576F">
      <w:pPr>
        <w:ind w:firstLine="640"/>
        <w:jc w:val="left"/>
        <w:rPr>
          <w:u w:val="single"/>
        </w:rPr>
      </w:pPr>
      <w:r>
        <w:rPr>
          <w:rFonts w:hint="eastAsia"/>
          <w:u w:val="single"/>
        </w:rPr>
        <w:t>乡政府驻地设消防站一处，达到二级乡镇专职消防队标准，并按《消防给水及消火栓系统技术规范》（GB50974-2014）配备消防设施。下辖中心村设消防车一辆，其余行政村各设消防水泵一台。</w:t>
      </w:r>
    </w:p>
    <w:p w14:paraId="08ED3B4B">
      <w:pPr>
        <w:pStyle w:val="28"/>
        <w:keepNext/>
        <w:numPr>
          <w:ilvl w:val="0"/>
          <w:numId w:val="1"/>
        </w:numPr>
        <w:spacing w:before="217" w:after="217"/>
      </w:pPr>
      <w:bookmarkStart w:id="221" w:name="_Toc122542164"/>
      <w:bookmarkStart w:id="222" w:name="_Toc122541820"/>
      <w:bookmarkStart w:id="223" w:name="_Toc11045"/>
      <w:bookmarkStart w:id="224" w:name="_Toc122615925"/>
      <w:bookmarkStart w:id="225" w:name="_Toc122541313"/>
      <w:r>
        <w:rPr>
          <w:rFonts w:hint="eastAsia"/>
        </w:rPr>
        <w:t xml:space="preserve"> 抗震防灾</w:t>
      </w:r>
      <w:bookmarkEnd w:id="221"/>
      <w:bookmarkEnd w:id="222"/>
      <w:bookmarkEnd w:id="223"/>
      <w:bookmarkEnd w:id="224"/>
      <w:bookmarkEnd w:id="225"/>
      <w:r>
        <w:t>体系</w:t>
      </w:r>
    </w:p>
    <w:p w14:paraId="10087202">
      <w:pPr>
        <w:ind w:firstLine="640"/>
        <w:rPr>
          <w:u w:val="single"/>
        </w:rPr>
      </w:pPr>
      <w:r>
        <w:rPr>
          <w:rFonts w:hint="eastAsia"/>
          <w:u w:val="single"/>
        </w:rPr>
        <w:t>创业乡处在地震抗震烈度Ⅵ度区，设计基本地震加速度值为0.05g。抗震设防采取“小震不坏、中震可修、大震不倒”的标准，结合道路网完善消防环路系统，形成避震网络。</w:t>
      </w:r>
    </w:p>
    <w:p w14:paraId="2F0A6E53">
      <w:pPr>
        <w:ind w:firstLine="640"/>
        <w:rPr>
          <w:u w:val="single"/>
        </w:rPr>
      </w:pPr>
      <w:r>
        <w:rPr>
          <w:rFonts w:hint="eastAsia"/>
          <w:u w:val="single"/>
        </w:rPr>
        <w:t>创业乡一般建设工程应按照Ⅵ度进行设防；学校、医院等人员密集场所的建设工程，应当高于一般建设工程的抗震设防要求，按照高一度进行设防。此外，国家和省重大建设工程；受地震破坏后可能引发水灾、火灾、爆炸或者剧毒、强腐蚀性、放射性物质大量泄漏以及其他严重次生灾害的建设工程；人员密集场所的大型建设工程；国家建筑工程抗震设防分类标准规定应当进行地震安全性评价的建设工程，应当进行地震安全性评价，并由省地震工作管理部门根据地震安全性评价结果确定抗震设防的具体要求。</w:t>
      </w:r>
    </w:p>
    <w:p w14:paraId="129B29C5">
      <w:pPr>
        <w:pStyle w:val="28"/>
        <w:numPr>
          <w:ilvl w:val="0"/>
          <w:numId w:val="1"/>
        </w:numPr>
        <w:spacing w:before="217" w:after="217"/>
      </w:pPr>
      <w:bookmarkStart w:id="226" w:name="_Toc122541314"/>
      <w:bookmarkStart w:id="227" w:name="_Toc13811"/>
      <w:bookmarkStart w:id="228" w:name="_Toc122615926"/>
      <w:bookmarkStart w:id="229" w:name="_Toc122542165"/>
      <w:bookmarkStart w:id="230" w:name="_Toc122541821"/>
      <w:r>
        <w:rPr>
          <w:rFonts w:hint="eastAsia"/>
        </w:rPr>
        <w:t xml:space="preserve"> 防洪排涝工程</w:t>
      </w:r>
      <w:bookmarkEnd w:id="226"/>
      <w:bookmarkEnd w:id="227"/>
      <w:bookmarkEnd w:id="228"/>
      <w:bookmarkEnd w:id="229"/>
      <w:bookmarkEnd w:id="230"/>
    </w:p>
    <w:p w14:paraId="659E3472">
      <w:pPr>
        <w:ind w:firstLine="640"/>
        <w:rPr>
          <w:rFonts w:hint="eastAsia" w:ascii="宋体" w:hAnsi="宋体" w:eastAsia="宋体" w:cs="宋体"/>
        </w:rPr>
      </w:pPr>
      <w:r>
        <w:rPr>
          <w:rFonts w:hint="eastAsia"/>
        </w:rPr>
        <w:t>农田水利建设、水土保持、绿化造林等规划相结合，统一整治河渠修建堤坝、滞洪区等防洪防涝工程设施。</w:t>
      </w:r>
      <w:bookmarkStart w:id="231" w:name="_Toc303951654"/>
      <w:bookmarkStart w:id="232" w:name="_Toc396980570"/>
      <w:bookmarkStart w:id="233" w:name="_Toc408390262"/>
      <w:bookmarkStart w:id="234" w:name="_Toc397087308"/>
      <w:r>
        <w:rPr>
          <w:rFonts w:hint="eastAsia"/>
          <w:u w:val="single"/>
        </w:rPr>
        <w:t>铃铛麦河防洪标准为20年一遇。</w:t>
      </w:r>
      <w:r>
        <w:rPr>
          <w:rFonts w:hint="eastAsia"/>
        </w:rPr>
        <w:t>加强现状堤坝的巩固工作。疏浚规划范围内主要河道，增加过水断面，扩大泄洪能力。</w:t>
      </w:r>
    </w:p>
    <w:bookmarkEnd w:id="231"/>
    <w:bookmarkEnd w:id="232"/>
    <w:bookmarkEnd w:id="233"/>
    <w:bookmarkEnd w:id="234"/>
    <w:p w14:paraId="7AEF1671">
      <w:pPr>
        <w:pStyle w:val="6"/>
        <w:tabs>
          <w:tab w:val="clear" w:pos="2915"/>
        </w:tabs>
        <w:ind w:firstLineChars="0"/>
      </w:pPr>
      <w:bookmarkStart w:id="235" w:name="_Toc142552535"/>
      <w:bookmarkStart w:id="236" w:name="_Toc30248"/>
      <w:bookmarkStart w:id="237" w:name="_Toc29702"/>
      <w:r>
        <w:rPr>
          <w:rFonts w:hint="eastAsia"/>
        </w:rPr>
        <w:t xml:space="preserve"> </w:t>
      </w:r>
      <w:r>
        <w:rPr>
          <w:rFonts w:hint="eastAsia" w:eastAsia="楷体_GB2312"/>
          <w:szCs w:val="32"/>
        </w:rPr>
        <w:t>公共安全设施</w:t>
      </w:r>
    </w:p>
    <w:p w14:paraId="413CD979">
      <w:pPr>
        <w:ind w:firstLine="640"/>
      </w:pPr>
      <w:r>
        <w:rPr>
          <w:rFonts w:hint="eastAsia"/>
        </w:rPr>
        <w:t xml:space="preserve">建立乡域级别的突发公共卫生事件应急响应机制，包括明确责任分工、组织架构和工作流程，确保在紧急情况下能够从乡政府驻地到各村屯居民点迅速快捷地采取措施。 </w:t>
      </w:r>
    </w:p>
    <w:p w14:paraId="566FCA80">
      <w:pPr>
        <w:ind w:firstLine="640"/>
      </w:pPr>
      <w:r>
        <w:rPr>
          <w:rFonts w:hint="eastAsia"/>
        </w:rPr>
        <w:t>加强乡域防疫队伍和相关人员的培训，提高他们应对突发公共卫生事件的能力和意识，包括应急预案的培训、传染病防控知识的普及等。</w:t>
      </w:r>
    </w:p>
    <w:p w14:paraId="19B87EA6">
      <w:pPr>
        <w:ind w:firstLine="640"/>
      </w:pPr>
      <w:r>
        <w:rPr>
          <w:rFonts w:hint="eastAsia"/>
        </w:rPr>
        <w:t>建立健全社区防控网络管理体系，将乡政府驻地和各村屯居民点划分为不同的社区或街道，以社区为单位进行防控工作，划定责任区域和责任人，加强社区的封控、排查和管理。</w:t>
      </w:r>
    </w:p>
    <w:p w14:paraId="55DF5A3B">
      <w:pPr>
        <w:pStyle w:val="26"/>
        <w:spacing w:before="217" w:after="217"/>
        <w:sectPr>
          <w:pgSz w:w="11906" w:h="16838"/>
          <w:pgMar w:top="1440" w:right="1797" w:bottom="1440" w:left="1797" w:header="851" w:footer="850" w:gutter="0"/>
          <w:cols w:space="720" w:num="1"/>
          <w:docGrid w:type="lines" w:linePitch="435" w:charSpace="0"/>
        </w:sectPr>
      </w:pPr>
    </w:p>
    <w:p w14:paraId="74955E8D">
      <w:pPr>
        <w:pStyle w:val="26"/>
        <w:numPr>
          <w:ilvl w:val="0"/>
          <w:numId w:val="2"/>
        </w:numPr>
        <w:spacing w:before="217" w:after="217"/>
      </w:pPr>
      <w:r>
        <w:rPr>
          <w:rFonts w:hint="eastAsia"/>
        </w:rPr>
        <w:t xml:space="preserve"> </w:t>
      </w:r>
      <w:bookmarkStart w:id="238" w:name="_Toc4250"/>
      <w:r>
        <w:rPr>
          <w:rFonts w:hint="eastAsia"/>
        </w:rPr>
        <w:t>历史文化与地方特色风貌</w:t>
      </w:r>
      <w:bookmarkEnd w:id="235"/>
      <w:bookmarkEnd w:id="236"/>
      <w:bookmarkEnd w:id="238"/>
    </w:p>
    <w:p w14:paraId="21592E40">
      <w:pPr>
        <w:pStyle w:val="27"/>
        <w:numPr>
          <w:ilvl w:val="0"/>
          <w:numId w:val="8"/>
        </w:numPr>
        <w:spacing w:before="217" w:after="217"/>
      </w:pPr>
      <w:r>
        <w:rPr>
          <w:rFonts w:hint="eastAsia"/>
        </w:rPr>
        <w:t xml:space="preserve"> </w:t>
      </w:r>
      <w:bookmarkStart w:id="239" w:name="_Toc8014"/>
      <w:bookmarkStart w:id="240" w:name="_Toc142552536"/>
      <w:bookmarkStart w:id="241" w:name="_Toc97"/>
      <w:r>
        <w:rPr>
          <w:rFonts w:hint="eastAsia"/>
        </w:rPr>
        <w:t>历史文化保护</w:t>
      </w:r>
      <w:bookmarkEnd w:id="237"/>
      <w:bookmarkEnd w:id="239"/>
      <w:bookmarkEnd w:id="240"/>
      <w:bookmarkEnd w:id="241"/>
    </w:p>
    <w:p w14:paraId="75501DCC">
      <w:pPr>
        <w:pStyle w:val="28"/>
        <w:numPr>
          <w:ilvl w:val="0"/>
          <w:numId w:val="1"/>
        </w:numPr>
        <w:spacing w:before="217" w:after="217"/>
      </w:pPr>
      <w:bookmarkStart w:id="242" w:name="_bookmark25"/>
      <w:bookmarkEnd w:id="242"/>
      <w:bookmarkStart w:id="243" w:name="6.1保护原则"/>
      <w:bookmarkEnd w:id="243"/>
      <w:bookmarkStart w:id="244" w:name="6.2划定保护范围和建设控制地带"/>
      <w:bookmarkEnd w:id="244"/>
      <w:bookmarkStart w:id="245" w:name="_bookmark24"/>
      <w:bookmarkEnd w:id="245"/>
      <w:bookmarkStart w:id="246" w:name="_Toc1343"/>
      <w:bookmarkStart w:id="247" w:name="_Toc122541272"/>
      <w:bookmarkStart w:id="248" w:name="_Toc122615890"/>
      <w:bookmarkStart w:id="249" w:name="_Toc122542123"/>
      <w:bookmarkStart w:id="250" w:name="_Toc122541779"/>
      <w:r>
        <w:rPr>
          <w:rFonts w:hint="eastAsia"/>
        </w:rPr>
        <w:t xml:space="preserve"> 历史文化保护与利用目标</w:t>
      </w:r>
      <w:bookmarkEnd w:id="246"/>
    </w:p>
    <w:p w14:paraId="1D93FF11">
      <w:pPr>
        <w:ind w:firstLine="640"/>
      </w:pPr>
      <w:r>
        <w:rPr>
          <w:rFonts w:hint="eastAsia"/>
        </w:rPr>
        <w:t>保护好创业乡优秀的历史文化遗产及其历史环境、保护和延续历史文化遗产的格局和风貌，提升保护水平，保存历史符号，留住文化记忆。</w:t>
      </w:r>
    </w:p>
    <w:p w14:paraId="51ACEEA4">
      <w:pPr>
        <w:pStyle w:val="28"/>
        <w:numPr>
          <w:ilvl w:val="0"/>
          <w:numId w:val="1"/>
        </w:numPr>
        <w:spacing w:before="217" w:after="217"/>
      </w:pPr>
      <w:bookmarkStart w:id="251" w:name="_Toc25048"/>
      <w:r>
        <w:rPr>
          <w:rFonts w:hint="eastAsia"/>
        </w:rPr>
        <w:t xml:space="preserve"> 物质文化遗产保护</w:t>
      </w:r>
      <w:bookmarkEnd w:id="247"/>
      <w:bookmarkEnd w:id="248"/>
      <w:bookmarkEnd w:id="249"/>
      <w:bookmarkEnd w:id="250"/>
      <w:bookmarkEnd w:id="251"/>
    </w:p>
    <w:p w14:paraId="724BDDA5">
      <w:pPr>
        <w:widowControl/>
        <w:ind w:firstLine="640"/>
        <w:jc w:val="left"/>
      </w:pPr>
      <w:r>
        <w:t>文物保护应贯彻</w:t>
      </w:r>
      <w:r>
        <w:rPr>
          <w:rFonts w:hint="eastAsia"/>
        </w:rPr>
        <w:t>“保护为主、抢救第一，合理利用、加强管理”的方针，遵循最大限度地保存、修复、维修的修缮原则。应进一步完善文物保护“四有”建设。</w:t>
      </w:r>
    </w:p>
    <w:p w14:paraId="6382FB80">
      <w:pPr>
        <w:pStyle w:val="28"/>
        <w:numPr>
          <w:ilvl w:val="0"/>
          <w:numId w:val="1"/>
        </w:numPr>
        <w:spacing w:before="217" w:after="217"/>
      </w:pPr>
      <w:bookmarkStart w:id="252" w:name="_Toc122541273"/>
      <w:bookmarkStart w:id="253" w:name="_Toc11115"/>
      <w:bookmarkStart w:id="254" w:name="_Toc122542124"/>
      <w:bookmarkStart w:id="255" w:name="_Toc122541780"/>
      <w:bookmarkStart w:id="256" w:name="_Toc122615891"/>
      <w:r>
        <w:rPr>
          <w:rFonts w:hint="eastAsia"/>
        </w:rPr>
        <w:t xml:space="preserve"> 历史文化资源的活化利用</w:t>
      </w:r>
      <w:bookmarkEnd w:id="252"/>
      <w:bookmarkEnd w:id="253"/>
      <w:bookmarkEnd w:id="254"/>
      <w:bookmarkEnd w:id="255"/>
      <w:bookmarkEnd w:id="256"/>
    </w:p>
    <w:p w14:paraId="32F74161">
      <w:pPr>
        <w:ind w:firstLine="640"/>
        <w:rPr>
          <w:rFonts w:ascii="仿宋_GB2312"/>
        </w:rPr>
      </w:pPr>
      <w:bookmarkStart w:id="257" w:name="_Hlk141362359"/>
      <w:bookmarkStart w:id="258" w:name="_Toc122541274"/>
      <w:bookmarkStart w:id="259" w:name="_Toc122541781"/>
      <w:bookmarkStart w:id="260" w:name="_Toc16394"/>
      <w:r>
        <w:rPr>
          <w:rFonts w:hint="eastAsia" w:ascii="仿宋_GB2312"/>
        </w:rPr>
        <w:t>保护好创业乡的特色文化、历史文物遗存，使得具有地方特色的传统文化得以延续、继承和发扬，并成为增强创业乡品牌形象的内动力。在传统文化特色鲜明、具有广泛群众基础的社区、村屯居民点，进行进一步发掘，巩固已有的文化基础，加强保护。</w:t>
      </w:r>
    </w:p>
    <w:bookmarkEnd w:id="257"/>
    <w:p w14:paraId="529404F2">
      <w:pPr>
        <w:pStyle w:val="27"/>
        <w:numPr>
          <w:ilvl w:val="0"/>
          <w:numId w:val="8"/>
        </w:numPr>
        <w:spacing w:before="217" w:after="217"/>
      </w:pPr>
      <w:r>
        <w:rPr>
          <w:rFonts w:hint="eastAsia"/>
        </w:rPr>
        <w:t xml:space="preserve"> </w:t>
      </w:r>
      <w:bookmarkStart w:id="261" w:name="_Toc17366"/>
      <w:bookmarkStart w:id="262" w:name="_Toc142552537"/>
      <w:bookmarkStart w:id="263" w:name="_Toc18821"/>
      <w:r>
        <w:rPr>
          <w:rFonts w:hint="eastAsia"/>
        </w:rPr>
        <w:t>特色风貌塑造</w:t>
      </w:r>
      <w:bookmarkEnd w:id="258"/>
      <w:bookmarkEnd w:id="259"/>
      <w:bookmarkEnd w:id="260"/>
      <w:bookmarkEnd w:id="261"/>
      <w:bookmarkEnd w:id="262"/>
      <w:bookmarkEnd w:id="263"/>
    </w:p>
    <w:p w14:paraId="138EA889">
      <w:pPr>
        <w:pStyle w:val="28"/>
        <w:numPr>
          <w:ilvl w:val="0"/>
          <w:numId w:val="1"/>
        </w:numPr>
        <w:spacing w:before="217" w:after="217"/>
      </w:pPr>
      <w:bookmarkStart w:id="264" w:name="_Toc16340"/>
      <w:r>
        <w:rPr>
          <w:rFonts w:hint="eastAsia"/>
        </w:rPr>
        <w:t xml:space="preserve"> 特色风貌格局</w:t>
      </w:r>
      <w:bookmarkEnd w:id="264"/>
    </w:p>
    <w:p w14:paraId="62E44378">
      <w:pPr>
        <w:ind w:firstLine="640"/>
        <w:rPr>
          <w:rFonts w:ascii="仿宋_GB2312"/>
        </w:rPr>
      </w:pPr>
      <w:bookmarkStart w:id="265" w:name="_Toc122615894"/>
      <w:r>
        <w:rPr>
          <w:rFonts w:hint="eastAsia"/>
        </w:rPr>
        <w:t>规划创业乡域景观形成“一横、两纵、一心、多点”的景观</w:t>
      </w:r>
      <w:r>
        <w:rPr>
          <w:rFonts w:hint="eastAsia" w:ascii="仿宋_GB2312"/>
        </w:rPr>
        <w:t>格局。</w:t>
      </w:r>
    </w:p>
    <w:p w14:paraId="69FD392B">
      <w:pPr>
        <w:ind w:firstLine="640"/>
      </w:pPr>
      <w:bookmarkStart w:id="266" w:name="_Toc4725"/>
      <w:r>
        <w:rPr>
          <w:rFonts w:hint="eastAsia"/>
        </w:rPr>
        <w:t>“一横”指东西向G102国道两侧道路绿化形成的主要交通景观轴。</w:t>
      </w:r>
    </w:p>
    <w:p w14:paraId="32871A03">
      <w:pPr>
        <w:ind w:firstLine="640"/>
      </w:pPr>
      <w:r>
        <w:rPr>
          <w:rFonts w:hint="eastAsia"/>
        </w:rPr>
        <w:t>“两纵”指西大村—堆峰里村—拉拉街村—中山村—小堆峰村贯穿乡域南北方向的区域性交通景观轴线；指新发村—丰年村—谷大村—宏图村—西冯村贯穿乡域南北方向的区域性交通景观轴线。</w:t>
      </w:r>
    </w:p>
    <w:p w14:paraId="03FDB471">
      <w:pPr>
        <w:ind w:firstLine="640"/>
      </w:pPr>
      <w:r>
        <w:rPr>
          <w:rFonts w:hint="eastAsia"/>
        </w:rPr>
        <w:t>“一心”指乡政府驻地景观核心。</w:t>
      </w:r>
    </w:p>
    <w:p w14:paraId="3700143D">
      <w:pPr>
        <w:ind w:firstLine="640"/>
      </w:pPr>
      <w:r>
        <w:rPr>
          <w:rFonts w:hint="eastAsia"/>
        </w:rPr>
        <w:t>“多点”指乡域内各个村落的传统民俗景观节点。</w:t>
      </w:r>
    </w:p>
    <w:p w14:paraId="1915430D">
      <w:pPr>
        <w:pStyle w:val="28"/>
        <w:numPr>
          <w:ilvl w:val="0"/>
          <w:numId w:val="1"/>
        </w:numPr>
        <w:spacing w:before="217" w:after="217"/>
      </w:pPr>
      <w:r>
        <w:rPr>
          <w:rFonts w:hint="eastAsia"/>
        </w:rPr>
        <w:t xml:space="preserve"> 乡政府驻地风貌引导</w:t>
      </w:r>
      <w:bookmarkEnd w:id="265"/>
      <w:bookmarkEnd w:id="266"/>
    </w:p>
    <w:p w14:paraId="5FBA09DC">
      <w:pPr>
        <w:ind w:firstLine="640"/>
      </w:pPr>
      <w:r>
        <w:rPr>
          <w:rFonts w:hint="eastAsia"/>
        </w:rPr>
        <w:t>将乡政府驻地的景观风貌分为3类风貌：</w:t>
      </w:r>
    </w:p>
    <w:p w14:paraId="7F192957">
      <w:pPr>
        <w:ind w:firstLine="640"/>
      </w:pPr>
      <w:bookmarkStart w:id="267" w:name="_Toc17350"/>
      <w:bookmarkStart w:id="268" w:name="_Toc119920905"/>
      <w:bookmarkStart w:id="269" w:name="_Toc122615895"/>
      <w:r>
        <w:rPr>
          <w:rFonts w:hint="eastAsia"/>
        </w:rPr>
        <w:t>传统民居风貌片区：包括乡政府驻地的居民生活区。</w:t>
      </w:r>
    </w:p>
    <w:p w14:paraId="0353E871">
      <w:pPr>
        <w:ind w:firstLine="640"/>
      </w:pPr>
      <w:r>
        <w:rPr>
          <w:rFonts w:hint="eastAsia"/>
        </w:rPr>
        <w:t>公服商业风貌片区：指乡政府驻地中部公共服务设施和商业设施较为集中的片区。</w:t>
      </w:r>
    </w:p>
    <w:p w14:paraId="4508F803">
      <w:pPr>
        <w:ind w:firstLine="640"/>
      </w:pPr>
      <w:r>
        <w:rPr>
          <w:rFonts w:hint="eastAsia"/>
        </w:rPr>
        <w:t>现代产业风貌片区：指政府驻地东侧现代物流加工片区。</w:t>
      </w:r>
    </w:p>
    <w:p w14:paraId="041F7771">
      <w:pPr>
        <w:pStyle w:val="28"/>
        <w:numPr>
          <w:ilvl w:val="0"/>
          <w:numId w:val="1"/>
        </w:numPr>
        <w:spacing w:before="217" w:after="217"/>
      </w:pPr>
      <w:r>
        <w:rPr>
          <w:rFonts w:hint="eastAsia"/>
        </w:rPr>
        <w:t xml:space="preserve"> 居民点风貌引导</w:t>
      </w:r>
      <w:bookmarkEnd w:id="267"/>
      <w:bookmarkEnd w:id="268"/>
      <w:bookmarkEnd w:id="269"/>
    </w:p>
    <w:p w14:paraId="4635E731">
      <w:pPr>
        <w:ind w:firstLine="640"/>
      </w:pPr>
      <w:r>
        <w:rPr>
          <w:rFonts w:hint="eastAsia"/>
        </w:rPr>
        <w:t>居民点内的建筑及布置应符合北方寒地文化特色，尽量采用耐寒建筑材料，南北向布置并严格控制建筑间距。同时充分发挥居民点周围自然环境特色，将自然景观引入居民点。</w:t>
      </w:r>
      <w:bookmarkStart w:id="270" w:name="_Toc122541317"/>
      <w:bookmarkStart w:id="271" w:name="_Toc1760"/>
      <w:bookmarkStart w:id="272" w:name="_Toc122541824"/>
    </w:p>
    <w:p w14:paraId="1CF32509">
      <w:pPr>
        <w:pStyle w:val="28"/>
        <w:numPr>
          <w:ilvl w:val="0"/>
          <w:numId w:val="1"/>
        </w:numPr>
        <w:spacing w:before="217" w:after="217"/>
      </w:pPr>
      <w:r>
        <w:rPr>
          <w:rFonts w:hint="eastAsia"/>
        </w:rPr>
        <w:t xml:space="preserve"> 加强地名管理，保护地方传统特色</w:t>
      </w:r>
    </w:p>
    <w:p w14:paraId="36E082C4">
      <w:pPr>
        <w:ind w:firstLine="640"/>
      </w:pPr>
      <w:r>
        <w:rPr>
          <w:rFonts w:hint="eastAsia"/>
        </w:rPr>
        <w:t>加强乡村地名命名管理，健全乡村地名标志体系，传承弘扬乡村地名文化，助力乡村全面振兴。</w:t>
      </w:r>
    </w:p>
    <w:p w14:paraId="5E057164">
      <w:pPr>
        <w:ind w:firstLine="640"/>
      </w:pPr>
      <w:r>
        <w:rPr>
          <w:rFonts w:hint="eastAsia"/>
        </w:rPr>
        <w:t>根据《地名管理条例》《关于印发黑龙江省开展“乡村著名行动”助力乡村振兴实施方案的通知》（黑民发〔2024〕4号）、《关于印发〈黑龙江省地名文化遗产保护名录〉推荐工作实施方案的通知》（黑民函〔2023〕150号）、《佳木斯市地名方案（2024—2026年）》等相关要求，主要针对社区、行政村、自然村（屯），道路、街巷，建筑物、住宅区（群），桥梁，公园、广场、绿地，自然、人文景观等进行规范命名，以保持地名稳定，突出本地特点、与城市建设规划紧密结合，整体与局部相协调，同时要具有时代特征、实操性。</w:t>
      </w:r>
    </w:p>
    <w:p w14:paraId="11DC0184">
      <w:pPr>
        <w:pStyle w:val="26"/>
        <w:numPr>
          <w:ilvl w:val="0"/>
          <w:numId w:val="2"/>
        </w:numPr>
        <w:spacing w:before="217" w:after="217"/>
      </w:pPr>
      <w:r>
        <w:br w:type="page"/>
      </w:r>
      <w:bookmarkStart w:id="273" w:name="_Toc65"/>
      <w:bookmarkStart w:id="274" w:name="_Toc142552538"/>
      <w:r>
        <w:rPr>
          <w:rFonts w:hint="eastAsia"/>
        </w:rPr>
        <w:t xml:space="preserve"> </w:t>
      </w:r>
      <w:bookmarkStart w:id="275" w:name="_Toc17949"/>
      <w:r>
        <w:rPr>
          <w:rFonts w:hint="eastAsia"/>
        </w:rPr>
        <w:t>生态修复</w:t>
      </w:r>
      <w:bookmarkEnd w:id="270"/>
      <w:bookmarkEnd w:id="271"/>
      <w:bookmarkEnd w:id="272"/>
      <w:r>
        <w:rPr>
          <w:rFonts w:hint="eastAsia"/>
        </w:rPr>
        <w:t>与国土综合整治</w:t>
      </w:r>
      <w:bookmarkEnd w:id="273"/>
      <w:bookmarkEnd w:id="274"/>
      <w:bookmarkEnd w:id="275"/>
    </w:p>
    <w:p w14:paraId="4032E5EB">
      <w:pPr>
        <w:pStyle w:val="28"/>
        <w:numPr>
          <w:ilvl w:val="0"/>
          <w:numId w:val="1"/>
        </w:numPr>
        <w:spacing w:before="217" w:after="217"/>
      </w:pPr>
      <w:bookmarkStart w:id="276" w:name="_Toc122541825"/>
      <w:bookmarkStart w:id="277" w:name="_Toc23542"/>
      <w:bookmarkStart w:id="278" w:name="_Toc122541318"/>
      <w:r>
        <w:rPr>
          <w:rFonts w:hint="eastAsia"/>
        </w:rPr>
        <w:t xml:space="preserve"> 规划目标</w:t>
      </w:r>
    </w:p>
    <w:p w14:paraId="7BAB2E5A">
      <w:pPr>
        <w:ind w:firstLine="640"/>
      </w:pPr>
      <w:r>
        <w:rPr>
          <w:rFonts w:hint="eastAsia"/>
        </w:rPr>
        <w:t>通过统筹“山水林田湖草”一体化修复与治理，基于生态空间、农业空间、城镇空间不同整治修复重点，以提升生态功能、优化空间布局、改善人居环境为核心，通过生态修复、土地整治、城市更新等手段，建成绿色、美丽、富裕、平安、兴旺现代化小镇。</w:t>
      </w:r>
    </w:p>
    <w:p w14:paraId="711E258F">
      <w:pPr>
        <w:pStyle w:val="28"/>
        <w:numPr>
          <w:ilvl w:val="0"/>
          <w:numId w:val="1"/>
        </w:numPr>
        <w:spacing w:before="217" w:after="217"/>
      </w:pPr>
      <w:r>
        <w:rPr>
          <w:rFonts w:hint="eastAsia"/>
        </w:rPr>
        <w:t xml:space="preserve"> 生态修复</w:t>
      </w:r>
    </w:p>
    <w:p w14:paraId="2C93CA53">
      <w:pPr>
        <w:ind w:firstLine="640"/>
      </w:pPr>
      <w:r>
        <w:rPr>
          <w:rFonts w:hint="eastAsia"/>
        </w:rPr>
        <w:t>1.水环境生态修复</w:t>
      </w:r>
    </w:p>
    <w:p w14:paraId="3CC590DE">
      <w:pPr>
        <w:ind w:firstLine="640"/>
        <w:rPr>
          <w:bCs/>
        </w:rPr>
      </w:pPr>
      <w:r>
        <w:rPr>
          <w:bCs/>
        </w:rPr>
        <w:t>确定水环境综合治理目标，确定水土保护等级和要求，落实河流水系和流域治理重点工程，改善水体功能。</w:t>
      </w:r>
    </w:p>
    <w:p w14:paraId="02536FC4">
      <w:pPr>
        <w:ind w:firstLine="640"/>
      </w:pPr>
      <w:r>
        <w:rPr>
          <w:bCs/>
        </w:rPr>
        <w:t>河流治理与堤防护岸工程：</w:t>
      </w:r>
      <w:r>
        <w:rPr>
          <w:rFonts w:hint="eastAsia"/>
          <w:bCs/>
        </w:rPr>
        <w:t>铃铛麦河</w:t>
      </w:r>
      <w:r>
        <w:rPr>
          <w:bCs/>
        </w:rPr>
        <w:t>等</w:t>
      </w:r>
      <w:r>
        <w:rPr>
          <w:rFonts w:hint="eastAsia"/>
          <w:bCs/>
        </w:rPr>
        <w:t>中</w:t>
      </w:r>
      <w:r>
        <w:rPr>
          <w:bCs/>
        </w:rPr>
        <w:t>小流域进行综合治理，防洪标准按20年一遇设计，护岸级别为5级。同时</w:t>
      </w:r>
      <w:r>
        <w:rPr>
          <w:rFonts w:hint="eastAsia"/>
        </w:rPr>
        <w:t>‌通过河道清淤疏浚、‌生态修复等措施，‌治理河道内源污染。</w:t>
      </w:r>
    </w:p>
    <w:p w14:paraId="55F360E2">
      <w:pPr>
        <w:ind w:firstLine="640"/>
      </w:pPr>
      <w:r>
        <w:rPr>
          <w:rFonts w:hint="eastAsia"/>
        </w:rPr>
        <w:t>2.湿地生态修复</w:t>
      </w:r>
    </w:p>
    <w:p w14:paraId="74D89E29">
      <w:pPr>
        <w:ind w:firstLine="640"/>
        <w:rPr>
          <w:bCs/>
        </w:rPr>
      </w:pPr>
      <w:r>
        <w:rPr>
          <w:rFonts w:hint="eastAsia"/>
        </w:rPr>
        <w:t>主要针对湿地退化和受损等生态问题，在保证耕地数量基本稳定条件下，对重要湿地保护范围内，遵循宜草则草、宜林则林、宜水则水原则，采取退耕还湿、生态补水、水体修复、河道疏浚、建设人工湿地、恢复植被，营建湿地动物栖息地，在恢复湿地生态的基础上开展湿地景观建设等。</w:t>
      </w:r>
      <w:r>
        <w:rPr>
          <w:bCs/>
        </w:rPr>
        <w:t>修复区域主要位于</w:t>
      </w:r>
      <w:r>
        <w:rPr>
          <w:rFonts w:hint="eastAsia"/>
          <w:bCs/>
        </w:rPr>
        <w:t>乡</w:t>
      </w:r>
      <w:r>
        <w:rPr>
          <w:bCs/>
        </w:rPr>
        <w:t>域的</w:t>
      </w:r>
      <w:r>
        <w:rPr>
          <w:rFonts w:hint="eastAsia"/>
          <w:bCs/>
        </w:rPr>
        <w:t>铃铛麦河流域沿线</w:t>
      </w:r>
      <w:r>
        <w:rPr>
          <w:bCs/>
        </w:rPr>
        <w:t>。</w:t>
      </w:r>
    </w:p>
    <w:p w14:paraId="3538767E">
      <w:pPr>
        <w:ind w:firstLine="640"/>
        <w:rPr>
          <w:bCs/>
        </w:rPr>
      </w:pPr>
      <w:r>
        <w:rPr>
          <w:rFonts w:hint="eastAsia"/>
          <w:bCs/>
        </w:rPr>
        <w:t>3.天然林资源保护、退耕还林工程</w:t>
      </w:r>
    </w:p>
    <w:p w14:paraId="52269351">
      <w:pPr>
        <w:ind w:firstLine="640"/>
        <w:rPr>
          <w:bCs/>
        </w:rPr>
      </w:pPr>
      <w:r>
        <w:rPr>
          <w:rFonts w:hint="eastAsia"/>
          <w:bCs/>
        </w:rPr>
        <w:t>继续推进三北防护林体系建设，全面保护天然林资源，实施封山育林、退牧还林，加强水源涵养林、防护林建设和退化林修复，增加改造、培育森林资源面积；经过修复和保护工程，建成功能完善的森林生态体系。</w:t>
      </w:r>
    </w:p>
    <w:p w14:paraId="2CEE7892">
      <w:pPr>
        <w:ind w:firstLine="640"/>
        <w:rPr>
          <w:bCs/>
        </w:rPr>
      </w:pPr>
      <w:r>
        <w:rPr>
          <w:rFonts w:hint="eastAsia"/>
          <w:bCs/>
        </w:rPr>
        <w:t>4.土壤污染防治</w:t>
      </w:r>
    </w:p>
    <w:p w14:paraId="53945354">
      <w:pPr>
        <w:ind w:firstLine="640"/>
      </w:pPr>
      <w:r>
        <w:t>建设农业循环体系，深入推进农业生产控肥增效、控药减害、控水降耗、控膜提效</w:t>
      </w:r>
      <w:r>
        <w:rPr>
          <w:rFonts w:hint="eastAsia"/>
        </w:rPr>
        <w:t>“</w:t>
      </w:r>
      <w:r>
        <w:t>四控</w:t>
      </w:r>
      <w:r>
        <w:rPr>
          <w:rFonts w:hint="eastAsia"/>
        </w:rPr>
        <w:t>”</w:t>
      </w:r>
      <w:r>
        <w:t>行动，推动农作物秸秆肥料化、饲料化、燃料化、基料化和原料化利用。对于农业中废弃的秸秆，通过采用工程措施和生物措施将农作物秸秆还田</w:t>
      </w:r>
      <w:r>
        <w:rPr>
          <w:rFonts w:hint="eastAsia"/>
        </w:rPr>
        <w:t>，</w:t>
      </w:r>
      <w:r>
        <w:t>改善土壤物理性质，提高土壤通透性，优化农田生态环境。全面推进秸秆饲料化、肥料化、能源化、基料化和原料化利用，着力提高秸秆综合利用能力。加强实施畜禽粪便资源化利用工程，加强农药包装废弃物和废旧农膜的回收、处理与综合利用。</w:t>
      </w:r>
    </w:p>
    <w:p w14:paraId="7C4D92A1">
      <w:pPr>
        <w:ind w:firstLine="640"/>
        <w:rPr>
          <w:bCs/>
        </w:rPr>
      </w:pPr>
      <w:r>
        <w:rPr>
          <w:rFonts w:hint="eastAsia"/>
          <w:bCs/>
        </w:rPr>
        <w:t>5.矿山生态修复</w:t>
      </w:r>
    </w:p>
    <w:p w14:paraId="46FF37E1">
      <w:pPr>
        <w:ind w:firstLine="640"/>
      </w:pPr>
      <w:r>
        <w:rPr>
          <w:rFonts w:hint="eastAsia"/>
        </w:rPr>
        <w:t>结合矿山地质环境详细调查结果和桦川县矿山地质环境发展变化趋势分析，充分考虑矿山地质环境问题对人居环境、工农（牧）业生产、区域经济发展造成的影响，按照矿产资源开发与矿山地质环境保护治理并重的原则。</w:t>
      </w:r>
    </w:p>
    <w:p w14:paraId="480F8349">
      <w:pPr>
        <w:ind w:firstLine="640"/>
        <w:rPr>
          <w:bCs/>
        </w:rPr>
      </w:pPr>
      <w:r>
        <w:rPr>
          <w:rFonts w:hint="eastAsia"/>
          <w:bCs/>
        </w:rPr>
        <w:t>6.草地修复</w:t>
      </w:r>
    </w:p>
    <w:p w14:paraId="162C6B7A">
      <w:pPr>
        <w:ind w:firstLine="640" w:firstLineChars="0"/>
        <w:rPr>
          <w:rFonts w:cs="宋体"/>
          <w:szCs w:val="36"/>
        </w:rPr>
      </w:pPr>
      <w:r>
        <w:rPr>
          <w:rFonts w:hint="eastAsia"/>
        </w:rPr>
        <w:t>严格落实基本草原保护制度。全面落实草原生态保护补助奖励政策，深入实施退牧还草、严重退化草地生态修复等工程。统筹草原生产与生态功能，加大种植业结构调整力度，增加优质饲草种植面积。</w:t>
      </w:r>
    </w:p>
    <w:bookmarkEnd w:id="276"/>
    <w:bookmarkEnd w:id="277"/>
    <w:bookmarkEnd w:id="278"/>
    <w:p w14:paraId="4123E6A3">
      <w:pPr>
        <w:pStyle w:val="28"/>
        <w:numPr>
          <w:ilvl w:val="0"/>
          <w:numId w:val="1"/>
        </w:numPr>
        <w:spacing w:before="217" w:after="217"/>
      </w:pPr>
      <w:bookmarkStart w:id="279" w:name="_Toc122615931"/>
      <w:bookmarkStart w:id="280" w:name="_Toc25749"/>
      <w:bookmarkStart w:id="281" w:name="_Toc122541319"/>
      <w:bookmarkStart w:id="282" w:name="_Toc122542170"/>
      <w:bookmarkStart w:id="283" w:name="_Toc122541826"/>
      <w:r>
        <w:rPr>
          <w:rFonts w:hint="eastAsia"/>
        </w:rPr>
        <w:t xml:space="preserve"> 农用地综合整治</w:t>
      </w:r>
      <w:bookmarkEnd w:id="279"/>
      <w:bookmarkEnd w:id="280"/>
      <w:bookmarkEnd w:id="281"/>
      <w:bookmarkEnd w:id="282"/>
      <w:bookmarkEnd w:id="283"/>
    </w:p>
    <w:p w14:paraId="1953C15A">
      <w:pPr>
        <w:ind w:firstLine="640"/>
      </w:pPr>
      <w:r>
        <w:rPr>
          <w:rFonts w:hint="eastAsia"/>
        </w:rPr>
        <w:t>1.加强高标准基本农田建设</w:t>
      </w:r>
    </w:p>
    <w:p w14:paraId="3D2D4DC5">
      <w:pPr>
        <w:ind w:firstLine="640"/>
      </w:pPr>
      <w:r>
        <w:rPr>
          <w:rFonts w:hint="eastAsia"/>
        </w:rPr>
        <w:t>按照“田成方、林成网、路相连、旱能灌、涝能排、渍能降”的标准，建设兼具社会效益与经济效益的高标准农田，有序推进全域高标准农田建设工作。按照耕地增加、用地节约、要素集聚、布局优化的要求，以整体推进山、水、林、田、湖、草综合整治为平台，改善农田基础设施，大力提升防洪、排涝等抵御自然灾害的能力，提升土地集约利用水平，提高粮食综合生产能力。</w:t>
      </w:r>
    </w:p>
    <w:p w14:paraId="0E0D61A0">
      <w:pPr>
        <w:ind w:firstLine="640"/>
      </w:pPr>
      <w:r>
        <w:rPr>
          <w:rFonts w:hint="eastAsia"/>
        </w:rPr>
        <w:t>2.黑土地保护</w:t>
      </w:r>
    </w:p>
    <w:p w14:paraId="3266EF8C">
      <w:pPr>
        <w:ind w:firstLine="640"/>
      </w:pPr>
      <w:r>
        <w:rPr>
          <w:rFonts w:hint="eastAsia"/>
        </w:rPr>
        <w:t>通过实施秸秆还田等办法提升土壤有机质含量。根据土壤类型制定相应的改良方案，进行土地平整、黑土回填、配套建设田间道路等。</w:t>
      </w:r>
      <w:bookmarkStart w:id="284" w:name="_Toc301182479"/>
      <w:bookmarkStart w:id="285" w:name="_Toc336247908"/>
      <w:bookmarkStart w:id="286" w:name="_Toc329724564"/>
    </w:p>
    <w:p w14:paraId="32009F15">
      <w:pPr>
        <w:ind w:firstLine="640"/>
      </w:pPr>
      <w:r>
        <w:rPr>
          <w:rFonts w:hint="eastAsia"/>
        </w:rPr>
        <w:t>3.大力加强耕地质量</w:t>
      </w:r>
      <w:bookmarkEnd w:id="284"/>
      <w:r>
        <w:rPr>
          <w:rFonts w:hint="eastAsia"/>
        </w:rPr>
        <w:t>建设</w:t>
      </w:r>
      <w:bookmarkEnd w:id="285"/>
      <w:bookmarkEnd w:id="286"/>
    </w:p>
    <w:p w14:paraId="5CE3BE92">
      <w:pPr>
        <w:ind w:firstLine="640"/>
      </w:pPr>
      <w:r>
        <w:rPr>
          <w:rFonts w:hint="eastAsia"/>
        </w:rPr>
        <w:t>严格按照农田整治工程标准，加大中、低质量等级耕地的改造力度。推进土地平整工程，规整田块，改善农业机械化作业条件。完善田间道路系统，优化田间道路、生产路布局，提高道路的荷载标准和通达度。加强田间灌溉与排水工程建设，提高耕地灌溉面积比例和渠系水利用系数，增强农田防洪排涝能力。</w:t>
      </w:r>
    </w:p>
    <w:p w14:paraId="2812CDFE">
      <w:pPr>
        <w:ind w:firstLine="640"/>
      </w:pPr>
      <w:bookmarkStart w:id="287" w:name="_Toc340504565"/>
      <w:r>
        <w:rPr>
          <w:rFonts w:hint="eastAsia"/>
        </w:rPr>
        <w:t>4.适度开发宜耕未利用地</w:t>
      </w:r>
    </w:p>
    <w:p w14:paraId="747552C6">
      <w:pPr>
        <w:ind w:firstLine="640"/>
      </w:pPr>
      <w:r>
        <w:rPr>
          <w:rFonts w:hint="eastAsia"/>
        </w:rPr>
        <w:t>根据全域经济社会发展要求，在保护和改善生态环境的前提下，科学规划，统筹安排，适时适度开发宜耕未利用地，保障耕地占补平衡。同时强化补充耕地的质量建设与管理，实现耕地数量和质量的并重管理，依据农用地分等定级技术规范和标准，严格进行补充耕地质量验收。加大农田水利、田间道路、林网等基础设施建设，改善补充耕地的生产条件。加强补充耕地的后期管护，确保其有效利用，防止抛荒。</w:t>
      </w:r>
    </w:p>
    <w:p w14:paraId="53F57D66">
      <w:pPr>
        <w:ind w:firstLine="640"/>
      </w:pPr>
      <w:r>
        <w:rPr>
          <w:rFonts w:hint="eastAsia"/>
        </w:rPr>
        <w:t>5.积极开展其他农用地整治</w:t>
      </w:r>
      <w:bookmarkEnd w:id="287"/>
    </w:p>
    <w:p w14:paraId="0BD89B7B">
      <w:pPr>
        <w:ind w:firstLine="640"/>
      </w:pPr>
      <w:r>
        <w:rPr>
          <w:rFonts w:hint="eastAsia"/>
        </w:rPr>
        <w:t>发挥土地整治对农业结构调整的引导作用，在稳定和增加耕地面积的基础上，合理配置其他农用地，充分利用荒山、荒地发展经济作物，提高农用地利用效率和效益。</w:t>
      </w:r>
    </w:p>
    <w:p w14:paraId="0FD186F7">
      <w:pPr>
        <w:ind w:firstLine="640"/>
      </w:pPr>
      <w:r>
        <w:rPr>
          <w:rFonts w:hint="eastAsia"/>
        </w:rPr>
        <w:t>统筹安排农业用地，充分发挥林牧等农用地的生产、生态、景观和间隔的综合功能，拓展绿色空间。加强低效林地的改造，加快受损林地的恢复、重建。</w:t>
      </w:r>
    </w:p>
    <w:p w14:paraId="74337DEE">
      <w:pPr>
        <w:ind w:firstLine="640"/>
      </w:pPr>
      <w:bookmarkStart w:id="288" w:name="_Toc122542171"/>
      <w:bookmarkStart w:id="289" w:name="_Toc122615932"/>
      <w:bookmarkStart w:id="290" w:name="_Toc122541320"/>
      <w:bookmarkStart w:id="291" w:name="_Toc122541827"/>
      <w:bookmarkStart w:id="292" w:name="_Toc12422"/>
      <w:r>
        <w:rPr>
          <w:rFonts w:hint="eastAsia"/>
        </w:rPr>
        <w:t>6.后备土地资源开发</w:t>
      </w:r>
    </w:p>
    <w:p w14:paraId="7673093F">
      <w:pPr>
        <w:ind w:firstLine="640"/>
      </w:pPr>
      <w:r>
        <w:rPr>
          <w:rFonts w:hint="eastAsia"/>
        </w:rPr>
        <w:t>坚持“在保护中开发、在开发中保护”的原则，避开生态脆弱区、生态退耕区等，在有助于改善农村生产生活条件和当地生态环境的前提下，适度开发宜耕未利用地，有效补充耕地数量。</w:t>
      </w:r>
    </w:p>
    <w:p w14:paraId="3636A468">
      <w:pPr>
        <w:pStyle w:val="28"/>
        <w:keepNext/>
        <w:numPr>
          <w:ilvl w:val="0"/>
          <w:numId w:val="1"/>
        </w:numPr>
        <w:spacing w:before="217" w:after="217"/>
      </w:pPr>
      <w:r>
        <w:rPr>
          <w:rFonts w:hint="eastAsia"/>
        </w:rPr>
        <w:t xml:space="preserve"> 建设用地综合整治</w:t>
      </w:r>
    </w:p>
    <w:p w14:paraId="694E009F">
      <w:pPr>
        <w:keepNext/>
        <w:ind w:firstLine="640"/>
      </w:pPr>
      <w:r>
        <w:rPr>
          <w:rFonts w:hint="eastAsia"/>
        </w:rPr>
        <w:t>1.城镇建设用地综合整治</w:t>
      </w:r>
    </w:p>
    <w:p w14:paraId="707AC19B">
      <w:pPr>
        <w:keepNext/>
        <w:ind w:firstLine="640"/>
      </w:pPr>
      <w:r>
        <w:rPr>
          <w:rFonts w:hint="eastAsia"/>
        </w:rPr>
        <w:t>优化城镇用地布局结构，明确城镇发展方向和空间布局，提高土地利用效率和城镇空间的合理性。挖掘城镇用地范围内的闲置用地和低效用地，增加城镇的存量空间，满足城镇内涵式发展的用地需求。通过对棚户区、闲置企业、闲置商业以及城中村的更新改造，使城镇空间结构和用地布局更加优化，基础设施和公共服务配置大幅度提升，产业功能和效益有效加强，实现城乡生命体共同高质量发展。</w:t>
      </w:r>
    </w:p>
    <w:p w14:paraId="30623C17">
      <w:pPr>
        <w:ind w:firstLine="640"/>
        <w:rPr>
          <w:rFonts w:eastAsia="等线"/>
        </w:rPr>
      </w:pPr>
      <w:r>
        <w:rPr>
          <w:rFonts w:hint="eastAsia"/>
        </w:rPr>
        <w:t>2.村庄建设用地</w:t>
      </w:r>
      <w:r>
        <w:rPr>
          <w:rFonts w:hint="eastAsia" w:ascii="Arial" w:hAnsi="Arial" w:cs="Arial"/>
          <w:szCs w:val="32"/>
        </w:rPr>
        <w:t>整治</w:t>
      </w:r>
    </w:p>
    <w:p w14:paraId="43A7FDAC">
      <w:pPr>
        <w:ind w:firstLine="640"/>
      </w:pPr>
      <w:r>
        <w:rPr>
          <w:rFonts w:hint="eastAsia"/>
        </w:rPr>
        <w:t>有序开展农村宅基地优化整理，充分利用农村闲置集体经营性建设用地。在村庄建设用地规划范围内，可优先将腾退的宅基地等闲散建设用地，集中用于乡村产业发展。</w:t>
      </w:r>
    </w:p>
    <w:p w14:paraId="1EBB759F">
      <w:pPr>
        <w:ind w:firstLine="640"/>
      </w:pPr>
      <w:r>
        <w:t>加强</w:t>
      </w:r>
      <w:r>
        <w:rPr>
          <w:rFonts w:hint="eastAsia"/>
        </w:rPr>
        <w:t>村庄</w:t>
      </w:r>
      <w:r>
        <w:t>居民点风貌整治引导。改善村庄公共环境，开展庭院环境整治，解决脏乱差问题，发展庭院经济，实现村容村貌和农民收入双提升。提升</w:t>
      </w:r>
      <w:r>
        <w:rPr>
          <w:rFonts w:hint="eastAsia"/>
        </w:rPr>
        <w:t>居民点</w:t>
      </w:r>
      <w:r>
        <w:t>建筑风貌，突出乡土特色、民族特色，弘扬农耕文化，新建农房严格控制体量和风貌，已有农房结合质量安全改造提升风貌，传统建筑在严格保护的前提下加以修缮。实施乡村绿化行动，开展村屯街巷绿化，因地制宜种植树木花草，提高村屯绿化水平。</w:t>
      </w:r>
    </w:p>
    <w:p w14:paraId="189C08D7">
      <w:pPr>
        <w:ind w:firstLine="640"/>
      </w:pPr>
      <w:r>
        <w:t>加强</w:t>
      </w:r>
      <w:r>
        <w:rPr>
          <w:rFonts w:hint="eastAsia"/>
        </w:rPr>
        <w:t>村庄居民点</w:t>
      </w:r>
      <w:r>
        <w:t>基础设施和公共服务设施建设，进一步配套农村道路建设、自来水供给、污水处理、公共交通、宽带网络、电气等基础设施。统筹垃圾处置点和污水处理</w:t>
      </w:r>
      <w:r>
        <w:rPr>
          <w:rFonts w:hint="eastAsia"/>
        </w:rPr>
        <w:t>设施的</w:t>
      </w:r>
      <w:r>
        <w:t>规划布局，因地制宜发展分散型、生态型的小型垃圾污水处理点。</w:t>
      </w:r>
      <w:bookmarkStart w:id="293" w:name="_Toc122615933"/>
      <w:bookmarkStart w:id="294" w:name="_Toc122541828"/>
      <w:bookmarkStart w:id="295" w:name="_Toc25335"/>
      <w:bookmarkStart w:id="296" w:name="_Toc122542172"/>
      <w:bookmarkStart w:id="297" w:name="_Toc122541321"/>
    </w:p>
    <w:bookmarkEnd w:id="293"/>
    <w:bookmarkEnd w:id="294"/>
    <w:bookmarkEnd w:id="295"/>
    <w:bookmarkEnd w:id="296"/>
    <w:bookmarkEnd w:id="297"/>
    <w:p w14:paraId="350BDCCC">
      <w:pPr>
        <w:ind w:firstLine="640"/>
      </w:pPr>
      <w:r>
        <w:rPr>
          <w:rFonts w:hint="eastAsia"/>
        </w:rPr>
        <w:t>3.建设用地增减挂钩</w:t>
      </w:r>
    </w:p>
    <w:p w14:paraId="23225CE5">
      <w:pPr>
        <w:ind w:firstLine="640"/>
      </w:pPr>
      <w:r>
        <w:rPr>
          <w:rFonts w:hint="eastAsia"/>
        </w:rPr>
        <w:t>村庄用地整治：对空心村进行评估调查，选取土地整治条件好，潜力强的村庄，因地制宜制定“空心村”整治方案。采用村庄合并、原址新建、扶贫搬迁等措施进行土地整治，对通过“空心村”整治复垦出的耕地，可保持原土地使用权人不变，也可由农村集体经济组织统—调整使用或进行承包。对在整治中被拆除腾挪出的建设用地全部收归村委会统一管理，统一审批和监管，安排流转使用或指标售卖。</w:t>
      </w:r>
      <w:bookmarkEnd w:id="288"/>
      <w:bookmarkEnd w:id="289"/>
      <w:bookmarkEnd w:id="290"/>
      <w:bookmarkEnd w:id="291"/>
      <w:bookmarkEnd w:id="292"/>
    </w:p>
    <w:p w14:paraId="78528E69">
      <w:pPr>
        <w:pStyle w:val="28"/>
        <w:numPr>
          <w:ilvl w:val="0"/>
          <w:numId w:val="1"/>
        </w:numPr>
        <w:spacing w:before="217" w:after="217"/>
        <w:sectPr>
          <w:pgSz w:w="11906" w:h="16838"/>
          <w:pgMar w:top="1440" w:right="1797" w:bottom="1440" w:left="1797" w:header="851" w:footer="850" w:gutter="0"/>
          <w:cols w:space="720" w:num="1"/>
          <w:docGrid w:type="lines" w:linePitch="435" w:charSpace="0"/>
        </w:sectPr>
      </w:pPr>
      <w:bookmarkStart w:id="298" w:name="_Toc122542173"/>
      <w:bookmarkStart w:id="299" w:name="_Toc29124"/>
      <w:bookmarkStart w:id="300" w:name="_Toc122541829"/>
      <w:bookmarkStart w:id="301" w:name="_Toc122615934"/>
      <w:bookmarkStart w:id="302" w:name="_Toc122541322"/>
    </w:p>
    <w:bookmarkEnd w:id="298"/>
    <w:bookmarkEnd w:id="299"/>
    <w:bookmarkEnd w:id="300"/>
    <w:bookmarkEnd w:id="301"/>
    <w:bookmarkEnd w:id="302"/>
    <w:p w14:paraId="122E4E74">
      <w:pPr>
        <w:pStyle w:val="26"/>
        <w:numPr>
          <w:ilvl w:val="0"/>
          <w:numId w:val="2"/>
        </w:numPr>
        <w:spacing w:before="217" w:after="217"/>
      </w:pPr>
      <w:bookmarkStart w:id="303" w:name="_Toc122541333"/>
      <w:bookmarkStart w:id="304" w:name="_Toc142552541"/>
      <w:bookmarkStart w:id="305" w:name="_Toc122541840"/>
      <w:bookmarkStart w:id="306" w:name="_Toc11081"/>
      <w:bookmarkStart w:id="307" w:name="_Toc28457"/>
      <w:r>
        <w:t xml:space="preserve"> </w:t>
      </w:r>
      <w:bookmarkStart w:id="308" w:name="_Toc9213"/>
      <w:r>
        <w:t>规划传导与实施</w:t>
      </w:r>
      <w:bookmarkEnd w:id="303"/>
      <w:bookmarkEnd w:id="304"/>
      <w:bookmarkEnd w:id="305"/>
      <w:bookmarkEnd w:id="306"/>
      <w:bookmarkEnd w:id="307"/>
      <w:bookmarkEnd w:id="308"/>
    </w:p>
    <w:p w14:paraId="158478CF">
      <w:pPr>
        <w:pStyle w:val="27"/>
        <w:numPr>
          <w:ilvl w:val="0"/>
          <w:numId w:val="9"/>
        </w:numPr>
        <w:spacing w:before="217" w:after="217"/>
      </w:pPr>
      <w:bookmarkStart w:id="309" w:name="_Toc13821"/>
      <w:bookmarkStart w:id="310" w:name="_Toc122541334"/>
      <w:bookmarkStart w:id="311" w:name="_Toc122541841"/>
      <w:r>
        <w:rPr>
          <w:rFonts w:hint="eastAsia"/>
        </w:rPr>
        <w:t xml:space="preserve"> </w:t>
      </w:r>
      <w:bookmarkStart w:id="312" w:name="_Toc142552542"/>
      <w:bookmarkStart w:id="313" w:name="_Toc3944"/>
      <w:bookmarkStart w:id="314" w:name="_Toc15448"/>
      <w:r>
        <w:rPr>
          <w:rFonts w:hint="eastAsia"/>
        </w:rPr>
        <w:t>规划传导</w:t>
      </w:r>
      <w:bookmarkEnd w:id="309"/>
      <w:bookmarkEnd w:id="310"/>
      <w:bookmarkEnd w:id="311"/>
      <w:bookmarkEnd w:id="312"/>
      <w:r>
        <w:rPr>
          <w:rFonts w:hint="eastAsia"/>
        </w:rPr>
        <w:t>与管控</w:t>
      </w:r>
      <w:bookmarkEnd w:id="313"/>
      <w:bookmarkEnd w:id="314"/>
    </w:p>
    <w:p w14:paraId="161B4750">
      <w:pPr>
        <w:pStyle w:val="28"/>
        <w:numPr>
          <w:ilvl w:val="0"/>
          <w:numId w:val="1"/>
        </w:numPr>
        <w:spacing w:before="217" w:after="217"/>
      </w:pPr>
      <w:bookmarkStart w:id="315" w:name="_Toc12740"/>
      <w:bookmarkStart w:id="316" w:name="_Toc122541337"/>
      <w:bookmarkStart w:id="317" w:name="_Toc122542188"/>
      <w:bookmarkStart w:id="318" w:name="_Toc122615946"/>
      <w:bookmarkStart w:id="319" w:name="_Toc122541844"/>
      <w:bookmarkStart w:id="320" w:name="_Toc15728"/>
      <w:r>
        <w:rPr>
          <w:rFonts w:hint="eastAsia"/>
        </w:rPr>
        <w:t xml:space="preserve"> 城镇开发边界内详细规划传导</w:t>
      </w:r>
      <w:bookmarkEnd w:id="315"/>
      <w:bookmarkEnd w:id="316"/>
      <w:bookmarkEnd w:id="317"/>
      <w:bookmarkEnd w:id="318"/>
      <w:bookmarkEnd w:id="319"/>
      <w:bookmarkEnd w:id="320"/>
    </w:p>
    <w:p w14:paraId="2F8B7EB0">
      <w:pPr>
        <w:ind w:firstLine="640"/>
      </w:pPr>
      <w:r>
        <w:rPr>
          <w:rFonts w:hint="eastAsia"/>
        </w:rPr>
        <w:t>实现城镇开发边界内详细规划全覆盖，按照乡镇行政管理单元划分与指引划分详细规划编制单元，根据主导用途和结构控制要求编制详细规划，作为实施用地规划许可和规划管理的依据。在资源配置方面对单元层面落实总体规划的约束性指标分解，明确单元编号、单元名称、单元面积、主导功能等，根据实际需要细化用途分类及制定单元内部地块开发建设的具体规划细则，包括并不限于建设用地规模、开发强度、公共服务设施配建要求、市政公用设施配建要求、交通设施配建要求、防灾设施配建要求、控制线落实要求等刚性要素。</w:t>
      </w:r>
    </w:p>
    <w:p w14:paraId="1587E960">
      <w:pPr>
        <w:ind w:firstLine="640"/>
      </w:pPr>
      <w:r>
        <w:rPr>
          <w:rFonts w:hint="eastAsia"/>
        </w:rPr>
        <w:t>城镇开发边界内为城镇单元，主要以工业、物流、特殊功能为主。</w:t>
      </w:r>
    </w:p>
    <w:p w14:paraId="1A10CDA3">
      <w:pPr>
        <w:pStyle w:val="28"/>
        <w:numPr>
          <w:ilvl w:val="0"/>
          <w:numId w:val="1"/>
        </w:numPr>
        <w:spacing w:before="217" w:after="217"/>
      </w:pPr>
      <w:r>
        <w:rPr>
          <w:rFonts w:hint="eastAsia"/>
        </w:rPr>
        <w:t xml:space="preserve"> 城镇开发边界外详细规划传导</w:t>
      </w:r>
    </w:p>
    <w:p w14:paraId="11AD9DD1">
      <w:pPr>
        <w:ind w:firstLine="640"/>
      </w:pPr>
      <w:bookmarkStart w:id="321" w:name="OLE_LINK1"/>
      <w:r>
        <w:rPr>
          <w:rFonts w:hint="eastAsia"/>
        </w:rPr>
        <w:t>城镇开发边界外的建设，按照主导用途分区，实行“详细规划+规划许可”和“约束指标+分区准入”的管制方式，要求控制指标和要素配置等约束准入条件。</w:t>
      </w:r>
    </w:p>
    <w:p w14:paraId="4C8C05DC">
      <w:pPr>
        <w:ind w:firstLine="640"/>
      </w:pPr>
      <w:r>
        <w:rPr>
          <w:rFonts w:hint="eastAsia"/>
        </w:rPr>
        <w:t>有需求、有条件的村庄编制村庄规划，明确村庄规划边界、面积、功能定位、建设用地规模及重要设施配建标准或空间布局要求；落实生态保护红线和永久基本农田等强制性内容，引导不同类型的村屯居民点开发建设。</w:t>
      </w:r>
    </w:p>
    <w:p w14:paraId="32C9A5D6">
      <w:pPr>
        <w:ind w:firstLine="640"/>
      </w:pPr>
      <w:r>
        <w:rPr>
          <w:rFonts w:hint="eastAsia"/>
        </w:rPr>
        <w:t>对没有需求、不具备条件的村庄暂不编制村庄规划，对不编制村庄规划的村庄实行“</w:t>
      </w:r>
      <w:r>
        <w:t>通则式</w:t>
      </w:r>
      <w:r>
        <w:rPr>
          <w:rFonts w:hint="eastAsia"/>
        </w:rPr>
        <w:t>”</w:t>
      </w:r>
      <w:r>
        <w:t>规划管理。通过用途管制规则和建设管控要求，作为村庄规划建设管理依据，审批核发乡村建设规划许可。编制并依法批准村庄规划的村庄，以村庄规划为依据审批核发乡村建设规划许可。</w:t>
      </w:r>
      <w:bookmarkEnd w:id="321"/>
    </w:p>
    <w:p w14:paraId="7CEBBF35">
      <w:pPr>
        <w:pStyle w:val="27"/>
        <w:keepNext/>
        <w:numPr>
          <w:ilvl w:val="0"/>
          <w:numId w:val="9"/>
        </w:numPr>
        <w:spacing w:before="217" w:after="217"/>
      </w:pPr>
      <w:bookmarkStart w:id="322" w:name="_Toc24463"/>
      <w:bookmarkStart w:id="323" w:name="_Toc122541846"/>
      <w:bookmarkStart w:id="324" w:name="_Toc122541339"/>
      <w:r>
        <w:rPr>
          <w:rFonts w:hint="eastAsia"/>
        </w:rPr>
        <w:t xml:space="preserve"> </w:t>
      </w:r>
      <w:bookmarkEnd w:id="322"/>
      <w:bookmarkEnd w:id="323"/>
      <w:bookmarkEnd w:id="324"/>
      <w:bookmarkStart w:id="325" w:name="_Toc7024"/>
      <w:bookmarkStart w:id="326" w:name="_Toc13001"/>
      <w:r>
        <w:rPr>
          <w:rFonts w:hint="eastAsia"/>
        </w:rPr>
        <w:t>规划实施</w:t>
      </w:r>
      <w:bookmarkEnd w:id="325"/>
      <w:bookmarkEnd w:id="326"/>
    </w:p>
    <w:p w14:paraId="7B13447E">
      <w:pPr>
        <w:pStyle w:val="28"/>
        <w:keepNext/>
        <w:numPr>
          <w:ilvl w:val="0"/>
          <w:numId w:val="1"/>
        </w:numPr>
        <w:spacing w:before="217" w:after="217"/>
      </w:pPr>
      <w:bookmarkStart w:id="327" w:name="_Toc122542191"/>
      <w:bookmarkStart w:id="328" w:name="_Toc122541847"/>
      <w:bookmarkStart w:id="329" w:name="_Toc122615949"/>
      <w:bookmarkStart w:id="330" w:name="_Toc1729"/>
      <w:bookmarkStart w:id="331" w:name="_Toc122541340"/>
      <w:r>
        <w:rPr>
          <w:rFonts w:hint="eastAsia"/>
        </w:rPr>
        <w:t xml:space="preserve"> 近期建设</w:t>
      </w:r>
      <w:bookmarkEnd w:id="327"/>
      <w:bookmarkEnd w:id="328"/>
      <w:bookmarkEnd w:id="329"/>
      <w:bookmarkEnd w:id="330"/>
      <w:bookmarkEnd w:id="331"/>
    </w:p>
    <w:p w14:paraId="2D3799E0">
      <w:pPr>
        <w:keepNext/>
        <w:ind w:firstLine="640"/>
      </w:pPr>
      <w:r>
        <w:rPr>
          <w:rFonts w:hint="eastAsia"/>
        </w:rPr>
        <w:t>1.近期目标</w:t>
      </w:r>
    </w:p>
    <w:p w14:paraId="4916E2D8">
      <w:pPr>
        <w:ind w:firstLine="640"/>
      </w:pPr>
      <w:r>
        <w:rPr>
          <w:rFonts w:hint="eastAsia"/>
        </w:rPr>
        <w:t>近期年限至2</w:t>
      </w:r>
      <w:r>
        <w:t>025</w:t>
      </w:r>
      <w:r>
        <w:rPr>
          <w:rFonts w:hint="eastAsia"/>
        </w:rPr>
        <w:t>年。</w:t>
      </w:r>
      <w:r>
        <w:t>按照统一标准和要求，开展</w:t>
      </w:r>
      <w:r>
        <w:rPr>
          <w:rFonts w:hint="eastAsia"/>
        </w:rPr>
        <w:t>乡镇</w:t>
      </w:r>
      <w:r>
        <w:t>国土空间总体规划数据库建设，并及时逐级向上级自然资源主管部门汇交和更新，形成可层层叠加打开的、动态更新、权威统一的全</w:t>
      </w:r>
      <w:r>
        <w:rPr>
          <w:rFonts w:hint="eastAsia"/>
        </w:rPr>
        <w:t>乡域</w:t>
      </w:r>
      <w:r>
        <w:t>国土空间规划</w:t>
      </w:r>
      <w:r>
        <w:rPr>
          <w:rFonts w:hint="eastAsia"/>
        </w:rPr>
        <w:t>“</w:t>
      </w:r>
      <w:r>
        <w:t>一张图</w:t>
      </w:r>
      <w:r>
        <w:rPr>
          <w:rFonts w:hint="eastAsia"/>
        </w:rPr>
        <w:t>”</w:t>
      </w:r>
      <w:r>
        <w:t>，为统一国土空间用途管制、实施建设项目规划许可、强化规划实施监督提供依据和支撑。</w:t>
      </w:r>
    </w:p>
    <w:p w14:paraId="0E09425A">
      <w:pPr>
        <w:ind w:firstLine="640"/>
      </w:pPr>
      <w:bookmarkStart w:id="332" w:name="_Toc122615950"/>
      <w:bookmarkStart w:id="333" w:name="_Toc122541341"/>
      <w:bookmarkStart w:id="334" w:name="_Toc122542192"/>
      <w:bookmarkStart w:id="335" w:name="_Toc122541848"/>
      <w:bookmarkStart w:id="336" w:name="_Toc19649"/>
      <w:r>
        <w:rPr>
          <w:rFonts w:hint="eastAsia"/>
        </w:rPr>
        <w:t>2.重点建设项目</w:t>
      </w:r>
      <w:bookmarkEnd w:id="332"/>
      <w:bookmarkEnd w:id="333"/>
      <w:bookmarkEnd w:id="334"/>
      <w:bookmarkEnd w:id="335"/>
      <w:bookmarkEnd w:id="336"/>
    </w:p>
    <w:p w14:paraId="14432DEC">
      <w:pPr>
        <w:ind w:firstLine="640"/>
      </w:pPr>
      <w:r>
        <w:rPr>
          <w:rFonts w:hint="eastAsia"/>
        </w:rPr>
        <w:t>依托桦川县国民经济和社会发展“十四五”规划，落实桦川县国土空间总体规划近期重点建设项目，保障规划实施期间的重点项目建设用地需求，对近期的国土空间开发、保护、利用项目作出安排并制定近期实施计划，切实为近期重点项目用地提供保障。按项目类别对重点项目进行分类，涉及交通、水利、能源、电力、旅游等方面，确定创业乡重点项目共17个。</w:t>
      </w:r>
    </w:p>
    <w:p w14:paraId="70456530">
      <w:pPr>
        <w:pStyle w:val="28"/>
        <w:numPr>
          <w:ilvl w:val="0"/>
          <w:numId w:val="1"/>
        </w:numPr>
        <w:spacing w:before="217" w:after="217"/>
      </w:pPr>
      <w:bookmarkStart w:id="337" w:name="_Toc122541342"/>
      <w:bookmarkStart w:id="338" w:name="_Toc122541849"/>
      <w:bookmarkStart w:id="339" w:name="_Toc9495"/>
      <w:r>
        <w:rPr>
          <w:rFonts w:hint="eastAsia"/>
        </w:rPr>
        <w:t xml:space="preserve"> </w:t>
      </w:r>
      <w:bookmarkStart w:id="340" w:name="_Toc142552544"/>
      <w:r>
        <w:rPr>
          <w:rFonts w:hint="eastAsia"/>
        </w:rPr>
        <w:t>实施</w:t>
      </w:r>
      <w:bookmarkEnd w:id="337"/>
      <w:bookmarkEnd w:id="338"/>
      <w:r>
        <w:rPr>
          <w:rFonts w:hint="eastAsia"/>
        </w:rPr>
        <w:t>保障</w:t>
      </w:r>
      <w:bookmarkEnd w:id="339"/>
      <w:bookmarkEnd w:id="340"/>
    </w:p>
    <w:p w14:paraId="3147D3F5">
      <w:pPr>
        <w:ind w:firstLine="640"/>
      </w:pPr>
      <w:bookmarkStart w:id="341" w:name="_Toc26757"/>
      <w:r>
        <w:t>1.</w:t>
      </w:r>
      <w:r>
        <w:rPr>
          <w:rFonts w:hint="eastAsia"/>
        </w:rPr>
        <w:t>落实党委和政府国土空间规划管理主体责任</w:t>
      </w:r>
      <w:bookmarkEnd w:id="341"/>
    </w:p>
    <w:p w14:paraId="2B9B18AD">
      <w:pPr>
        <w:ind w:firstLine="640"/>
      </w:pPr>
      <w:bookmarkStart w:id="342" w:name="_Hlk121435846"/>
      <w:r>
        <w:rPr>
          <w:rFonts w:hint="eastAsia"/>
        </w:rPr>
        <w:t>充分发挥党总揽全局、协调各方的领导核心作用，把党的领导贯彻到国土空间规划编制实施全过程各领域各环节。落实各级党委和政府国土空间规划管理主体责任，坚持“多规合一”，强化规划严肃性，规划一经批准，任何部门和个人不得随意修改，违规变更。</w:t>
      </w:r>
    </w:p>
    <w:p w14:paraId="780E60F0">
      <w:pPr>
        <w:ind w:firstLine="640"/>
      </w:pPr>
      <w:r>
        <w:rPr>
          <w:rFonts w:hint="eastAsia"/>
          <w:lang w:val="zh-CN"/>
        </w:rPr>
        <w:t>加强部门上下联动。按照国土空间规划体系框架，建立编制实施本级国土空间规</w:t>
      </w:r>
      <w:r>
        <w:rPr>
          <w:rFonts w:hint="eastAsia"/>
        </w:rPr>
        <w:t>划的共同责任机制。乡域相关部门共同落实好本级国土空间规划的主要目标指标和管控要求。</w:t>
      </w:r>
    </w:p>
    <w:bookmarkEnd w:id="342"/>
    <w:p w14:paraId="5AA9CAF3">
      <w:pPr>
        <w:ind w:firstLine="640"/>
      </w:pPr>
      <w:bookmarkStart w:id="343" w:name="_Toc30878"/>
      <w:r>
        <w:rPr>
          <w:rFonts w:hint="eastAsia"/>
        </w:rPr>
        <w:t>2</w:t>
      </w:r>
      <w:r>
        <w:t>.</w:t>
      </w:r>
      <w:r>
        <w:rPr>
          <w:rFonts w:hint="eastAsia"/>
        </w:rPr>
        <w:t>健全配套政策机制</w:t>
      </w:r>
      <w:bookmarkEnd w:id="343"/>
    </w:p>
    <w:p w14:paraId="3EDBBE8B">
      <w:pPr>
        <w:ind w:firstLine="640"/>
      </w:pPr>
      <w:r>
        <w:rPr>
          <w:rFonts w:hint="eastAsia"/>
        </w:rPr>
        <w:t>深化研究并制定国土空间规划全流程中自然资源管理等相关政策措施、实施细则及实施保障机制，提高保障力度。</w:t>
      </w:r>
    </w:p>
    <w:p w14:paraId="0F29B46A">
      <w:pPr>
        <w:ind w:firstLine="640"/>
      </w:pPr>
      <w:bookmarkStart w:id="344" w:name="_Toc14684"/>
      <w:r>
        <w:rPr>
          <w:rFonts w:hint="eastAsia"/>
        </w:rPr>
        <w:t>3</w:t>
      </w:r>
      <w:r>
        <w:t>.</w:t>
      </w:r>
      <w:r>
        <w:rPr>
          <w:rFonts w:hint="eastAsia"/>
        </w:rPr>
        <w:t>保障重点项目实施</w:t>
      </w:r>
      <w:bookmarkEnd w:id="344"/>
    </w:p>
    <w:p w14:paraId="4DFAF8C9">
      <w:pPr>
        <w:ind w:firstLine="640"/>
      </w:pPr>
      <w:r>
        <w:rPr>
          <w:rFonts w:hint="eastAsia"/>
        </w:rPr>
        <w:t>落实佳木斯市及桦川县重大战略，为发展规划落地实施提供空间保障，按照市级重大项目管理要求，对纳入项目库的建设项目予以国土空间资源保障和政策支持。</w:t>
      </w:r>
    </w:p>
    <w:p w14:paraId="30270C4A">
      <w:pPr>
        <w:ind w:firstLine="640"/>
      </w:pPr>
      <w:bookmarkStart w:id="345" w:name="_Toc25463"/>
      <w:r>
        <w:rPr>
          <w:rFonts w:hint="eastAsia"/>
        </w:rPr>
        <w:t>4</w:t>
      </w:r>
      <w:r>
        <w:t>.</w:t>
      </w:r>
      <w:r>
        <w:rPr>
          <w:rFonts w:hint="eastAsia"/>
        </w:rPr>
        <w:t>坚持公众参与和社会协同机制</w:t>
      </w:r>
      <w:bookmarkEnd w:id="345"/>
    </w:p>
    <w:p w14:paraId="650F417B">
      <w:pPr>
        <w:ind w:firstLine="640"/>
      </w:pPr>
      <w:r>
        <w:rPr>
          <w:rFonts w:hint="eastAsia"/>
        </w:rPr>
        <w:t>在规划编制阶段，广泛调研社会各界意见和需求，深入了解人民群众所需所急所盼；完善部门协作机制，共同推进规划编制工作。在方案论证阶段，要形成通俗易懂可视化的中间成果，充分征求有关部门、社会各界意见。规划获批后，应在符合国家保密管理和地图管理等有关规定的基础上及时公开，并接受社会公众监督。</w:t>
      </w:r>
    </w:p>
    <w:p w14:paraId="154FFA48">
      <w:pPr>
        <w:ind w:firstLine="640"/>
      </w:pPr>
      <w:bookmarkStart w:id="346" w:name="_Toc5760"/>
      <w:bookmarkStart w:id="347" w:name="_Toc1917"/>
      <w:r>
        <w:rPr>
          <w:rFonts w:hint="eastAsia"/>
          <w:lang w:val="zh-CN"/>
        </w:rPr>
        <w:br w:type="page"/>
      </w:r>
      <w:bookmarkStart w:id="348" w:name="_Toc22012"/>
      <w:bookmarkStart w:id="349" w:name="_Toc142552545"/>
      <w:bookmarkStart w:id="350" w:name="_Toc8663"/>
    </w:p>
    <w:p w14:paraId="38415387">
      <w:pPr>
        <w:pStyle w:val="26"/>
        <w:numPr>
          <w:ilvl w:val="0"/>
          <w:numId w:val="2"/>
        </w:numPr>
        <w:spacing w:before="217" w:after="217"/>
      </w:pPr>
      <w:r>
        <w:rPr>
          <w:rFonts w:hint="eastAsia"/>
        </w:rPr>
        <w:t xml:space="preserve"> </w:t>
      </w:r>
      <w:bookmarkStart w:id="351" w:name="_Toc24668"/>
      <w:r>
        <w:rPr>
          <w:rFonts w:hint="eastAsia"/>
        </w:rPr>
        <w:t>村庄“通则式”规划管理规定</w:t>
      </w:r>
      <w:bookmarkEnd w:id="351"/>
    </w:p>
    <w:p w14:paraId="3D2E44CD">
      <w:pPr>
        <w:ind w:firstLine="640"/>
        <w:rPr>
          <w:rFonts w:hint="eastAsia"/>
        </w:rPr>
      </w:pPr>
      <w:r>
        <w:rPr>
          <w:rFonts w:hint="eastAsia"/>
        </w:rPr>
        <w:t>村庄“通则式”规划管理规定适用于桦川县乡镇内未编制村庄规划行政村，包括城镇开发边界外暂不编制村庄规划的村庄（含乡政府驻地村庄）以及城镇开发边界内（主要为镇政府驻地）未明确城镇化任务的村庄。村庄建设项目的规划管理，主要包括宅基地、公共服务设施用地、乡村产业用地、基础设施用地等各类项目的新建、改建、扩建。已编制并依法批准详细规划（村庄规划）的，以详细规划（村庄规划）为依据。城镇开发边界内及边界处已明确城镇化任务的村庄，可纳入城镇控制性详细规划统筹编制。</w:t>
      </w:r>
    </w:p>
    <w:bookmarkEnd w:id="346"/>
    <w:bookmarkEnd w:id="347"/>
    <w:bookmarkEnd w:id="348"/>
    <w:bookmarkEnd w:id="349"/>
    <w:bookmarkEnd w:id="350"/>
    <w:p w14:paraId="21A9565D">
      <w:pPr>
        <w:ind w:firstLine="640"/>
      </w:pPr>
    </w:p>
    <w:sectPr>
      <w:pgSz w:w="11906" w:h="16838"/>
      <w:pgMar w:top="1440" w:right="1797" w:bottom="1440" w:left="1797" w:header="851" w:footer="850" w:gutter="0"/>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9732CA4-FA2D-47F8-B1AE-13443B832038}"/>
  </w:font>
  <w:font w:name="黑体">
    <w:panose1 w:val="02010609060101010101"/>
    <w:charset w:val="86"/>
    <w:family w:val="auto"/>
    <w:pitch w:val="default"/>
    <w:sig w:usb0="800002BF" w:usb1="38CF7CFA" w:usb2="00000016" w:usb3="00000000" w:csb0="00040001" w:csb1="00000000"/>
    <w:embedRegular r:id="rId2" w:fontKey="{CFD91DB8-2C24-4887-BF25-79475D2554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3" w:fontKey="{CEB0EAC8-28D5-4A57-8580-EB8E29D185F8}"/>
  </w:font>
  <w:font w:name="楷体_GB2312">
    <w:panose1 w:val="02010609030101010101"/>
    <w:charset w:val="86"/>
    <w:family w:val="auto"/>
    <w:pitch w:val="default"/>
    <w:sig w:usb0="00000001" w:usb1="080E0000" w:usb2="00000000" w:usb3="00000000" w:csb0="00040000" w:csb1="00000000"/>
    <w:embedRegular r:id="rId4" w:fontKey="{BD67BA60-09F8-4F9A-98C1-8D01176AD34A}"/>
  </w:font>
  <w:font w:name="仿宋_GB2312">
    <w:panose1 w:val="02010609030101010101"/>
    <w:charset w:val="86"/>
    <w:family w:val="modern"/>
    <w:pitch w:val="default"/>
    <w:sig w:usb0="00000001" w:usb1="080E0000" w:usb2="00000000" w:usb3="00000000" w:csb0="00040000" w:csb1="00000000"/>
    <w:embedRegular r:id="rId5" w:fontKey="{7873C150-D051-4A17-97B6-FD643BBE8881}"/>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6" w:fontKey="{5B73D2FF-9AC6-4606-9FE1-3C9A7D0C0119}"/>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7" w:fontKey="{298E347D-CB23-457E-8934-55C451FE11CD}"/>
  </w:font>
  <w:font w:name="等线">
    <w:panose1 w:val="02010600030101010101"/>
    <w:charset w:val="86"/>
    <w:family w:val="auto"/>
    <w:pitch w:val="default"/>
    <w:sig w:usb0="A00002BF" w:usb1="38CF7CFA" w:usb2="00000016" w:usb3="00000000" w:csb0="0004000F" w:csb1="00000000"/>
    <w:embedRegular r:id="rId8" w:fontKey="{B118768D-9240-4EF8-9757-5DAE975DB494}"/>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EFDC0">
    <w:pPr>
      <w:tabs>
        <w:tab w:val="center" w:pos="4153"/>
        <w:tab w:val="right" w:pos="8306"/>
      </w:tabs>
      <w:ind w:firstLine="640"/>
      <w:jc w:val="center"/>
    </w:pPr>
  </w:p>
  <w:p w14:paraId="1629AB49">
    <w:pPr>
      <w:tabs>
        <w:tab w:val="center" w:pos="4153"/>
        <w:tab w:val="right" w:pos="8306"/>
      </w:tabs>
      <w:ind w:firstLine="6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1594E">
    <w:pPr>
      <w:tabs>
        <w:tab w:val="center" w:pos="4153"/>
        <w:tab w:val="right" w:pos="8306"/>
      </w:tabs>
      <w:ind w:firstLine="6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FB739">
    <w:pPr>
      <w:tabs>
        <w:tab w:val="center" w:pos="4153"/>
        <w:tab w:val="right" w:pos="8306"/>
      </w:tabs>
      <w:ind w:firstLine="64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39E6A6">
                          <w:pPr>
                            <w:pStyle w:val="15"/>
                            <w:ind w:firstLine="360"/>
                          </w:pPr>
                          <w:r>
                            <w:fldChar w:fldCharType="begin"/>
                          </w:r>
                          <w:r>
                            <w:instrText xml:space="preserve"> PAGE  \* MERGEFORMAT </w:instrText>
                          </w:r>
                          <w:r>
                            <w:fldChar w:fldCharType="separate"/>
                          </w:r>
                          <w:r>
                            <w:t>I</w:t>
                          </w:r>
                          <w:r>
                            <w:fldChar w:fldCharType="end"/>
                          </w:r>
                        </w:p>
                      </w:txbxContent>
                    </wps:txbx>
                    <wps:bodyPr vert="horz" wrap="none" lIns="0" tIns="0" rIns="0" bIns="0" anchor="t" anchorCtr="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nN2+bXAQAAsgMAAA4AAAAAAAAAAQAgAAAA&#10;HgEAAGRycy9lMm9Eb2MueG1sUEsFBgAAAAAGAAYAWQEAAGcFAAAAAA==&#10;">
              <v:fill on="f" focussize="0,0"/>
              <v:stroke on="f"/>
              <v:imagedata o:title=""/>
              <o:lock v:ext="edit" aspectratio="f"/>
              <v:textbox inset="0mm,0mm,0mm,0mm" style="mso-fit-shape-to-text:t;">
                <w:txbxContent>
                  <w:p w14:paraId="0539E6A6">
                    <w:pPr>
                      <w:pStyle w:val="15"/>
                      <w:ind w:firstLine="360"/>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31C66">
    <w:pPr>
      <w:tabs>
        <w:tab w:val="center" w:pos="4153"/>
        <w:tab w:val="right" w:pos="8306"/>
      </w:tabs>
      <w:ind w:firstLine="64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3CD7F1">
                          <w:pPr>
                            <w:pStyle w:val="15"/>
                            <w:ind w:firstLine="360"/>
                          </w:pPr>
                          <w:r>
                            <w:fldChar w:fldCharType="begin"/>
                          </w:r>
                          <w:r>
                            <w:instrText xml:space="preserve"> PAGE  \* MERGEFORMAT </w:instrText>
                          </w:r>
                          <w:r>
                            <w:fldChar w:fldCharType="separate"/>
                          </w:r>
                          <w:r>
                            <w:t>II</w:t>
                          </w:r>
                          <w:r>
                            <w:fldChar w:fldCharType="end"/>
                          </w:r>
                        </w:p>
                      </w:txbxContent>
                    </wps:txbx>
                    <wps:bodyPr vert="horz" wrap="none" lIns="0" tIns="0" rIns="0" bIns="0" anchor="t" anchorCtr="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Lw/jXjXAQAAsgMAAA4AAAAAAAAAAQAgAAAA&#10;HgEAAGRycy9lMm9Eb2MueG1sUEsFBgAAAAAGAAYAWQEAAGcFAAAAAA==&#10;">
              <v:fill on="f" focussize="0,0"/>
              <v:stroke on="f"/>
              <v:imagedata o:title=""/>
              <o:lock v:ext="edit" aspectratio="f"/>
              <v:textbox inset="0mm,0mm,0mm,0mm" style="mso-fit-shape-to-text:t;">
                <w:txbxContent>
                  <w:p w14:paraId="003CD7F1">
                    <w:pPr>
                      <w:pStyle w:val="15"/>
                      <w:ind w:firstLine="360"/>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17385">
    <w:pPr>
      <w:tabs>
        <w:tab w:val="center" w:pos="4153"/>
        <w:tab w:val="right" w:pos="8306"/>
      </w:tabs>
      <w:ind w:firstLine="64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76250" cy="408305"/>
              <wp:effectExtent l="0" t="0" r="0" b="0"/>
              <wp:wrapNone/>
              <wp:docPr id="2" name="文本框 6"/>
              <wp:cNvGraphicFramePr/>
              <a:graphic xmlns:a="http://schemas.openxmlformats.org/drawingml/2006/main">
                <a:graphicData uri="http://schemas.microsoft.com/office/word/2010/wordprocessingShape">
                  <wps:wsp>
                    <wps:cNvSpPr txBox="1"/>
                    <wps:spPr>
                      <a:xfrm>
                        <a:off x="0" y="0"/>
                        <a:ext cx="476250" cy="408305"/>
                      </a:xfrm>
                      <a:prstGeom prst="rect">
                        <a:avLst/>
                      </a:prstGeom>
                      <a:noFill/>
                      <a:ln w="6350">
                        <a:noFill/>
                      </a:ln>
                    </wps:spPr>
                    <wps:txbx>
                      <w:txbxContent>
                        <w:p w14:paraId="3F7D6CA3">
                          <w:pPr>
                            <w:tabs>
                              <w:tab w:val="center" w:pos="4153"/>
                              <w:tab w:val="right" w:pos="8306"/>
                            </w:tabs>
                            <w:ind w:firstLine="0" w:firstLineChars="0"/>
                            <w:jc w:val="center"/>
                            <w:rPr>
                              <w:sz w:val="21"/>
                              <w:szCs w:val="18"/>
                            </w:rPr>
                          </w:pPr>
                          <w:r>
                            <w:rPr>
                              <w:sz w:val="21"/>
                              <w:szCs w:val="18"/>
                            </w:rPr>
                            <w:fldChar w:fldCharType="begin"/>
                          </w:r>
                          <w:r>
                            <w:rPr>
                              <w:sz w:val="21"/>
                              <w:szCs w:val="18"/>
                            </w:rPr>
                            <w:instrText xml:space="preserve"> PAGE  \* MERGEFORMAT </w:instrText>
                          </w:r>
                          <w:r>
                            <w:rPr>
                              <w:sz w:val="21"/>
                              <w:szCs w:val="18"/>
                            </w:rPr>
                            <w:fldChar w:fldCharType="separate"/>
                          </w:r>
                          <w:r>
                            <w:rPr>
                              <w:sz w:val="21"/>
                              <w:szCs w:val="18"/>
                            </w:rPr>
                            <w:t>I</w:t>
                          </w:r>
                          <w:r>
                            <w:rPr>
                              <w:sz w:val="21"/>
                              <w:szCs w:val="18"/>
                            </w:rPr>
                            <w:fldChar w:fldCharType="end"/>
                          </w:r>
                        </w:p>
                      </w:txbxContent>
                    </wps:txbx>
                    <wps:bodyPr vert="horz" wrap="square" lIns="0" tIns="0" rIns="0" bIns="0" anchor="t" anchorCtr="0" upright="1"/>
                  </wps:wsp>
                </a:graphicData>
              </a:graphic>
            </wp:anchor>
          </w:drawing>
        </mc:Choice>
        <mc:Fallback>
          <w:pict>
            <v:shape id="文本框 6" o:spid="_x0000_s1026" o:spt="202" type="#_x0000_t202" style="position:absolute;left:0pt;margin-top:0pt;height:32.15pt;width:37.5pt;mso-position-horizontal:center;mso-position-horizontal-relative:margin;z-index:251660288;mso-width-relative:page;mso-height-relative:page;" filled="f" stroked="f" coordsize="21600,21600" o:gfxdata="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vnQbfTAAAAAwEAAA8AAAAA&#10;AAAAAQAgAAAAIgAAAGRycy9kb3ducmV2LnhtbFBLAQIUABQAAAAIAIdO4kD2r3W14AEAAK0DAAAO&#10;AAAAAAAAAAEAIAAAACIBAABkcnMvZTJvRG9jLnhtbFBLBQYAAAAABgAGAFkBAAB0BQAAAAA=&#10;">
              <v:fill on="f" focussize="0,0"/>
              <v:stroke on="f" weight="0.5pt"/>
              <v:imagedata o:title=""/>
              <o:lock v:ext="edit" aspectratio="f"/>
              <v:textbox inset="0mm,0mm,0mm,0mm">
                <w:txbxContent>
                  <w:p w14:paraId="3F7D6CA3">
                    <w:pPr>
                      <w:tabs>
                        <w:tab w:val="center" w:pos="4153"/>
                        <w:tab w:val="right" w:pos="8306"/>
                      </w:tabs>
                      <w:ind w:firstLine="0" w:firstLineChars="0"/>
                      <w:jc w:val="center"/>
                      <w:rPr>
                        <w:sz w:val="21"/>
                        <w:szCs w:val="18"/>
                      </w:rPr>
                    </w:pPr>
                    <w:r>
                      <w:rPr>
                        <w:sz w:val="21"/>
                        <w:szCs w:val="18"/>
                      </w:rPr>
                      <w:fldChar w:fldCharType="begin"/>
                    </w:r>
                    <w:r>
                      <w:rPr>
                        <w:sz w:val="21"/>
                        <w:szCs w:val="18"/>
                      </w:rPr>
                      <w:instrText xml:space="preserve"> PAGE  \* MERGEFORMAT </w:instrText>
                    </w:r>
                    <w:r>
                      <w:rPr>
                        <w:sz w:val="21"/>
                        <w:szCs w:val="18"/>
                      </w:rPr>
                      <w:fldChar w:fldCharType="separate"/>
                    </w:r>
                    <w:r>
                      <w:rPr>
                        <w:sz w:val="21"/>
                        <w:szCs w:val="18"/>
                      </w:rPr>
                      <w:t>I</w:t>
                    </w:r>
                    <w:r>
                      <w:rPr>
                        <w:sz w:val="21"/>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6F598">
    <w:pPr>
      <w:tabs>
        <w:tab w:val="center" w:pos="4153"/>
        <w:tab w:val="right" w:pos="8306"/>
      </w:tabs>
      <w:spacing w:line="240" w:lineRule="auto"/>
      <w:ind w:firstLine="0" w:firstLineChars="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76250" cy="408305"/>
              <wp:effectExtent l="0" t="0" r="0" b="0"/>
              <wp:wrapNone/>
              <wp:docPr id="1" name="文本框 3"/>
              <wp:cNvGraphicFramePr/>
              <a:graphic xmlns:a="http://schemas.openxmlformats.org/drawingml/2006/main">
                <a:graphicData uri="http://schemas.microsoft.com/office/word/2010/wordprocessingShape">
                  <wps:wsp>
                    <wps:cNvSpPr txBox="1"/>
                    <wps:spPr>
                      <a:xfrm>
                        <a:off x="0" y="0"/>
                        <a:ext cx="476250" cy="408305"/>
                      </a:xfrm>
                      <a:prstGeom prst="rect">
                        <a:avLst/>
                      </a:prstGeom>
                      <a:noFill/>
                      <a:ln w="6350">
                        <a:noFill/>
                      </a:ln>
                    </wps:spPr>
                    <wps:txbx>
                      <w:txbxContent>
                        <w:p w14:paraId="06D51C33">
                          <w:pPr>
                            <w:tabs>
                              <w:tab w:val="center" w:pos="4153"/>
                              <w:tab w:val="right" w:pos="8306"/>
                            </w:tabs>
                            <w:spacing w:line="240" w:lineRule="auto"/>
                            <w:ind w:firstLine="0" w:firstLineChars="0"/>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I</w:t>
                          </w:r>
                          <w:r>
                            <w:rPr>
                              <w:sz w:val="21"/>
                              <w:szCs w:val="21"/>
                            </w:rPr>
                            <w:fldChar w:fldCharType="end"/>
                          </w:r>
                        </w:p>
                      </w:txbxContent>
                    </wps:txbx>
                    <wps:bodyPr vert="horz" wrap="square" lIns="0" tIns="0" rIns="0" bIns="0" anchor="t" anchorCtr="0" upright="1"/>
                  </wps:wsp>
                </a:graphicData>
              </a:graphic>
            </wp:anchor>
          </w:drawing>
        </mc:Choice>
        <mc:Fallback>
          <w:pict>
            <v:shape id="文本框 3" o:spid="_x0000_s1026" o:spt="202" type="#_x0000_t202" style="position:absolute;left:0pt;margin-top:0pt;height:32.15pt;width:37.5pt;mso-position-horizontal:center;mso-position-horizontal-relative:margin;z-index:251659264;mso-width-relative:page;mso-height-relative:page;" filled="f" stroked="f" coordsize="21600,21600" o:gfxdata="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vnQbfTAAAAAwEAAA8AAAAA&#10;AAAAAQAgAAAAIgAAAGRycy9kb3ducmV2LnhtbFBLAQIUABQAAAAIAIdO4kCNjXf/4AEAAK0DAAAO&#10;AAAAAAAAAAEAIAAAACIBAABkcnMvZTJvRG9jLnhtbFBLBQYAAAAABgAGAFkBAAB0BQAAAAA=&#10;">
              <v:fill on="f" focussize="0,0"/>
              <v:stroke on="f" weight="0.5pt"/>
              <v:imagedata o:title=""/>
              <o:lock v:ext="edit" aspectratio="f"/>
              <v:textbox inset="0mm,0mm,0mm,0mm">
                <w:txbxContent>
                  <w:p w14:paraId="06D51C33">
                    <w:pPr>
                      <w:tabs>
                        <w:tab w:val="center" w:pos="4153"/>
                        <w:tab w:val="right" w:pos="8306"/>
                      </w:tabs>
                      <w:spacing w:line="240" w:lineRule="auto"/>
                      <w:ind w:firstLine="0" w:firstLineChars="0"/>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I</w:t>
                    </w:r>
                    <w:r>
                      <w:rPr>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DD13F">
    <w:pPr>
      <w:ind w:firstLine="0" w:firstLineChars="0"/>
      <w:jc w:val="center"/>
      <w:rPr>
        <w:color w:val="76717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AD9F9">
    <w:pPr>
      <w:tabs>
        <w:tab w:val="center" w:pos="4153"/>
        <w:tab w:val="right" w:pos="8306"/>
      </w:tabs>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0898D">
    <w:pPr>
      <w:tabs>
        <w:tab w:val="center" w:pos="4153"/>
        <w:tab w:val="right" w:pos="8306"/>
      </w:tabs>
      <w:ind w:firstLine="6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20FF0">
    <w:pPr>
      <w:pStyle w:val="1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3461A6"/>
    <w:multiLevelType w:val="singleLevel"/>
    <w:tmpl w:val="A23461A6"/>
    <w:lvl w:ilvl="0" w:tentative="0">
      <w:start w:val="1"/>
      <w:numFmt w:val="chineseCounting"/>
      <w:suff w:val="space"/>
      <w:lvlText w:val="第%1章"/>
      <w:lvlJc w:val="left"/>
      <w:rPr>
        <w:rFonts w:hint="eastAsia"/>
      </w:rPr>
    </w:lvl>
  </w:abstractNum>
  <w:abstractNum w:abstractNumId="1">
    <w:nsid w:val="B6B7CFE0"/>
    <w:multiLevelType w:val="multilevel"/>
    <w:tmpl w:val="B6B7CFE0"/>
    <w:lvl w:ilvl="0" w:tentative="0">
      <w:start w:val="1"/>
      <w:numFmt w:val="decimal"/>
      <w:pStyle w:val="6"/>
      <w:suff w:val="space"/>
      <w:lvlText w:val="第 %1 条"/>
      <w:lvlJc w:val="left"/>
      <w:pPr>
        <w:ind w:left="0" w:firstLine="0"/>
      </w:pPr>
      <w:rPr>
        <w:rFonts w:hint="default" w:ascii="Times New Roman" w:hAnsi="Times New Roman" w:eastAsia="楷体" w:cs="宋体"/>
        <w:b w:val="0"/>
        <w:i w:val="0"/>
        <w:color w:val="000000"/>
        <w:sz w:val="32"/>
        <w:szCs w:val="24"/>
        <w:u w:val="none"/>
        <w:lang w:val="en-US"/>
      </w:rPr>
    </w:lvl>
    <w:lvl w:ilvl="1" w:tentative="0">
      <w:start w:val="1"/>
      <w:numFmt w:val="none"/>
      <w:lvlText w:val=""/>
      <w:lvlJc w:val="left"/>
      <w:pPr>
        <w:tabs>
          <w:tab w:val="left" w:pos="2277"/>
        </w:tabs>
        <w:ind w:left="2277" w:hanging="360"/>
      </w:pPr>
      <w:rPr>
        <w:rFonts w:hint="default" w:ascii="宋体" w:hAnsi="宋体" w:eastAsia="宋体" w:cs="宋体"/>
      </w:rPr>
    </w:lvl>
    <w:lvl w:ilvl="2" w:tentative="0">
      <w:start w:val="1"/>
      <w:numFmt w:val="none"/>
      <w:lvlText w:val=""/>
      <w:lvlJc w:val="left"/>
      <w:pPr>
        <w:tabs>
          <w:tab w:val="left" w:pos="3057"/>
        </w:tabs>
        <w:ind w:left="3057" w:hanging="720"/>
      </w:pPr>
      <w:rPr>
        <w:rFonts w:hint="default" w:ascii="宋体" w:hAnsi="宋体" w:eastAsia="宋体" w:cs="宋体"/>
        <w:lang w:val="en-US"/>
      </w:rPr>
    </w:lvl>
    <w:lvl w:ilvl="3" w:tentative="0">
      <w:start w:val="1"/>
      <w:numFmt w:val="none"/>
      <w:lvlText w:val=""/>
      <w:lvlJc w:val="left"/>
      <w:pPr>
        <w:tabs>
          <w:tab w:val="left" w:pos="3117"/>
        </w:tabs>
        <w:ind w:left="3117" w:hanging="360"/>
      </w:pPr>
      <w:rPr>
        <w:rFonts w:hint="default" w:ascii="宋体" w:hAnsi="宋体" w:eastAsia="宋体" w:cs="宋体"/>
      </w:rPr>
    </w:lvl>
    <w:lvl w:ilvl="4" w:tentative="0">
      <w:start w:val="1"/>
      <w:numFmt w:val="none"/>
      <w:lvlText w:val=""/>
      <w:lvlJc w:val="left"/>
      <w:pPr>
        <w:tabs>
          <w:tab w:val="left" w:pos="3537"/>
        </w:tabs>
        <w:ind w:left="3537" w:hanging="360"/>
      </w:pPr>
      <w:rPr>
        <w:rFonts w:hint="default" w:ascii="宋体" w:hAnsi="宋体" w:eastAsia="宋体" w:cs="宋体"/>
      </w:rPr>
    </w:lvl>
    <w:lvl w:ilvl="5" w:tentative="0">
      <w:start w:val="1"/>
      <w:numFmt w:val="none"/>
      <w:lvlText w:val=""/>
      <w:lvlJc w:val="right"/>
      <w:pPr>
        <w:tabs>
          <w:tab w:val="left" w:pos="4017"/>
        </w:tabs>
        <w:ind w:left="4017" w:hanging="420"/>
      </w:pPr>
      <w:rPr>
        <w:rFonts w:hint="default" w:ascii="宋体" w:hAnsi="宋体" w:eastAsia="宋体" w:cs="宋体"/>
      </w:rPr>
    </w:lvl>
    <w:lvl w:ilvl="6" w:tentative="0">
      <w:start w:val="1"/>
      <w:numFmt w:val="none"/>
      <w:lvlText w:val=""/>
      <w:lvlJc w:val="left"/>
      <w:pPr>
        <w:tabs>
          <w:tab w:val="left" w:pos="4437"/>
        </w:tabs>
        <w:ind w:left="4437" w:hanging="420"/>
      </w:pPr>
      <w:rPr>
        <w:rFonts w:hint="default" w:ascii="宋体" w:hAnsi="宋体" w:eastAsia="宋体" w:cs="宋体"/>
      </w:rPr>
    </w:lvl>
    <w:lvl w:ilvl="7" w:tentative="0">
      <w:start w:val="1"/>
      <w:numFmt w:val="none"/>
      <w:lvlText w:val=""/>
      <w:lvlJc w:val="left"/>
      <w:pPr>
        <w:tabs>
          <w:tab w:val="left" w:pos="4857"/>
        </w:tabs>
        <w:ind w:left="4857" w:hanging="420"/>
      </w:pPr>
      <w:rPr>
        <w:rFonts w:hint="default" w:ascii="宋体" w:hAnsi="宋体" w:eastAsia="宋体" w:cs="宋体"/>
      </w:rPr>
    </w:lvl>
    <w:lvl w:ilvl="8" w:tentative="0">
      <w:start w:val="1"/>
      <w:numFmt w:val="none"/>
      <w:lvlText w:val=""/>
      <w:lvlJc w:val="right"/>
      <w:pPr>
        <w:tabs>
          <w:tab w:val="left" w:pos="5277"/>
        </w:tabs>
        <w:ind w:left="5277" w:hanging="420"/>
      </w:pPr>
      <w:rPr>
        <w:rFonts w:hint="default" w:ascii="宋体" w:hAnsi="宋体" w:eastAsia="宋体" w:cs="宋体"/>
      </w:rPr>
    </w:lvl>
  </w:abstractNum>
  <w:abstractNum w:abstractNumId="2">
    <w:nsid w:val="B996BFAE"/>
    <w:multiLevelType w:val="singleLevel"/>
    <w:tmpl w:val="B996BFAE"/>
    <w:lvl w:ilvl="0" w:tentative="0">
      <w:start w:val="1"/>
      <w:numFmt w:val="chineseCounting"/>
      <w:suff w:val="space"/>
      <w:lvlText w:val="第%1节"/>
      <w:lvlJc w:val="left"/>
      <w:rPr>
        <w:rFonts w:hint="eastAsia"/>
      </w:rPr>
    </w:lvl>
  </w:abstractNum>
  <w:abstractNum w:abstractNumId="3">
    <w:nsid w:val="C7FBAC08"/>
    <w:multiLevelType w:val="singleLevel"/>
    <w:tmpl w:val="C7FBAC08"/>
    <w:lvl w:ilvl="0" w:tentative="0">
      <w:start w:val="1"/>
      <w:numFmt w:val="chineseCounting"/>
      <w:suff w:val="space"/>
      <w:lvlText w:val="第%1节"/>
      <w:lvlJc w:val="left"/>
      <w:rPr>
        <w:rFonts w:hint="eastAsia"/>
      </w:rPr>
    </w:lvl>
  </w:abstractNum>
  <w:abstractNum w:abstractNumId="4">
    <w:nsid w:val="CBA3FD7E"/>
    <w:multiLevelType w:val="singleLevel"/>
    <w:tmpl w:val="CBA3FD7E"/>
    <w:lvl w:ilvl="0" w:tentative="0">
      <w:start w:val="1"/>
      <w:numFmt w:val="chineseCounting"/>
      <w:suff w:val="space"/>
      <w:lvlText w:val="第%1节"/>
      <w:lvlJc w:val="left"/>
      <w:rPr>
        <w:rFonts w:hint="eastAsia"/>
      </w:rPr>
    </w:lvl>
  </w:abstractNum>
  <w:abstractNum w:abstractNumId="5">
    <w:nsid w:val="DF840226"/>
    <w:multiLevelType w:val="singleLevel"/>
    <w:tmpl w:val="DF840226"/>
    <w:lvl w:ilvl="0" w:tentative="0">
      <w:start w:val="1"/>
      <w:numFmt w:val="chineseCounting"/>
      <w:suff w:val="space"/>
      <w:lvlText w:val="第%1节"/>
      <w:lvlJc w:val="left"/>
      <w:rPr>
        <w:rFonts w:hint="eastAsia"/>
      </w:rPr>
    </w:lvl>
  </w:abstractNum>
  <w:abstractNum w:abstractNumId="6">
    <w:nsid w:val="599CB23C"/>
    <w:multiLevelType w:val="singleLevel"/>
    <w:tmpl w:val="599CB23C"/>
    <w:lvl w:ilvl="0" w:tentative="0">
      <w:start w:val="1"/>
      <w:numFmt w:val="chineseCounting"/>
      <w:suff w:val="space"/>
      <w:lvlText w:val="第%1节"/>
      <w:lvlJc w:val="left"/>
      <w:rPr>
        <w:rFonts w:hint="eastAsia"/>
      </w:rPr>
    </w:lvl>
  </w:abstractNum>
  <w:abstractNum w:abstractNumId="7">
    <w:nsid w:val="59B83254"/>
    <w:multiLevelType w:val="singleLevel"/>
    <w:tmpl w:val="59B83254"/>
    <w:lvl w:ilvl="0" w:tentative="0">
      <w:start w:val="1"/>
      <w:numFmt w:val="chineseCounting"/>
      <w:suff w:val="space"/>
      <w:lvlText w:val="第%1节"/>
      <w:lvlJc w:val="left"/>
      <w:rPr>
        <w:rFonts w:hint="eastAsia"/>
      </w:rPr>
    </w:lvl>
  </w:abstractNum>
  <w:abstractNum w:abstractNumId="8">
    <w:nsid w:val="5BBABEFD"/>
    <w:multiLevelType w:val="singleLevel"/>
    <w:tmpl w:val="5BBABEFD"/>
    <w:lvl w:ilvl="0" w:tentative="0">
      <w:start w:val="1"/>
      <w:numFmt w:val="chineseCounting"/>
      <w:suff w:val="space"/>
      <w:lvlText w:val="第%1节"/>
      <w:lvlJc w:val="left"/>
      <w:rPr>
        <w:rFonts w:hint="eastAsia"/>
      </w:rPr>
    </w:lvl>
  </w:abstractNum>
  <w:num w:numId="1">
    <w:abstractNumId w:val="1"/>
  </w:num>
  <w:num w:numId="2">
    <w:abstractNumId w:val="0"/>
  </w:num>
  <w:num w:numId="3">
    <w:abstractNumId w:val="4"/>
  </w:num>
  <w:num w:numId="4">
    <w:abstractNumId w:val="8"/>
  </w:num>
  <w:num w:numId="5">
    <w:abstractNumId w:val="5"/>
  </w:num>
  <w:num w:numId="6">
    <w:abstractNumId w:val="6"/>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iNGU3MzM2ZDEwNTRlZTUwYzY4MGQ1NjVkMTJhOWUifQ=="/>
  </w:docVars>
  <w:rsids>
    <w:rsidRoot w:val="00104FC3"/>
    <w:rsid w:val="00000147"/>
    <w:rsid w:val="00004D47"/>
    <w:rsid w:val="0000625B"/>
    <w:rsid w:val="0000751B"/>
    <w:rsid w:val="000161DA"/>
    <w:rsid w:val="00022F31"/>
    <w:rsid w:val="00027754"/>
    <w:rsid w:val="00030761"/>
    <w:rsid w:val="00034492"/>
    <w:rsid w:val="00036D4E"/>
    <w:rsid w:val="00041EE6"/>
    <w:rsid w:val="00043B4C"/>
    <w:rsid w:val="00046F59"/>
    <w:rsid w:val="00051567"/>
    <w:rsid w:val="00051F15"/>
    <w:rsid w:val="00053913"/>
    <w:rsid w:val="00055465"/>
    <w:rsid w:val="000563B2"/>
    <w:rsid w:val="00067DE1"/>
    <w:rsid w:val="00082848"/>
    <w:rsid w:val="000829A3"/>
    <w:rsid w:val="00086E2F"/>
    <w:rsid w:val="0008746B"/>
    <w:rsid w:val="000924C8"/>
    <w:rsid w:val="00093223"/>
    <w:rsid w:val="00093C43"/>
    <w:rsid w:val="000965F3"/>
    <w:rsid w:val="000A42B0"/>
    <w:rsid w:val="000A70A1"/>
    <w:rsid w:val="000A72A8"/>
    <w:rsid w:val="000B27C9"/>
    <w:rsid w:val="000B38C6"/>
    <w:rsid w:val="000C0573"/>
    <w:rsid w:val="000C476A"/>
    <w:rsid w:val="000D2EB2"/>
    <w:rsid w:val="000D4EF0"/>
    <w:rsid w:val="000D722B"/>
    <w:rsid w:val="000D78A4"/>
    <w:rsid w:val="000E1F96"/>
    <w:rsid w:val="000E28F0"/>
    <w:rsid w:val="000F0138"/>
    <w:rsid w:val="000F2016"/>
    <w:rsid w:val="000F23CB"/>
    <w:rsid w:val="00100E20"/>
    <w:rsid w:val="001029E5"/>
    <w:rsid w:val="00104FC3"/>
    <w:rsid w:val="001065FF"/>
    <w:rsid w:val="00110506"/>
    <w:rsid w:val="0011446C"/>
    <w:rsid w:val="00114B6B"/>
    <w:rsid w:val="00121B1B"/>
    <w:rsid w:val="00122841"/>
    <w:rsid w:val="00131778"/>
    <w:rsid w:val="00131A65"/>
    <w:rsid w:val="0013435C"/>
    <w:rsid w:val="00141123"/>
    <w:rsid w:val="00143D85"/>
    <w:rsid w:val="0015031C"/>
    <w:rsid w:val="001543CD"/>
    <w:rsid w:val="001549D9"/>
    <w:rsid w:val="00160D0B"/>
    <w:rsid w:val="001646CE"/>
    <w:rsid w:val="0016677D"/>
    <w:rsid w:val="0017004B"/>
    <w:rsid w:val="00177AF3"/>
    <w:rsid w:val="001803FD"/>
    <w:rsid w:val="00182DB3"/>
    <w:rsid w:val="00183F9A"/>
    <w:rsid w:val="00184831"/>
    <w:rsid w:val="00191C58"/>
    <w:rsid w:val="00197527"/>
    <w:rsid w:val="001B14B3"/>
    <w:rsid w:val="001B7B50"/>
    <w:rsid w:val="001C18C7"/>
    <w:rsid w:val="001C1AA1"/>
    <w:rsid w:val="001C2648"/>
    <w:rsid w:val="001C7E79"/>
    <w:rsid w:val="001D220D"/>
    <w:rsid w:val="001D3717"/>
    <w:rsid w:val="001D3B9B"/>
    <w:rsid w:val="001D3C1E"/>
    <w:rsid w:val="001E49E7"/>
    <w:rsid w:val="001E6FB1"/>
    <w:rsid w:val="001F006A"/>
    <w:rsid w:val="001F28F3"/>
    <w:rsid w:val="001F6DFB"/>
    <w:rsid w:val="00200536"/>
    <w:rsid w:val="00206A0D"/>
    <w:rsid w:val="00207893"/>
    <w:rsid w:val="00207C59"/>
    <w:rsid w:val="002101F9"/>
    <w:rsid w:val="002165B0"/>
    <w:rsid w:val="00236B66"/>
    <w:rsid w:val="00242687"/>
    <w:rsid w:val="002663FD"/>
    <w:rsid w:val="00281078"/>
    <w:rsid w:val="00283420"/>
    <w:rsid w:val="00284CCD"/>
    <w:rsid w:val="00293660"/>
    <w:rsid w:val="002A067D"/>
    <w:rsid w:val="002A5D88"/>
    <w:rsid w:val="002A7E3C"/>
    <w:rsid w:val="002B1F6F"/>
    <w:rsid w:val="002B1FB8"/>
    <w:rsid w:val="002B5E2C"/>
    <w:rsid w:val="002D4BA9"/>
    <w:rsid w:val="002D7E67"/>
    <w:rsid w:val="002E1A5B"/>
    <w:rsid w:val="002E49D7"/>
    <w:rsid w:val="002E69E3"/>
    <w:rsid w:val="002F173D"/>
    <w:rsid w:val="002F6825"/>
    <w:rsid w:val="002F7F0A"/>
    <w:rsid w:val="00305825"/>
    <w:rsid w:val="00312ABA"/>
    <w:rsid w:val="003164D5"/>
    <w:rsid w:val="00316EA5"/>
    <w:rsid w:val="00317C6B"/>
    <w:rsid w:val="003211A9"/>
    <w:rsid w:val="0033022B"/>
    <w:rsid w:val="00334112"/>
    <w:rsid w:val="003376E4"/>
    <w:rsid w:val="003423EA"/>
    <w:rsid w:val="00343CE1"/>
    <w:rsid w:val="00344D64"/>
    <w:rsid w:val="003469B8"/>
    <w:rsid w:val="00354495"/>
    <w:rsid w:val="00356312"/>
    <w:rsid w:val="0036542E"/>
    <w:rsid w:val="00365882"/>
    <w:rsid w:val="00365A29"/>
    <w:rsid w:val="003729BA"/>
    <w:rsid w:val="003833D8"/>
    <w:rsid w:val="00384255"/>
    <w:rsid w:val="003919B9"/>
    <w:rsid w:val="00393613"/>
    <w:rsid w:val="00395041"/>
    <w:rsid w:val="003A2CA8"/>
    <w:rsid w:val="003B5AE6"/>
    <w:rsid w:val="003B7741"/>
    <w:rsid w:val="003C2640"/>
    <w:rsid w:val="003C4755"/>
    <w:rsid w:val="003C7340"/>
    <w:rsid w:val="003D1E89"/>
    <w:rsid w:val="003E0551"/>
    <w:rsid w:val="003E0E23"/>
    <w:rsid w:val="003E4A60"/>
    <w:rsid w:val="003E753D"/>
    <w:rsid w:val="00400023"/>
    <w:rsid w:val="00400D0B"/>
    <w:rsid w:val="00410FC2"/>
    <w:rsid w:val="00415770"/>
    <w:rsid w:val="00417C70"/>
    <w:rsid w:val="00421032"/>
    <w:rsid w:val="00423C57"/>
    <w:rsid w:val="00425B79"/>
    <w:rsid w:val="00426AE2"/>
    <w:rsid w:val="0043131E"/>
    <w:rsid w:val="004325D0"/>
    <w:rsid w:val="0043353D"/>
    <w:rsid w:val="00436E53"/>
    <w:rsid w:val="00442C9E"/>
    <w:rsid w:val="00443DDA"/>
    <w:rsid w:val="00444BBA"/>
    <w:rsid w:val="00451442"/>
    <w:rsid w:val="00452F7B"/>
    <w:rsid w:val="0046099F"/>
    <w:rsid w:val="00462691"/>
    <w:rsid w:val="00465375"/>
    <w:rsid w:val="00466E51"/>
    <w:rsid w:val="004732FF"/>
    <w:rsid w:val="004739E7"/>
    <w:rsid w:val="004821D5"/>
    <w:rsid w:val="004903C8"/>
    <w:rsid w:val="00490FAC"/>
    <w:rsid w:val="00491479"/>
    <w:rsid w:val="004A0BFF"/>
    <w:rsid w:val="004A2AC4"/>
    <w:rsid w:val="004A60A1"/>
    <w:rsid w:val="004B04FF"/>
    <w:rsid w:val="004B209D"/>
    <w:rsid w:val="004B469C"/>
    <w:rsid w:val="004B59EA"/>
    <w:rsid w:val="004C00AF"/>
    <w:rsid w:val="004C0801"/>
    <w:rsid w:val="004C2893"/>
    <w:rsid w:val="004C44D0"/>
    <w:rsid w:val="004C713A"/>
    <w:rsid w:val="004D0222"/>
    <w:rsid w:val="004D190A"/>
    <w:rsid w:val="004E5933"/>
    <w:rsid w:val="004E59EA"/>
    <w:rsid w:val="004E7021"/>
    <w:rsid w:val="004E76F8"/>
    <w:rsid w:val="004F7CD5"/>
    <w:rsid w:val="005026E6"/>
    <w:rsid w:val="00510A9A"/>
    <w:rsid w:val="00511EA4"/>
    <w:rsid w:val="0051547E"/>
    <w:rsid w:val="00515D49"/>
    <w:rsid w:val="00515E04"/>
    <w:rsid w:val="00516962"/>
    <w:rsid w:val="0051727C"/>
    <w:rsid w:val="00522FBB"/>
    <w:rsid w:val="005233B9"/>
    <w:rsid w:val="0053246A"/>
    <w:rsid w:val="00532E14"/>
    <w:rsid w:val="005346BB"/>
    <w:rsid w:val="005507A9"/>
    <w:rsid w:val="005510DC"/>
    <w:rsid w:val="00552677"/>
    <w:rsid w:val="00554288"/>
    <w:rsid w:val="005548FD"/>
    <w:rsid w:val="005557EA"/>
    <w:rsid w:val="00556169"/>
    <w:rsid w:val="00561035"/>
    <w:rsid w:val="00561B7B"/>
    <w:rsid w:val="00564818"/>
    <w:rsid w:val="005761A6"/>
    <w:rsid w:val="005824CB"/>
    <w:rsid w:val="0058708C"/>
    <w:rsid w:val="00593145"/>
    <w:rsid w:val="005966F4"/>
    <w:rsid w:val="005A25E8"/>
    <w:rsid w:val="005A3053"/>
    <w:rsid w:val="005A3ADF"/>
    <w:rsid w:val="005A6C54"/>
    <w:rsid w:val="005A7A27"/>
    <w:rsid w:val="005B3A9E"/>
    <w:rsid w:val="005C463D"/>
    <w:rsid w:val="005D37D3"/>
    <w:rsid w:val="005D4F34"/>
    <w:rsid w:val="005D7611"/>
    <w:rsid w:val="005E1F89"/>
    <w:rsid w:val="005E29B6"/>
    <w:rsid w:val="005E6033"/>
    <w:rsid w:val="005F051F"/>
    <w:rsid w:val="005F1634"/>
    <w:rsid w:val="005F673C"/>
    <w:rsid w:val="00602E2E"/>
    <w:rsid w:val="00603DB3"/>
    <w:rsid w:val="00603E80"/>
    <w:rsid w:val="006043FD"/>
    <w:rsid w:val="00633103"/>
    <w:rsid w:val="00636413"/>
    <w:rsid w:val="006367D1"/>
    <w:rsid w:val="00640040"/>
    <w:rsid w:val="00640C54"/>
    <w:rsid w:val="006454CC"/>
    <w:rsid w:val="00645DB8"/>
    <w:rsid w:val="00653DF3"/>
    <w:rsid w:val="0066490D"/>
    <w:rsid w:val="006725BD"/>
    <w:rsid w:val="00672852"/>
    <w:rsid w:val="00673A29"/>
    <w:rsid w:val="00675F7D"/>
    <w:rsid w:val="00677DE6"/>
    <w:rsid w:val="006803D1"/>
    <w:rsid w:val="00683B56"/>
    <w:rsid w:val="00684B26"/>
    <w:rsid w:val="00685751"/>
    <w:rsid w:val="006863E8"/>
    <w:rsid w:val="00694705"/>
    <w:rsid w:val="0069538D"/>
    <w:rsid w:val="00697B25"/>
    <w:rsid w:val="006A1129"/>
    <w:rsid w:val="006A163E"/>
    <w:rsid w:val="006A174D"/>
    <w:rsid w:val="006A1AC2"/>
    <w:rsid w:val="006A311A"/>
    <w:rsid w:val="006A5031"/>
    <w:rsid w:val="006B097D"/>
    <w:rsid w:val="006B1D02"/>
    <w:rsid w:val="006B2FFC"/>
    <w:rsid w:val="006B36C6"/>
    <w:rsid w:val="006B55EB"/>
    <w:rsid w:val="006B6961"/>
    <w:rsid w:val="006C254B"/>
    <w:rsid w:val="006C56FC"/>
    <w:rsid w:val="006C6830"/>
    <w:rsid w:val="006D150A"/>
    <w:rsid w:val="006D61DA"/>
    <w:rsid w:val="006E06D2"/>
    <w:rsid w:val="006E3255"/>
    <w:rsid w:val="006E388B"/>
    <w:rsid w:val="006F028C"/>
    <w:rsid w:val="006F2222"/>
    <w:rsid w:val="006F23FC"/>
    <w:rsid w:val="006F6364"/>
    <w:rsid w:val="0070622A"/>
    <w:rsid w:val="00707846"/>
    <w:rsid w:val="00715A43"/>
    <w:rsid w:val="00715ACC"/>
    <w:rsid w:val="00721931"/>
    <w:rsid w:val="00722295"/>
    <w:rsid w:val="0073501B"/>
    <w:rsid w:val="0073745B"/>
    <w:rsid w:val="0074264E"/>
    <w:rsid w:val="00753677"/>
    <w:rsid w:val="007549FC"/>
    <w:rsid w:val="00757B08"/>
    <w:rsid w:val="00757C44"/>
    <w:rsid w:val="00761983"/>
    <w:rsid w:val="00764350"/>
    <w:rsid w:val="00764B70"/>
    <w:rsid w:val="00771A6D"/>
    <w:rsid w:val="00773500"/>
    <w:rsid w:val="00775DDB"/>
    <w:rsid w:val="00776625"/>
    <w:rsid w:val="00777AF1"/>
    <w:rsid w:val="0078195B"/>
    <w:rsid w:val="00790BD9"/>
    <w:rsid w:val="007B1710"/>
    <w:rsid w:val="007C05EA"/>
    <w:rsid w:val="007C3F7E"/>
    <w:rsid w:val="007C610B"/>
    <w:rsid w:val="007D02E3"/>
    <w:rsid w:val="007D034D"/>
    <w:rsid w:val="007D41A2"/>
    <w:rsid w:val="007D7DCD"/>
    <w:rsid w:val="007E089D"/>
    <w:rsid w:val="007E0AA7"/>
    <w:rsid w:val="007E21EE"/>
    <w:rsid w:val="007E2CAC"/>
    <w:rsid w:val="007E40EC"/>
    <w:rsid w:val="007F3148"/>
    <w:rsid w:val="007F5DEA"/>
    <w:rsid w:val="008030E4"/>
    <w:rsid w:val="00814F78"/>
    <w:rsid w:val="00825DF9"/>
    <w:rsid w:val="008306CD"/>
    <w:rsid w:val="00831937"/>
    <w:rsid w:val="00831A52"/>
    <w:rsid w:val="008367EB"/>
    <w:rsid w:val="00842050"/>
    <w:rsid w:val="0084224F"/>
    <w:rsid w:val="008529D2"/>
    <w:rsid w:val="00854C67"/>
    <w:rsid w:val="008574DF"/>
    <w:rsid w:val="008611DC"/>
    <w:rsid w:val="0086170F"/>
    <w:rsid w:val="0086298E"/>
    <w:rsid w:val="00864425"/>
    <w:rsid w:val="00866679"/>
    <w:rsid w:val="00870442"/>
    <w:rsid w:val="008733F0"/>
    <w:rsid w:val="00873615"/>
    <w:rsid w:val="0087393B"/>
    <w:rsid w:val="008745D9"/>
    <w:rsid w:val="0087525E"/>
    <w:rsid w:val="008764E9"/>
    <w:rsid w:val="0088364B"/>
    <w:rsid w:val="00884A1A"/>
    <w:rsid w:val="00885DB3"/>
    <w:rsid w:val="00890754"/>
    <w:rsid w:val="00893A09"/>
    <w:rsid w:val="00895AC9"/>
    <w:rsid w:val="008966F5"/>
    <w:rsid w:val="00897D0B"/>
    <w:rsid w:val="008A5403"/>
    <w:rsid w:val="008B017B"/>
    <w:rsid w:val="008B309B"/>
    <w:rsid w:val="008B38F8"/>
    <w:rsid w:val="008B55A4"/>
    <w:rsid w:val="008B6043"/>
    <w:rsid w:val="008D288D"/>
    <w:rsid w:val="008D2FC8"/>
    <w:rsid w:val="008D56C7"/>
    <w:rsid w:val="008D6871"/>
    <w:rsid w:val="008E0319"/>
    <w:rsid w:val="008E28CB"/>
    <w:rsid w:val="008E2E52"/>
    <w:rsid w:val="008F106C"/>
    <w:rsid w:val="008F34DE"/>
    <w:rsid w:val="008F3A18"/>
    <w:rsid w:val="008F521C"/>
    <w:rsid w:val="008F53CF"/>
    <w:rsid w:val="008F5850"/>
    <w:rsid w:val="008F6250"/>
    <w:rsid w:val="008F681F"/>
    <w:rsid w:val="008F7431"/>
    <w:rsid w:val="00912564"/>
    <w:rsid w:val="009129F4"/>
    <w:rsid w:val="00912F65"/>
    <w:rsid w:val="00914C47"/>
    <w:rsid w:val="00916A57"/>
    <w:rsid w:val="0092049D"/>
    <w:rsid w:val="00922C4E"/>
    <w:rsid w:val="0093028E"/>
    <w:rsid w:val="00933564"/>
    <w:rsid w:val="0093424A"/>
    <w:rsid w:val="0093534A"/>
    <w:rsid w:val="00937482"/>
    <w:rsid w:val="009403F0"/>
    <w:rsid w:val="00941F7C"/>
    <w:rsid w:val="0094722F"/>
    <w:rsid w:val="00955691"/>
    <w:rsid w:val="0095746B"/>
    <w:rsid w:val="009574F2"/>
    <w:rsid w:val="00957CAC"/>
    <w:rsid w:val="00962587"/>
    <w:rsid w:val="00974864"/>
    <w:rsid w:val="0098149F"/>
    <w:rsid w:val="00983827"/>
    <w:rsid w:val="00991550"/>
    <w:rsid w:val="009923D8"/>
    <w:rsid w:val="00992914"/>
    <w:rsid w:val="009A1E1E"/>
    <w:rsid w:val="009A28F8"/>
    <w:rsid w:val="009A32C7"/>
    <w:rsid w:val="009A4531"/>
    <w:rsid w:val="009B141E"/>
    <w:rsid w:val="009B41E7"/>
    <w:rsid w:val="009B5CCC"/>
    <w:rsid w:val="009B7992"/>
    <w:rsid w:val="009C2B80"/>
    <w:rsid w:val="009C4B4C"/>
    <w:rsid w:val="009C4E50"/>
    <w:rsid w:val="009C516E"/>
    <w:rsid w:val="009C59D4"/>
    <w:rsid w:val="009C6782"/>
    <w:rsid w:val="009D40B4"/>
    <w:rsid w:val="009D5069"/>
    <w:rsid w:val="009E1B19"/>
    <w:rsid w:val="009E33BD"/>
    <w:rsid w:val="009F4170"/>
    <w:rsid w:val="009F53C6"/>
    <w:rsid w:val="00A01A55"/>
    <w:rsid w:val="00A05C2A"/>
    <w:rsid w:val="00A15137"/>
    <w:rsid w:val="00A17C4F"/>
    <w:rsid w:val="00A17F7F"/>
    <w:rsid w:val="00A23602"/>
    <w:rsid w:val="00A23E26"/>
    <w:rsid w:val="00A24207"/>
    <w:rsid w:val="00A30257"/>
    <w:rsid w:val="00A40351"/>
    <w:rsid w:val="00A40FEB"/>
    <w:rsid w:val="00A41206"/>
    <w:rsid w:val="00A41A39"/>
    <w:rsid w:val="00A46618"/>
    <w:rsid w:val="00A54A76"/>
    <w:rsid w:val="00A54BE0"/>
    <w:rsid w:val="00A712C7"/>
    <w:rsid w:val="00A72F00"/>
    <w:rsid w:val="00A77628"/>
    <w:rsid w:val="00A81CB1"/>
    <w:rsid w:val="00A828F8"/>
    <w:rsid w:val="00A82EDE"/>
    <w:rsid w:val="00A86D94"/>
    <w:rsid w:val="00A9139A"/>
    <w:rsid w:val="00A920C6"/>
    <w:rsid w:val="00A92C4A"/>
    <w:rsid w:val="00A9358B"/>
    <w:rsid w:val="00A95B37"/>
    <w:rsid w:val="00AA05BF"/>
    <w:rsid w:val="00AA3B46"/>
    <w:rsid w:val="00AA3D7D"/>
    <w:rsid w:val="00AB2B15"/>
    <w:rsid w:val="00AB3F64"/>
    <w:rsid w:val="00AB6A3D"/>
    <w:rsid w:val="00AC5368"/>
    <w:rsid w:val="00AC54D3"/>
    <w:rsid w:val="00AD057A"/>
    <w:rsid w:val="00AE0DBD"/>
    <w:rsid w:val="00AE47AB"/>
    <w:rsid w:val="00AE5B5E"/>
    <w:rsid w:val="00AF01EF"/>
    <w:rsid w:val="00AF135F"/>
    <w:rsid w:val="00AF3861"/>
    <w:rsid w:val="00AF42FB"/>
    <w:rsid w:val="00AF4524"/>
    <w:rsid w:val="00B01B1E"/>
    <w:rsid w:val="00B05261"/>
    <w:rsid w:val="00B167C1"/>
    <w:rsid w:val="00B25AED"/>
    <w:rsid w:val="00B25C4E"/>
    <w:rsid w:val="00B26011"/>
    <w:rsid w:val="00B32C1D"/>
    <w:rsid w:val="00B408C0"/>
    <w:rsid w:val="00B4424C"/>
    <w:rsid w:val="00B47E67"/>
    <w:rsid w:val="00B57473"/>
    <w:rsid w:val="00B61315"/>
    <w:rsid w:val="00B6161B"/>
    <w:rsid w:val="00B64C94"/>
    <w:rsid w:val="00B715D6"/>
    <w:rsid w:val="00B73EDC"/>
    <w:rsid w:val="00B9088B"/>
    <w:rsid w:val="00B910BB"/>
    <w:rsid w:val="00B92F37"/>
    <w:rsid w:val="00B93FB8"/>
    <w:rsid w:val="00B957A1"/>
    <w:rsid w:val="00B95D46"/>
    <w:rsid w:val="00BA301A"/>
    <w:rsid w:val="00BA30B0"/>
    <w:rsid w:val="00BA5899"/>
    <w:rsid w:val="00BA5D56"/>
    <w:rsid w:val="00BA6222"/>
    <w:rsid w:val="00BA6D13"/>
    <w:rsid w:val="00BB64F3"/>
    <w:rsid w:val="00BC18EE"/>
    <w:rsid w:val="00BC20C1"/>
    <w:rsid w:val="00BC3AE9"/>
    <w:rsid w:val="00BD054D"/>
    <w:rsid w:val="00BD0E3C"/>
    <w:rsid w:val="00BD3B9D"/>
    <w:rsid w:val="00BE1777"/>
    <w:rsid w:val="00BE6150"/>
    <w:rsid w:val="00BF7F75"/>
    <w:rsid w:val="00C0093B"/>
    <w:rsid w:val="00C021E2"/>
    <w:rsid w:val="00C04FCF"/>
    <w:rsid w:val="00C12218"/>
    <w:rsid w:val="00C23CAE"/>
    <w:rsid w:val="00C264DA"/>
    <w:rsid w:val="00C30981"/>
    <w:rsid w:val="00C31FDE"/>
    <w:rsid w:val="00C372D6"/>
    <w:rsid w:val="00C37F4A"/>
    <w:rsid w:val="00C46B35"/>
    <w:rsid w:val="00C52B8E"/>
    <w:rsid w:val="00C56DDE"/>
    <w:rsid w:val="00C625DD"/>
    <w:rsid w:val="00C66283"/>
    <w:rsid w:val="00C7048C"/>
    <w:rsid w:val="00C82CB1"/>
    <w:rsid w:val="00C907A8"/>
    <w:rsid w:val="00C911A5"/>
    <w:rsid w:val="00C924F5"/>
    <w:rsid w:val="00C967CC"/>
    <w:rsid w:val="00C97FD2"/>
    <w:rsid w:val="00CA053F"/>
    <w:rsid w:val="00CA1EEF"/>
    <w:rsid w:val="00CA1F4B"/>
    <w:rsid w:val="00CA56B2"/>
    <w:rsid w:val="00CB0CFF"/>
    <w:rsid w:val="00CB0D2E"/>
    <w:rsid w:val="00CB1D4F"/>
    <w:rsid w:val="00CB3820"/>
    <w:rsid w:val="00CC561E"/>
    <w:rsid w:val="00CC61B4"/>
    <w:rsid w:val="00CD0229"/>
    <w:rsid w:val="00CD5B33"/>
    <w:rsid w:val="00CE17E4"/>
    <w:rsid w:val="00CE48B5"/>
    <w:rsid w:val="00D01C43"/>
    <w:rsid w:val="00D04ACE"/>
    <w:rsid w:val="00D05425"/>
    <w:rsid w:val="00D07C0F"/>
    <w:rsid w:val="00D16E9E"/>
    <w:rsid w:val="00D17658"/>
    <w:rsid w:val="00D22443"/>
    <w:rsid w:val="00D23885"/>
    <w:rsid w:val="00D23D38"/>
    <w:rsid w:val="00D30CE6"/>
    <w:rsid w:val="00D31D43"/>
    <w:rsid w:val="00D32F05"/>
    <w:rsid w:val="00D34D8F"/>
    <w:rsid w:val="00D374BB"/>
    <w:rsid w:val="00D42191"/>
    <w:rsid w:val="00D424A2"/>
    <w:rsid w:val="00D44C6E"/>
    <w:rsid w:val="00D44FDA"/>
    <w:rsid w:val="00D47F80"/>
    <w:rsid w:val="00D5285E"/>
    <w:rsid w:val="00D52906"/>
    <w:rsid w:val="00D567E3"/>
    <w:rsid w:val="00D57EAF"/>
    <w:rsid w:val="00D60C3B"/>
    <w:rsid w:val="00D74267"/>
    <w:rsid w:val="00D823D7"/>
    <w:rsid w:val="00D83E0F"/>
    <w:rsid w:val="00D8464D"/>
    <w:rsid w:val="00D90B8B"/>
    <w:rsid w:val="00DA422A"/>
    <w:rsid w:val="00DA5FEA"/>
    <w:rsid w:val="00DB09D0"/>
    <w:rsid w:val="00DB42E6"/>
    <w:rsid w:val="00DB740C"/>
    <w:rsid w:val="00DC0CAC"/>
    <w:rsid w:val="00DC1D3C"/>
    <w:rsid w:val="00DC7B21"/>
    <w:rsid w:val="00DD2EE6"/>
    <w:rsid w:val="00DD2F06"/>
    <w:rsid w:val="00DD381F"/>
    <w:rsid w:val="00DD6FBD"/>
    <w:rsid w:val="00DD7ADF"/>
    <w:rsid w:val="00DE5B04"/>
    <w:rsid w:val="00DE60F9"/>
    <w:rsid w:val="00DF0038"/>
    <w:rsid w:val="00DF043E"/>
    <w:rsid w:val="00DF3F95"/>
    <w:rsid w:val="00DF730C"/>
    <w:rsid w:val="00DF7B93"/>
    <w:rsid w:val="00E0123C"/>
    <w:rsid w:val="00E0533A"/>
    <w:rsid w:val="00E2552C"/>
    <w:rsid w:val="00E265FE"/>
    <w:rsid w:val="00E2736D"/>
    <w:rsid w:val="00E35257"/>
    <w:rsid w:val="00E35D48"/>
    <w:rsid w:val="00E3729E"/>
    <w:rsid w:val="00E4046F"/>
    <w:rsid w:val="00E42336"/>
    <w:rsid w:val="00E4665F"/>
    <w:rsid w:val="00E575C3"/>
    <w:rsid w:val="00E60AFD"/>
    <w:rsid w:val="00E63B49"/>
    <w:rsid w:val="00E70E56"/>
    <w:rsid w:val="00E73CD9"/>
    <w:rsid w:val="00E74152"/>
    <w:rsid w:val="00E743CD"/>
    <w:rsid w:val="00E76DCD"/>
    <w:rsid w:val="00E87177"/>
    <w:rsid w:val="00E90678"/>
    <w:rsid w:val="00EA51B3"/>
    <w:rsid w:val="00EA5907"/>
    <w:rsid w:val="00EB6B49"/>
    <w:rsid w:val="00EB7771"/>
    <w:rsid w:val="00EC0540"/>
    <w:rsid w:val="00EC6CCB"/>
    <w:rsid w:val="00ED1060"/>
    <w:rsid w:val="00ED37F6"/>
    <w:rsid w:val="00ED7AF4"/>
    <w:rsid w:val="00EF42B4"/>
    <w:rsid w:val="00EF50CB"/>
    <w:rsid w:val="00F10600"/>
    <w:rsid w:val="00F1136E"/>
    <w:rsid w:val="00F12132"/>
    <w:rsid w:val="00F1684A"/>
    <w:rsid w:val="00F17D20"/>
    <w:rsid w:val="00F23FE8"/>
    <w:rsid w:val="00F31803"/>
    <w:rsid w:val="00F319DC"/>
    <w:rsid w:val="00F416CD"/>
    <w:rsid w:val="00F45826"/>
    <w:rsid w:val="00F46413"/>
    <w:rsid w:val="00F57058"/>
    <w:rsid w:val="00F5789E"/>
    <w:rsid w:val="00F621A3"/>
    <w:rsid w:val="00F63436"/>
    <w:rsid w:val="00F661DC"/>
    <w:rsid w:val="00F67490"/>
    <w:rsid w:val="00F67673"/>
    <w:rsid w:val="00F76EEE"/>
    <w:rsid w:val="00F835BF"/>
    <w:rsid w:val="00F96A41"/>
    <w:rsid w:val="00F979AF"/>
    <w:rsid w:val="00FA1344"/>
    <w:rsid w:val="00FA1A87"/>
    <w:rsid w:val="00FB0090"/>
    <w:rsid w:val="00FB105F"/>
    <w:rsid w:val="00FB3FDF"/>
    <w:rsid w:val="00FB70AC"/>
    <w:rsid w:val="00FD3F1F"/>
    <w:rsid w:val="00FE6595"/>
    <w:rsid w:val="00FE6967"/>
    <w:rsid w:val="00FE6BDF"/>
    <w:rsid w:val="00FE6F97"/>
    <w:rsid w:val="00FF0906"/>
    <w:rsid w:val="00FF3289"/>
    <w:rsid w:val="00FF68D5"/>
    <w:rsid w:val="01145609"/>
    <w:rsid w:val="01526D18"/>
    <w:rsid w:val="01CD43DC"/>
    <w:rsid w:val="01CE15B8"/>
    <w:rsid w:val="01D837D0"/>
    <w:rsid w:val="01F11E89"/>
    <w:rsid w:val="02020CC6"/>
    <w:rsid w:val="025F2216"/>
    <w:rsid w:val="03304250"/>
    <w:rsid w:val="0337738D"/>
    <w:rsid w:val="03A774FC"/>
    <w:rsid w:val="03CA65A7"/>
    <w:rsid w:val="03FD2384"/>
    <w:rsid w:val="04117BDE"/>
    <w:rsid w:val="041A0F22"/>
    <w:rsid w:val="045301F6"/>
    <w:rsid w:val="04673CA2"/>
    <w:rsid w:val="04B46EC1"/>
    <w:rsid w:val="04D26DDE"/>
    <w:rsid w:val="04E512BE"/>
    <w:rsid w:val="051756C8"/>
    <w:rsid w:val="054C34A1"/>
    <w:rsid w:val="057E30D4"/>
    <w:rsid w:val="058B39C0"/>
    <w:rsid w:val="05A63AA2"/>
    <w:rsid w:val="06001553"/>
    <w:rsid w:val="0613414C"/>
    <w:rsid w:val="06354261"/>
    <w:rsid w:val="06B70C51"/>
    <w:rsid w:val="06ED4932"/>
    <w:rsid w:val="078E79D1"/>
    <w:rsid w:val="078F15BC"/>
    <w:rsid w:val="07D21D7A"/>
    <w:rsid w:val="07EA0E6C"/>
    <w:rsid w:val="080B651F"/>
    <w:rsid w:val="083D3697"/>
    <w:rsid w:val="08565AD5"/>
    <w:rsid w:val="089F1C5C"/>
    <w:rsid w:val="08A329ED"/>
    <w:rsid w:val="08FD62A6"/>
    <w:rsid w:val="08FF7541"/>
    <w:rsid w:val="09622C8A"/>
    <w:rsid w:val="09E638BB"/>
    <w:rsid w:val="09F12930"/>
    <w:rsid w:val="0A267E14"/>
    <w:rsid w:val="0A2A37A7"/>
    <w:rsid w:val="0A374116"/>
    <w:rsid w:val="0A564015"/>
    <w:rsid w:val="0A9D041D"/>
    <w:rsid w:val="0AA23B8D"/>
    <w:rsid w:val="0ABC0E33"/>
    <w:rsid w:val="0AD92860"/>
    <w:rsid w:val="0AE931D4"/>
    <w:rsid w:val="0B123463"/>
    <w:rsid w:val="0B3058BE"/>
    <w:rsid w:val="0B334FB4"/>
    <w:rsid w:val="0B440899"/>
    <w:rsid w:val="0B5C2020"/>
    <w:rsid w:val="0B6E3B68"/>
    <w:rsid w:val="0B7D3DAB"/>
    <w:rsid w:val="0BBC6B70"/>
    <w:rsid w:val="0BDD3F48"/>
    <w:rsid w:val="0BEA58E4"/>
    <w:rsid w:val="0C2C32E9"/>
    <w:rsid w:val="0D1755FF"/>
    <w:rsid w:val="0D2A08D0"/>
    <w:rsid w:val="0D5142B6"/>
    <w:rsid w:val="0D6276FC"/>
    <w:rsid w:val="0DCC5DE3"/>
    <w:rsid w:val="0DDC654E"/>
    <w:rsid w:val="0E153656"/>
    <w:rsid w:val="0E214EC1"/>
    <w:rsid w:val="0E3A4EE9"/>
    <w:rsid w:val="0E632D9F"/>
    <w:rsid w:val="0E732375"/>
    <w:rsid w:val="0F0C6B07"/>
    <w:rsid w:val="0F8E530B"/>
    <w:rsid w:val="0FAA5C4D"/>
    <w:rsid w:val="107757B0"/>
    <w:rsid w:val="107C791B"/>
    <w:rsid w:val="1176423A"/>
    <w:rsid w:val="11B50684"/>
    <w:rsid w:val="11F72B09"/>
    <w:rsid w:val="12291BED"/>
    <w:rsid w:val="122E5DFF"/>
    <w:rsid w:val="12463148"/>
    <w:rsid w:val="124F41D2"/>
    <w:rsid w:val="128C2A2E"/>
    <w:rsid w:val="132E42E0"/>
    <w:rsid w:val="133803E5"/>
    <w:rsid w:val="13581CC7"/>
    <w:rsid w:val="13D76B63"/>
    <w:rsid w:val="13ED41C3"/>
    <w:rsid w:val="1404150D"/>
    <w:rsid w:val="141D437D"/>
    <w:rsid w:val="141F1CB9"/>
    <w:rsid w:val="143C1162"/>
    <w:rsid w:val="145E2AD3"/>
    <w:rsid w:val="15123014"/>
    <w:rsid w:val="15A714A2"/>
    <w:rsid w:val="15AF5357"/>
    <w:rsid w:val="15E658D6"/>
    <w:rsid w:val="15EA3DB1"/>
    <w:rsid w:val="163E31C0"/>
    <w:rsid w:val="165E3157"/>
    <w:rsid w:val="166E4531"/>
    <w:rsid w:val="16782B7B"/>
    <w:rsid w:val="16790356"/>
    <w:rsid w:val="168C1346"/>
    <w:rsid w:val="16FF7D6A"/>
    <w:rsid w:val="170C6F1B"/>
    <w:rsid w:val="17A17FE2"/>
    <w:rsid w:val="17C565E3"/>
    <w:rsid w:val="17DF42AB"/>
    <w:rsid w:val="1811090C"/>
    <w:rsid w:val="186A01C0"/>
    <w:rsid w:val="18E65685"/>
    <w:rsid w:val="18EC4E85"/>
    <w:rsid w:val="191E4E41"/>
    <w:rsid w:val="192C43A1"/>
    <w:rsid w:val="19F2068D"/>
    <w:rsid w:val="1A5C0F88"/>
    <w:rsid w:val="1A793B79"/>
    <w:rsid w:val="1A8C327B"/>
    <w:rsid w:val="1AEF3E96"/>
    <w:rsid w:val="1B0D51E7"/>
    <w:rsid w:val="1B9D0748"/>
    <w:rsid w:val="1BDE0DE4"/>
    <w:rsid w:val="1C16002F"/>
    <w:rsid w:val="1C3D6D64"/>
    <w:rsid w:val="1C976DEE"/>
    <w:rsid w:val="1CE76161"/>
    <w:rsid w:val="1D0C3179"/>
    <w:rsid w:val="1D1C78C7"/>
    <w:rsid w:val="1D405FF2"/>
    <w:rsid w:val="1D48246B"/>
    <w:rsid w:val="1DDC0E05"/>
    <w:rsid w:val="1E0F2C78"/>
    <w:rsid w:val="1E5D56B7"/>
    <w:rsid w:val="1EA91761"/>
    <w:rsid w:val="1EB12F62"/>
    <w:rsid w:val="1EB677CD"/>
    <w:rsid w:val="1F29007A"/>
    <w:rsid w:val="1F664E2A"/>
    <w:rsid w:val="1F7757F9"/>
    <w:rsid w:val="1FD61FB0"/>
    <w:rsid w:val="1FE346CD"/>
    <w:rsid w:val="1FEC58BB"/>
    <w:rsid w:val="1FFB1A16"/>
    <w:rsid w:val="201E5705"/>
    <w:rsid w:val="203547BC"/>
    <w:rsid w:val="204F4E3B"/>
    <w:rsid w:val="20B97665"/>
    <w:rsid w:val="20C71318"/>
    <w:rsid w:val="20DD0F8D"/>
    <w:rsid w:val="21050673"/>
    <w:rsid w:val="2121123C"/>
    <w:rsid w:val="2134365C"/>
    <w:rsid w:val="21417131"/>
    <w:rsid w:val="21441798"/>
    <w:rsid w:val="216F7695"/>
    <w:rsid w:val="21AD4F92"/>
    <w:rsid w:val="21B46321"/>
    <w:rsid w:val="21F54DAB"/>
    <w:rsid w:val="22B70C60"/>
    <w:rsid w:val="22FA27A4"/>
    <w:rsid w:val="231452A2"/>
    <w:rsid w:val="232F6CD4"/>
    <w:rsid w:val="233703FE"/>
    <w:rsid w:val="238D051A"/>
    <w:rsid w:val="23B337F3"/>
    <w:rsid w:val="23BE42D7"/>
    <w:rsid w:val="23DA7B95"/>
    <w:rsid w:val="23EE7C78"/>
    <w:rsid w:val="241A0F33"/>
    <w:rsid w:val="24B87E6D"/>
    <w:rsid w:val="24C50845"/>
    <w:rsid w:val="24E33795"/>
    <w:rsid w:val="251A293E"/>
    <w:rsid w:val="25397845"/>
    <w:rsid w:val="2566261D"/>
    <w:rsid w:val="25781CF7"/>
    <w:rsid w:val="257D111F"/>
    <w:rsid w:val="25A4270E"/>
    <w:rsid w:val="25E354D7"/>
    <w:rsid w:val="263712CE"/>
    <w:rsid w:val="263A29B5"/>
    <w:rsid w:val="265C2EBC"/>
    <w:rsid w:val="266122C8"/>
    <w:rsid w:val="267F212E"/>
    <w:rsid w:val="269531C8"/>
    <w:rsid w:val="26C419B4"/>
    <w:rsid w:val="26C74DB3"/>
    <w:rsid w:val="26D62E3B"/>
    <w:rsid w:val="26E56F7C"/>
    <w:rsid w:val="26EB5D00"/>
    <w:rsid w:val="26FF7406"/>
    <w:rsid w:val="27505A26"/>
    <w:rsid w:val="275C4983"/>
    <w:rsid w:val="278C6174"/>
    <w:rsid w:val="27910EB2"/>
    <w:rsid w:val="28247630"/>
    <w:rsid w:val="284725F7"/>
    <w:rsid w:val="28810A21"/>
    <w:rsid w:val="28844573"/>
    <w:rsid w:val="28D63020"/>
    <w:rsid w:val="28DE3870"/>
    <w:rsid w:val="28E00E55"/>
    <w:rsid w:val="28F64240"/>
    <w:rsid w:val="29085690"/>
    <w:rsid w:val="292867A7"/>
    <w:rsid w:val="297B2C70"/>
    <w:rsid w:val="29831926"/>
    <w:rsid w:val="29847601"/>
    <w:rsid w:val="29A24CB1"/>
    <w:rsid w:val="29CD6057"/>
    <w:rsid w:val="29E014A7"/>
    <w:rsid w:val="2A055A3B"/>
    <w:rsid w:val="2A1F09F7"/>
    <w:rsid w:val="2A252C4C"/>
    <w:rsid w:val="2A2B2EF8"/>
    <w:rsid w:val="2A544D6D"/>
    <w:rsid w:val="2A68171A"/>
    <w:rsid w:val="2A6B2202"/>
    <w:rsid w:val="2A944F41"/>
    <w:rsid w:val="2AC218E3"/>
    <w:rsid w:val="2AE337D3"/>
    <w:rsid w:val="2AEB08D9"/>
    <w:rsid w:val="2B024217"/>
    <w:rsid w:val="2B527C53"/>
    <w:rsid w:val="2B8E1990"/>
    <w:rsid w:val="2C1B24CA"/>
    <w:rsid w:val="2C771A65"/>
    <w:rsid w:val="2CC4125E"/>
    <w:rsid w:val="2D0017B0"/>
    <w:rsid w:val="2D4A18E7"/>
    <w:rsid w:val="2D9B1D39"/>
    <w:rsid w:val="2DDF5A78"/>
    <w:rsid w:val="2DFF4794"/>
    <w:rsid w:val="2E0F22B1"/>
    <w:rsid w:val="2E162111"/>
    <w:rsid w:val="2E6C1D31"/>
    <w:rsid w:val="2EA25753"/>
    <w:rsid w:val="2F662C47"/>
    <w:rsid w:val="2F735E66"/>
    <w:rsid w:val="2F971E8E"/>
    <w:rsid w:val="2FE222AB"/>
    <w:rsid w:val="2FEE00D2"/>
    <w:rsid w:val="30741A9D"/>
    <w:rsid w:val="313A1B3A"/>
    <w:rsid w:val="315559EE"/>
    <w:rsid w:val="31826AC4"/>
    <w:rsid w:val="31CF2AA7"/>
    <w:rsid w:val="32002EBC"/>
    <w:rsid w:val="328971A4"/>
    <w:rsid w:val="32D57EA5"/>
    <w:rsid w:val="33017717"/>
    <w:rsid w:val="330B7E50"/>
    <w:rsid w:val="333077D1"/>
    <w:rsid w:val="336E3E55"/>
    <w:rsid w:val="33810916"/>
    <w:rsid w:val="33C67264"/>
    <w:rsid w:val="342B17CD"/>
    <w:rsid w:val="344454A0"/>
    <w:rsid w:val="349D7432"/>
    <w:rsid w:val="34D3595E"/>
    <w:rsid w:val="35782541"/>
    <w:rsid w:val="358B2626"/>
    <w:rsid w:val="35A27111"/>
    <w:rsid w:val="35B03ABB"/>
    <w:rsid w:val="36985DB9"/>
    <w:rsid w:val="36D111CC"/>
    <w:rsid w:val="371B4554"/>
    <w:rsid w:val="37871B41"/>
    <w:rsid w:val="379B09E6"/>
    <w:rsid w:val="37A66C59"/>
    <w:rsid w:val="37C640CA"/>
    <w:rsid w:val="380A4A95"/>
    <w:rsid w:val="380A6843"/>
    <w:rsid w:val="38636054"/>
    <w:rsid w:val="388702B0"/>
    <w:rsid w:val="389736C7"/>
    <w:rsid w:val="38BD7313"/>
    <w:rsid w:val="396C5CA3"/>
    <w:rsid w:val="39C64F75"/>
    <w:rsid w:val="39E37F12"/>
    <w:rsid w:val="39E9122A"/>
    <w:rsid w:val="39FA666B"/>
    <w:rsid w:val="3A287454"/>
    <w:rsid w:val="3A704957"/>
    <w:rsid w:val="3AB011FE"/>
    <w:rsid w:val="3ACC6F55"/>
    <w:rsid w:val="3AD061D5"/>
    <w:rsid w:val="3AD86EED"/>
    <w:rsid w:val="3B1A040E"/>
    <w:rsid w:val="3B3519CA"/>
    <w:rsid w:val="3B944AE6"/>
    <w:rsid w:val="3C4D6CFE"/>
    <w:rsid w:val="3C7F0A30"/>
    <w:rsid w:val="3CB80781"/>
    <w:rsid w:val="3D103642"/>
    <w:rsid w:val="3D530A3F"/>
    <w:rsid w:val="3D7E017B"/>
    <w:rsid w:val="3D98281E"/>
    <w:rsid w:val="3DCE1F7F"/>
    <w:rsid w:val="3DED7915"/>
    <w:rsid w:val="3E196FDB"/>
    <w:rsid w:val="3E3C1000"/>
    <w:rsid w:val="3E6A10CD"/>
    <w:rsid w:val="3E965A35"/>
    <w:rsid w:val="3EDB61C9"/>
    <w:rsid w:val="3EF73899"/>
    <w:rsid w:val="3F2D36D8"/>
    <w:rsid w:val="3F4046D4"/>
    <w:rsid w:val="40016322"/>
    <w:rsid w:val="400A4A04"/>
    <w:rsid w:val="40407146"/>
    <w:rsid w:val="40750F19"/>
    <w:rsid w:val="40B07AE2"/>
    <w:rsid w:val="40B13ED6"/>
    <w:rsid w:val="41014921"/>
    <w:rsid w:val="410B143F"/>
    <w:rsid w:val="4185518C"/>
    <w:rsid w:val="41A86B56"/>
    <w:rsid w:val="41AB2A3D"/>
    <w:rsid w:val="420F2CA7"/>
    <w:rsid w:val="42202193"/>
    <w:rsid w:val="429733C9"/>
    <w:rsid w:val="42B45D29"/>
    <w:rsid w:val="42E42E16"/>
    <w:rsid w:val="431002D9"/>
    <w:rsid w:val="43656E2C"/>
    <w:rsid w:val="43D40D6E"/>
    <w:rsid w:val="4408366A"/>
    <w:rsid w:val="441822E7"/>
    <w:rsid w:val="4453331F"/>
    <w:rsid w:val="44A8366B"/>
    <w:rsid w:val="44D179A5"/>
    <w:rsid w:val="454E632A"/>
    <w:rsid w:val="45B60184"/>
    <w:rsid w:val="45B65E71"/>
    <w:rsid w:val="46546D5A"/>
    <w:rsid w:val="466123DA"/>
    <w:rsid w:val="46845A12"/>
    <w:rsid w:val="46FA35E8"/>
    <w:rsid w:val="46FC37FA"/>
    <w:rsid w:val="47CA1B4A"/>
    <w:rsid w:val="4824509C"/>
    <w:rsid w:val="487D6C4D"/>
    <w:rsid w:val="48D15842"/>
    <w:rsid w:val="490908F7"/>
    <w:rsid w:val="49414167"/>
    <w:rsid w:val="49496A9F"/>
    <w:rsid w:val="49A203C4"/>
    <w:rsid w:val="49E77763"/>
    <w:rsid w:val="4A5E657A"/>
    <w:rsid w:val="4A9A7DC0"/>
    <w:rsid w:val="4AC74ACE"/>
    <w:rsid w:val="4AEF3EB2"/>
    <w:rsid w:val="4B4E1A13"/>
    <w:rsid w:val="4BA34B8C"/>
    <w:rsid w:val="4BA95F1B"/>
    <w:rsid w:val="4BC6087B"/>
    <w:rsid w:val="4BFE1DC3"/>
    <w:rsid w:val="4C0F3FD0"/>
    <w:rsid w:val="4C3063C3"/>
    <w:rsid w:val="4C723A94"/>
    <w:rsid w:val="4CD566AA"/>
    <w:rsid w:val="4CDD4537"/>
    <w:rsid w:val="4D6809DE"/>
    <w:rsid w:val="4D891B60"/>
    <w:rsid w:val="4DA62712"/>
    <w:rsid w:val="4DCC5FFE"/>
    <w:rsid w:val="4E1E04DF"/>
    <w:rsid w:val="4E201B77"/>
    <w:rsid w:val="4E243296"/>
    <w:rsid w:val="4E590D56"/>
    <w:rsid w:val="4EC845D7"/>
    <w:rsid w:val="4F576D80"/>
    <w:rsid w:val="4F830B52"/>
    <w:rsid w:val="4F833932"/>
    <w:rsid w:val="4F9B5B7A"/>
    <w:rsid w:val="4FCE7D26"/>
    <w:rsid w:val="503009B9"/>
    <w:rsid w:val="50346606"/>
    <w:rsid w:val="5043693E"/>
    <w:rsid w:val="504371A9"/>
    <w:rsid w:val="505521CD"/>
    <w:rsid w:val="50B1333A"/>
    <w:rsid w:val="50EF2622"/>
    <w:rsid w:val="51117ADD"/>
    <w:rsid w:val="51155AAE"/>
    <w:rsid w:val="51233B77"/>
    <w:rsid w:val="51363DAD"/>
    <w:rsid w:val="51645C00"/>
    <w:rsid w:val="51D94E3A"/>
    <w:rsid w:val="52791B52"/>
    <w:rsid w:val="528E17F2"/>
    <w:rsid w:val="52993FA0"/>
    <w:rsid w:val="52B01CAB"/>
    <w:rsid w:val="54344FEF"/>
    <w:rsid w:val="544C601A"/>
    <w:rsid w:val="54CC4531"/>
    <w:rsid w:val="54DC2EBD"/>
    <w:rsid w:val="55642A52"/>
    <w:rsid w:val="556709D9"/>
    <w:rsid w:val="557D2896"/>
    <w:rsid w:val="55E3723E"/>
    <w:rsid w:val="55E42029"/>
    <w:rsid w:val="55F06C20"/>
    <w:rsid w:val="560721BC"/>
    <w:rsid w:val="56206F98"/>
    <w:rsid w:val="56291330"/>
    <w:rsid w:val="564C5E20"/>
    <w:rsid w:val="56504A6C"/>
    <w:rsid w:val="56532ADC"/>
    <w:rsid w:val="565373D5"/>
    <w:rsid w:val="56A51FC7"/>
    <w:rsid w:val="572D6137"/>
    <w:rsid w:val="57773DB3"/>
    <w:rsid w:val="57AF036A"/>
    <w:rsid w:val="57CB1DE9"/>
    <w:rsid w:val="57D55A2A"/>
    <w:rsid w:val="57E60FC6"/>
    <w:rsid w:val="57FA2C75"/>
    <w:rsid w:val="582C75F0"/>
    <w:rsid w:val="58816BCA"/>
    <w:rsid w:val="58821C30"/>
    <w:rsid w:val="58A22415"/>
    <w:rsid w:val="58E33856"/>
    <w:rsid w:val="58E934C6"/>
    <w:rsid w:val="5917142D"/>
    <w:rsid w:val="591B63E8"/>
    <w:rsid w:val="597A4A53"/>
    <w:rsid w:val="59CB7446"/>
    <w:rsid w:val="59F30F7A"/>
    <w:rsid w:val="5A117165"/>
    <w:rsid w:val="5A4D042D"/>
    <w:rsid w:val="5A5D05FC"/>
    <w:rsid w:val="5A5F4374"/>
    <w:rsid w:val="5A814675"/>
    <w:rsid w:val="5AA10AD0"/>
    <w:rsid w:val="5ACE08E9"/>
    <w:rsid w:val="5AFC0BA0"/>
    <w:rsid w:val="5B14642B"/>
    <w:rsid w:val="5BCA37E2"/>
    <w:rsid w:val="5C7D4F86"/>
    <w:rsid w:val="5CA17C44"/>
    <w:rsid w:val="5CB20AA9"/>
    <w:rsid w:val="5D2B6790"/>
    <w:rsid w:val="5D5F760F"/>
    <w:rsid w:val="5D782DA6"/>
    <w:rsid w:val="5D97346A"/>
    <w:rsid w:val="5DD62B9F"/>
    <w:rsid w:val="5DE31367"/>
    <w:rsid w:val="5F473629"/>
    <w:rsid w:val="5F985E35"/>
    <w:rsid w:val="5FFA554F"/>
    <w:rsid w:val="60327E35"/>
    <w:rsid w:val="606F4BE5"/>
    <w:rsid w:val="60747F0E"/>
    <w:rsid w:val="607B393B"/>
    <w:rsid w:val="608D150F"/>
    <w:rsid w:val="60C14320"/>
    <w:rsid w:val="610572F8"/>
    <w:rsid w:val="614813C1"/>
    <w:rsid w:val="614B5652"/>
    <w:rsid w:val="61880654"/>
    <w:rsid w:val="6214004A"/>
    <w:rsid w:val="622602C3"/>
    <w:rsid w:val="62373E29"/>
    <w:rsid w:val="628D13F3"/>
    <w:rsid w:val="62A927BB"/>
    <w:rsid w:val="62BF19C5"/>
    <w:rsid w:val="62C21944"/>
    <w:rsid w:val="62E775FD"/>
    <w:rsid w:val="62F36983"/>
    <w:rsid w:val="6324158A"/>
    <w:rsid w:val="632F4BA8"/>
    <w:rsid w:val="63443B83"/>
    <w:rsid w:val="635F7193"/>
    <w:rsid w:val="63C96D02"/>
    <w:rsid w:val="64162C40"/>
    <w:rsid w:val="644864D8"/>
    <w:rsid w:val="645A5BAC"/>
    <w:rsid w:val="649E018F"/>
    <w:rsid w:val="64C359B3"/>
    <w:rsid w:val="65031DA0"/>
    <w:rsid w:val="65424FBE"/>
    <w:rsid w:val="65926A06"/>
    <w:rsid w:val="65A46BDF"/>
    <w:rsid w:val="65A5311F"/>
    <w:rsid w:val="65EF53CC"/>
    <w:rsid w:val="65F04A1A"/>
    <w:rsid w:val="65F067C8"/>
    <w:rsid w:val="6603474E"/>
    <w:rsid w:val="661B3250"/>
    <w:rsid w:val="663F58A4"/>
    <w:rsid w:val="666236FF"/>
    <w:rsid w:val="66860EDB"/>
    <w:rsid w:val="675158E7"/>
    <w:rsid w:val="676C5089"/>
    <w:rsid w:val="67762AB3"/>
    <w:rsid w:val="67881EBD"/>
    <w:rsid w:val="67F37D9E"/>
    <w:rsid w:val="68030A35"/>
    <w:rsid w:val="680A2475"/>
    <w:rsid w:val="68775A99"/>
    <w:rsid w:val="68C848D5"/>
    <w:rsid w:val="68CE69B7"/>
    <w:rsid w:val="68DF0249"/>
    <w:rsid w:val="69576015"/>
    <w:rsid w:val="69596483"/>
    <w:rsid w:val="697E40EB"/>
    <w:rsid w:val="69BC750D"/>
    <w:rsid w:val="69C97A5C"/>
    <w:rsid w:val="69D733AD"/>
    <w:rsid w:val="6A015772"/>
    <w:rsid w:val="6A2745F0"/>
    <w:rsid w:val="6A7D4654"/>
    <w:rsid w:val="6AA622AB"/>
    <w:rsid w:val="6B392DDA"/>
    <w:rsid w:val="6BC238C1"/>
    <w:rsid w:val="6C3A20F5"/>
    <w:rsid w:val="6C454E0D"/>
    <w:rsid w:val="6D013069"/>
    <w:rsid w:val="6D242B67"/>
    <w:rsid w:val="6D7943C3"/>
    <w:rsid w:val="6DB06FF1"/>
    <w:rsid w:val="6DCE3893"/>
    <w:rsid w:val="6DED6A08"/>
    <w:rsid w:val="6E427DDD"/>
    <w:rsid w:val="6E7A0DC0"/>
    <w:rsid w:val="6F0B01CF"/>
    <w:rsid w:val="6F38459B"/>
    <w:rsid w:val="6F4F679F"/>
    <w:rsid w:val="6F742C47"/>
    <w:rsid w:val="6FA81EC2"/>
    <w:rsid w:val="6FD37EAA"/>
    <w:rsid w:val="6FF1047F"/>
    <w:rsid w:val="700B2DF3"/>
    <w:rsid w:val="70130F5B"/>
    <w:rsid w:val="7027728A"/>
    <w:rsid w:val="70580DD0"/>
    <w:rsid w:val="70BC7E36"/>
    <w:rsid w:val="70CA3484"/>
    <w:rsid w:val="70E35AC4"/>
    <w:rsid w:val="71C805F9"/>
    <w:rsid w:val="71FA0902"/>
    <w:rsid w:val="72150031"/>
    <w:rsid w:val="721D6B97"/>
    <w:rsid w:val="72CC5910"/>
    <w:rsid w:val="72F42634"/>
    <w:rsid w:val="73063821"/>
    <w:rsid w:val="732453EA"/>
    <w:rsid w:val="73286084"/>
    <w:rsid w:val="733777E5"/>
    <w:rsid w:val="73B26A6B"/>
    <w:rsid w:val="740D2F84"/>
    <w:rsid w:val="74167E32"/>
    <w:rsid w:val="74442B2B"/>
    <w:rsid w:val="744D3038"/>
    <w:rsid w:val="758E3908"/>
    <w:rsid w:val="759865F6"/>
    <w:rsid w:val="75BD3E8B"/>
    <w:rsid w:val="75D25EEA"/>
    <w:rsid w:val="761F4301"/>
    <w:rsid w:val="76A03375"/>
    <w:rsid w:val="76F37EC6"/>
    <w:rsid w:val="76F766B8"/>
    <w:rsid w:val="77191A61"/>
    <w:rsid w:val="77B96D29"/>
    <w:rsid w:val="77CD0717"/>
    <w:rsid w:val="77F5745A"/>
    <w:rsid w:val="78374187"/>
    <w:rsid w:val="786A355D"/>
    <w:rsid w:val="78B04814"/>
    <w:rsid w:val="78C806AA"/>
    <w:rsid w:val="79091C23"/>
    <w:rsid w:val="795409C4"/>
    <w:rsid w:val="79761AE5"/>
    <w:rsid w:val="79E653C9"/>
    <w:rsid w:val="7A21668B"/>
    <w:rsid w:val="7A233762"/>
    <w:rsid w:val="7A640675"/>
    <w:rsid w:val="7A84419B"/>
    <w:rsid w:val="7AAE0FA3"/>
    <w:rsid w:val="7B375C33"/>
    <w:rsid w:val="7B820969"/>
    <w:rsid w:val="7BBF7CD9"/>
    <w:rsid w:val="7BE424D4"/>
    <w:rsid w:val="7C001068"/>
    <w:rsid w:val="7C0A35A6"/>
    <w:rsid w:val="7CA03285"/>
    <w:rsid w:val="7D00036C"/>
    <w:rsid w:val="7D2A03BA"/>
    <w:rsid w:val="7D74313D"/>
    <w:rsid w:val="7D757045"/>
    <w:rsid w:val="7D8A1F16"/>
    <w:rsid w:val="7D9E1FE7"/>
    <w:rsid w:val="7DA3060D"/>
    <w:rsid w:val="7DA71A0B"/>
    <w:rsid w:val="7DC9372F"/>
    <w:rsid w:val="7DE16D4F"/>
    <w:rsid w:val="7E4F1946"/>
    <w:rsid w:val="7E801EC1"/>
    <w:rsid w:val="7E926217"/>
    <w:rsid w:val="7ECB6C04"/>
    <w:rsid w:val="7ED226E4"/>
    <w:rsid w:val="7EE55250"/>
    <w:rsid w:val="7F086DE8"/>
    <w:rsid w:val="7F14550B"/>
    <w:rsid w:val="7F743B6E"/>
    <w:rsid w:val="7F815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nhideWhenUsed="0" w:uiPriority="0" w:semiHidden="0" w:name="index 8"/>
    <w:lsdException w:uiPriority="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1044" w:firstLineChars="20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link w:val="41"/>
    <w:qFormat/>
    <w:uiPriority w:val="0"/>
    <w:pPr>
      <w:ind w:firstLine="0" w:firstLineChars="0"/>
      <w:jc w:val="center"/>
      <w:outlineLvl w:val="0"/>
    </w:pPr>
    <w:rPr>
      <w:rFonts w:eastAsia="方正小标宋_GBK" w:cs="宋体"/>
      <w:bCs/>
      <w:kern w:val="44"/>
      <w:sz w:val="36"/>
      <w:szCs w:val="32"/>
    </w:rPr>
  </w:style>
  <w:style w:type="paragraph" w:styleId="5">
    <w:name w:val="heading 2"/>
    <w:basedOn w:val="1"/>
    <w:next w:val="1"/>
    <w:link w:val="40"/>
    <w:qFormat/>
    <w:uiPriority w:val="0"/>
    <w:pPr>
      <w:spacing w:before="50" w:beforeLines="50" w:after="50" w:afterLines="50"/>
      <w:ind w:firstLine="0" w:firstLineChars="0"/>
      <w:jc w:val="center"/>
      <w:outlineLvl w:val="1"/>
    </w:pPr>
    <w:rPr>
      <w:rFonts w:hint="eastAsia" w:eastAsia="黑体"/>
      <w:bCs/>
      <w:kern w:val="0"/>
      <w:szCs w:val="36"/>
    </w:rPr>
  </w:style>
  <w:style w:type="paragraph" w:styleId="6">
    <w:name w:val="heading 3"/>
    <w:basedOn w:val="1"/>
    <w:next w:val="1"/>
    <w:link w:val="42"/>
    <w:qFormat/>
    <w:uiPriority w:val="0"/>
    <w:pPr>
      <w:numPr>
        <w:ilvl w:val="0"/>
        <w:numId w:val="1"/>
      </w:numPr>
      <w:tabs>
        <w:tab w:val="left" w:pos="2915"/>
      </w:tabs>
      <w:outlineLvl w:val="2"/>
    </w:pPr>
  </w:style>
  <w:style w:type="paragraph" w:styleId="7">
    <w:name w:val="heading 4"/>
    <w:basedOn w:val="1"/>
    <w:next w:val="1"/>
    <w:qFormat/>
    <w:uiPriority w:val="9"/>
    <w:pPr>
      <w:spacing w:line="360" w:lineRule="auto"/>
      <w:ind w:firstLine="480"/>
      <w:outlineLvl w:val="3"/>
    </w:pPr>
    <w:rPr>
      <w:rFonts w:eastAsia="宋体"/>
      <w:b/>
      <w:sz w:val="24"/>
      <w:szCs w:val="22"/>
    </w:rPr>
  </w:style>
  <w:style w:type="paragraph" w:styleId="8">
    <w:name w:val="heading 5"/>
    <w:basedOn w:val="1"/>
    <w:next w:val="1"/>
    <w:qFormat/>
    <w:uiPriority w:val="0"/>
    <w:pPr>
      <w:keepNext/>
      <w:keepLines/>
      <w:spacing w:line="372" w:lineRule="auto"/>
      <w:ind w:right="231" w:rightChars="110"/>
      <w:outlineLvl w:val="4"/>
    </w:pPr>
    <w:rPr>
      <w:b/>
      <w:sz w:val="24"/>
    </w:rPr>
  </w:style>
  <w:style w:type="paragraph" w:styleId="9">
    <w:name w:val="heading 6"/>
    <w:basedOn w:val="1"/>
    <w:next w:val="1"/>
    <w:qFormat/>
    <w:uiPriority w:val="0"/>
    <w:pPr>
      <w:keepNext/>
      <w:keepLines/>
      <w:spacing w:before="240" w:after="64" w:line="317" w:lineRule="auto"/>
      <w:outlineLvl w:val="5"/>
    </w:pPr>
    <w:rPr>
      <w:rFonts w:ascii="Arial" w:hAnsi="Arial" w:eastAsia="黑体"/>
      <w:b/>
      <w:sz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0"/>
    <w:pPr>
      <w:tabs>
        <w:tab w:val="left" w:pos="540"/>
      </w:tabs>
      <w:spacing w:line="360" w:lineRule="auto"/>
      <w:ind w:firstLine="420"/>
      <w:jc w:val="left"/>
    </w:pPr>
    <w:rPr>
      <w:rFonts w:eastAsia="宋体"/>
      <w:color w:val="000000"/>
      <w:sz w:val="24"/>
    </w:rPr>
  </w:style>
  <w:style w:type="paragraph" w:customStyle="1" w:styleId="3">
    <w:name w:val="BodyTextIndent"/>
    <w:basedOn w:val="1"/>
    <w:qFormat/>
    <w:uiPriority w:val="0"/>
    <w:pPr>
      <w:spacing w:after="120"/>
      <w:ind w:left="420" w:leftChars="200"/>
      <w:textAlignment w:val="baseline"/>
    </w:pPr>
  </w:style>
  <w:style w:type="paragraph" w:styleId="10">
    <w:name w:val="Normal Indent"/>
    <w:basedOn w:val="1"/>
    <w:next w:val="1"/>
    <w:qFormat/>
    <w:uiPriority w:val="0"/>
    <w:pPr>
      <w:widowControl/>
      <w:ind w:firstLine="420"/>
      <w:jc w:val="left"/>
    </w:pPr>
    <w:rPr>
      <w:kern w:val="0"/>
      <w:lang w:eastAsia="en-US" w:bidi="en-US"/>
    </w:rPr>
  </w:style>
  <w:style w:type="paragraph" w:styleId="11">
    <w:name w:val="caption"/>
    <w:basedOn w:val="1"/>
    <w:next w:val="1"/>
    <w:qFormat/>
    <w:uiPriority w:val="0"/>
    <w:rPr>
      <w:rFonts w:ascii="Arial" w:hAnsi="Arial" w:eastAsia="黑体"/>
      <w:sz w:val="20"/>
    </w:rPr>
  </w:style>
  <w:style w:type="paragraph" w:styleId="12">
    <w:name w:val="annotation text"/>
    <w:basedOn w:val="1"/>
    <w:semiHidden/>
    <w:unhideWhenUsed/>
    <w:qFormat/>
    <w:uiPriority w:val="0"/>
    <w:pPr>
      <w:jc w:val="left"/>
    </w:pPr>
  </w:style>
  <w:style w:type="paragraph" w:styleId="13">
    <w:name w:val="Body Text Indent"/>
    <w:basedOn w:val="1"/>
    <w:qFormat/>
    <w:uiPriority w:val="0"/>
    <w:pPr>
      <w:ind w:firstLine="480" w:firstLineChars="150"/>
    </w:pPr>
    <w:rPr>
      <w:rFonts w:ascii="仿宋_GB2312"/>
      <w:bCs/>
      <w:szCs w:val="32"/>
    </w:rPr>
  </w:style>
  <w:style w:type="paragraph" w:styleId="14">
    <w:name w:val="Body Text Indent 2"/>
    <w:basedOn w:val="1"/>
    <w:unhideWhenUsed/>
    <w:qFormat/>
    <w:uiPriority w:val="0"/>
    <w:pPr>
      <w:spacing w:after="120" w:line="480" w:lineRule="auto"/>
      <w:ind w:left="420" w:leftChars="200"/>
    </w:p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7">
    <w:name w:val="toc 1"/>
    <w:basedOn w:val="1"/>
    <w:next w:val="1"/>
    <w:qFormat/>
    <w:uiPriority w:val="0"/>
  </w:style>
  <w:style w:type="paragraph" w:styleId="18">
    <w:name w:val="toc 2"/>
    <w:basedOn w:val="1"/>
    <w:next w:val="1"/>
    <w:qFormat/>
    <w:uiPriority w:val="0"/>
    <w:pPr>
      <w:ind w:left="420" w:leftChars="200"/>
    </w:pPr>
  </w:style>
  <w:style w:type="paragraph" w:styleId="19">
    <w:name w:val="Normal (Web)"/>
    <w:basedOn w:val="1"/>
    <w:qFormat/>
    <w:uiPriority w:val="0"/>
    <w:pPr>
      <w:spacing w:before="100" w:beforeAutospacing="1" w:after="100" w:afterAutospacing="1"/>
      <w:jc w:val="left"/>
    </w:pPr>
    <w:rPr>
      <w:kern w:val="0"/>
      <w:sz w:val="24"/>
    </w:rPr>
  </w:style>
  <w:style w:type="paragraph" w:styleId="20">
    <w:name w:val="Title"/>
    <w:basedOn w:val="1"/>
    <w:next w:val="1"/>
    <w:link w:val="43"/>
    <w:qFormat/>
    <w:uiPriority w:val="0"/>
    <w:pPr>
      <w:shd w:val="clear" w:color="auto" w:fill="FFFFFF"/>
      <w:spacing w:line="560" w:lineRule="exact"/>
      <w:ind w:right="210" w:firstLine="640"/>
      <w:jc w:val="center"/>
    </w:pPr>
    <w:rPr>
      <w:rFonts w:ascii="宋体" w:hAnsi="宋体" w:eastAsia="Calibri"/>
      <w:caps/>
      <w:sz w:val="42"/>
      <w:szCs w:val="42"/>
    </w:rPr>
  </w:style>
  <w:style w:type="paragraph" w:styleId="21">
    <w:name w:val="Body Text First Indent 2"/>
    <w:basedOn w:val="13"/>
    <w:unhideWhenUsed/>
    <w:qFormat/>
    <w:uiPriority w:val="99"/>
    <w:pPr>
      <w:spacing w:line="240" w:lineRule="auto"/>
      <w:ind w:firstLine="0" w:firstLineChars="0"/>
      <w:jc w:val="center"/>
    </w:pPr>
    <w:rPr>
      <w:rFonts w:hAnsi="仿宋_GB2312" w:eastAsia="宋体"/>
      <w:sz w:val="21"/>
      <w:szCs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paragraph" w:customStyle="1" w:styleId="26">
    <w:name w:val="一级章"/>
    <w:basedOn w:val="1"/>
    <w:qFormat/>
    <w:uiPriority w:val="0"/>
    <w:pPr>
      <w:tabs>
        <w:tab w:val="right" w:leader="dot" w:pos="8296"/>
      </w:tabs>
      <w:spacing w:before="50" w:beforeLines="50" w:after="50" w:afterLines="50"/>
      <w:ind w:firstLine="0" w:firstLineChars="0"/>
      <w:jc w:val="center"/>
      <w:outlineLvl w:val="0"/>
    </w:pPr>
    <w:rPr>
      <w:rFonts w:eastAsia="方正小标宋简体"/>
      <w:sz w:val="36"/>
      <w:szCs w:val="36"/>
    </w:rPr>
  </w:style>
  <w:style w:type="paragraph" w:customStyle="1" w:styleId="27">
    <w:name w:val="二级节"/>
    <w:basedOn w:val="1"/>
    <w:qFormat/>
    <w:uiPriority w:val="0"/>
    <w:pPr>
      <w:tabs>
        <w:tab w:val="right" w:leader="dot" w:pos="8296"/>
      </w:tabs>
      <w:spacing w:before="50" w:beforeLines="50" w:after="50" w:afterLines="50"/>
      <w:ind w:firstLine="0" w:firstLineChars="0"/>
      <w:jc w:val="center"/>
      <w:outlineLvl w:val="1"/>
    </w:pPr>
    <w:rPr>
      <w:rFonts w:eastAsia="黑体"/>
      <w:szCs w:val="32"/>
    </w:rPr>
  </w:style>
  <w:style w:type="paragraph" w:customStyle="1" w:styleId="28">
    <w:name w:val="三级条"/>
    <w:basedOn w:val="1"/>
    <w:qFormat/>
    <w:uiPriority w:val="0"/>
    <w:pPr>
      <w:snapToGrid w:val="0"/>
      <w:spacing w:before="50" w:beforeLines="50" w:after="50" w:afterLines="50"/>
      <w:ind w:firstLine="0" w:firstLineChars="0"/>
      <w:outlineLvl w:val="2"/>
    </w:pPr>
    <w:rPr>
      <w:rFonts w:eastAsia="楷体_GB2312"/>
      <w:szCs w:val="32"/>
    </w:rPr>
  </w:style>
  <w:style w:type="paragraph" w:customStyle="1" w:styleId="29">
    <w:name w:val="正文四级"/>
    <w:basedOn w:val="1"/>
    <w:qFormat/>
    <w:uiPriority w:val="0"/>
    <w:pPr>
      <w:ind w:firstLine="640"/>
    </w:pPr>
    <w:rPr>
      <w:szCs w:val="32"/>
    </w:rPr>
  </w:style>
  <w:style w:type="paragraph" w:customStyle="1" w:styleId="30">
    <w:name w:val="专栏标题"/>
    <w:basedOn w:val="31"/>
    <w:qFormat/>
    <w:uiPriority w:val="0"/>
    <w:pPr>
      <w:spacing w:line="240" w:lineRule="auto"/>
      <w:jc w:val="center"/>
    </w:pPr>
    <w:rPr>
      <w:rFonts w:ascii="Times New Roman" w:hAnsi="Times New Roman" w:eastAsia="黑体"/>
      <w:sz w:val="30"/>
    </w:rPr>
  </w:style>
  <w:style w:type="paragraph" w:customStyle="1" w:styleId="31">
    <w:name w:val="nj正文"/>
    <w:basedOn w:val="1"/>
    <w:qFormat/>
    <w:uiPriority w:val="0"/>
    <w:pPr>
      <w:widowControl/>
      <w:ind w:firstLine="720"/>
    </w:pPr>
    <w:rPr>
      <w:rFonts w:ascii="宋体" w:hAnsi="宋体"/>
      <w:color w:val="000000"/>
    </w:rPr>
  </w:style>
  <w:style w:type="paragraph" w:customStyle="1" w:styleId="32">
    <w:name w:val="专栏正文"/>
    <w:basedOn w:val="1"/>
    <w:qFormat/>
    <w:uiPriority w:val="0"/>
    <w:pPr>
      <w:spacing w:line="240" w:lineRule="auto"/>
    </w:pPr>
    <w:rPr>
      <w:sz w:val="24"/>
    </w:rPr>
  </w:style>
  <w:style w:type="paragraph" w:customStyle="1" w:styleId="33">
    <w:name w:val="目录"/>
    <w:basedOn w:val="1"/>
    <w:qFormat/>
    <w:uiPriority w:val="0"/>
    <w:pPr>
      <w:spacing w:before="50" w:beforeLines="50" w:after="50" w:afterLines="50"/>
      <w:ind w:firstLine="0" w:firstLineChars="0"/>
      <w:jc w:val="center"/>
    </w:pPr>
    <w:rPr>
      <w:rFonts w:eastAsia="黑体"/>
      <w:szCs w:val="32"/>
    </w:rPr>
  </w:style>
  <w:style w:type="paragraph" w:customStyle="1" w:styleId="34">
    <w:name w:val="目录一级"/>
    <w:basedOn w:val="1"/>
    <w:qFormat/>
    <w:uiPriority w:val="0"/>
    <w:pPr>
      <w:ind w:firstLine="0" w:firstLineChars="0"/>
    </w:pPr>
    <w:rPr>
      <w:rFonts w:eastAsia="黑体"/>
      <w:sz w:val="28"/>
      <w:szCs w:val="28"/>
    </w:rPr>
  </w:style>
  <w:style w:type="paragraph" w:customStyle="1" w:styleId="35">
    <w:name w:val="目录二级"/>
    <w:basedOn w:val="1"/>
    <w:qFormat/>
    <w:uiPriority w:val="0"/>
    <w:rPr>
      <w:sz w:val="28"/>
      <w:szCs w:val="28"/>
    </w:rPr>
  </w:style>
  <w:style w:type="paragraph" w:customStyle="1" w:styleId="36">
    <w:name w:val="附表标题"/>
    <w:basedOn w:val="1"/>
    <w:link w:val="38"/>
    <w:qFormat/>
    <w:uiPriority w:val="0"/>
    <w:pPr>
      <w:spacing w:after="217" w:afterLines="50"/>
      <w:ind w:firstLine="0" w:firstLineChars="0"/>
      <w:jc w:val="center"/>
    </w:pPr>
    <w:rPr>
      <w:rFonts w:eastAsia="黑体"/>
      <w:szCs w:val="28"/>
    </w:rPr>
  </w:style>
  <w:style w:type="paragraph" w:customStyle="1" w:styleId="37">
    <w:name w:val="附表正文"/>
    <w:basedOn w:val="1"/>
    <w:qFormat/>
    <w:uiPriority w:val="0"/>
    <w:pPr>
      <w:spacing w:line="240" w:lineRule="auto"/>
      <w:ind w:firstLine="0" w:firstLineChars="0"/>
      <w:jc w:val="center"/>
    </w:pPr>
    <w:rPr>
      <w:sz w:val="21"/>
      <w:szCs w:val="21"/>
    </w:rPr>
  </w:style>
  <w:style w:type="character" w:customStyle="1" w:styleId="38">
    <w:name w:val="附表标题 Char"/>
    <w:link w:val="36"/>
    <w:qFormat/>
    <w:uiPriority w:val="0"/>
    <w:rPr>
      <w:rFonts w:ascii="Times New Roman" w:hAnsi="Times New Roman" w:eastAsia="黑体"/>
      <w:kern w:val="2"/>
      <w:sz w:val="32"/>
      <w:szCs w:val="28"/>
      <w:lang w:val="en-US" w:eastAsia="zh-CN" w:bidi="ar-SA"/>
    </w:rPr>
  </w:style>
  <w:style w:type="paragraph" w:customStyle="1" w:styleId="39">
    <w:name w:val="文本正文"/>
    <w:basedOn w:val="1"/>
    <w:qFormat/>
    <w:uiPriority w:val="0"/>
    <w:pPr>
      <w:ind w:firstLine="560"/>
    </w:pPr>
    <w:rPr>
      <w:szCs w:val="32"/>
    </w:rPr>
  </w:style>
  <w:style w:type="character" w:customStyle="1" w:styleId="40">
    <w:name w:val="标题 2 字符"/>
    <w:link w:val="5"/>
    <w:qFormat/>
    <w:uiPriority w:val="0"/>
    <w:rPr>
      <w:rFonts w:hint="eastAsia" w:ascii="Times New Roman" w:hAnsi="Times New Roman" w:eastAsia="黑体" w:cs="宋体"/>
      <w:bCs/>
      <w:sz w:val="32"/>
      <w:szCs w:val="36"/>
    </w:rPr>
  </w:style>
  <w:style w:type="character" w:customStyle="1" w:styleId="41">
    <w:name w:val="标题 1 字符"/>
    <w:link w:val="4"/>
    <w:qFormat/>
    <w:uiPriority w:val="0"/>
    <w:rPr>
      <w:rFonts w:eastAsia="方正小标宋_GBK" w:cs="宋体"/>
      <w:bCs/>
      <w:kern w:val="44"/>
      <w:sz w:val="36"/>
      <w:szCs w:val="32"/>
    </w:rPr>
  </w:style>
  <w:style w:type="character" w:customStyle="1" w:styleId="42">
    <w:name w:val="标题 3 字符"/>
    <w:link w:val="6"/>
    <w:qFormat/>
    <w:uiPriority w:val="0"/>
    <w:rPr>
      <w:rFonts w:ascii="Times New Roman" w:hAnsi="Times New Roman" w:eastAsia="楷体_GB2312" w:cs="Times New Roman"/>
      <w:color w:val="auto"/>
      <w:kern w:val="2"/>
      <w:sz w:val="32"/>
      <w:szCs w:val="32"/>
      <w:lang w:val="en-US" w:eastAsia="zh-CN" w:bidi="ar-SA"/>
    </w:rPr>
  </w:style>
  <w:style w:type="character" w:customStyle="1" w:styleId="43">
    <w:name w:val="标题 字符"/>
    <w:link w:val="20"/>
    <w:qFormat/>
    <w:uiPriority w:val="0"/>
    <w:rPr>
      <w:rFonts w:ascii="等线 Light" w:hAnsi="等线 Light" w:eastAsia="等线 Light" w:cs="Times New Roman"/>
      <w:b/>
      <w:bCs/>
      <w:kern w:val="2"/>
      <w:sz w:val="32"/>
      <w:szCs w:val="32"/>
    </w:rPr>
  </w:style>
  <w:style w:type="paragraph" w:customStyle="1" w:styleId="44">
    <w:name w:val="专栏文字格式"/>
    <w:basedOn w:val="31"/>
    <w:qFormat/>
    <w:uiPriority w:val="0"/>
    <w:pPr>
      <w:spacing w:line="480" w:lineRule="exact"/>
      <w:ind w:firstLine="200"/>
    </w:pPr>
    <w:rPr>
      <w:rFonts w:ascii="Times New Roman" w:hAnsi="Times New Roman" w:eastAsia="宋体"/>
      <w:sz w:val="28"/>
    </w:rPr>
  </w:style>
  <w:style w:type="paragraph" w:customStyle="1" w:styleId="45">
    <w:name w:val="4正文"/>
    <w:basedOn w:val="1"/>
    <w:qFormat/>
    <w:uiPriority w:val="0"/>
    <w:pPr>
      <w:ind w:firstLine="482"/>
    </w:pPr>
    <w:rPr>
      <w:rFonts w:hint="eastAsia" w:cs="仿宋_GB231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54</Pages>
  <Words>25975</Words>
  <Characters>26923</Characters>
  <Lines>288</Lines>
  <Paragraphs>81</Paragraphs>
  <TotalTime>0</TotalTime>
  <ScaleCrop>false</ScaleCrop>
  <LinksUpToDate>false</LinksUpToDate>
  <CharactersWithSpaces>27159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2023-07-11T09:14:00Z</dcterms:created>
  <dc:creator>Administrator</dc:creator>
  <cp:lastModifiedBy>国富</cp:lastModifiedBy>
  <cp:lastPrinted>2025-04-24T09:20:00Z</cp:lastPrinted>
  <dcterms:modified xsi:type="dcterms:W3CDTF">2026-09-02T08:25:06Z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A6FF3A84ABB0475EBE93B4DA10A6D169_13</vt:lpwstr>
  </property>
  <property fmtid="{D5CDD505-2E9C-101B-9397-08002B2CF9AE}" pid="4" name="KSOTemplateDocerSaveRecord">
    <vt:lpwstr>eyJoZGlkIjoiZTFiNGU3MzM2ZDEwNTRlZTUwYzY4MGQ1NjVkMTJhOWUiLCJ1c2VySWQiOiI2MzU1Mjg2NzAifQ==</vt:lpwstr>
  </property>
</Properties>
</file>