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26718F9">
      <w:pPr>
        <w:ind w:firstLine="560"/>
        <w:rPr>
          <w:rFonts w:ascii="Times New Roman" w:hAnsi="Times New Roman" w:eastAsia="仿宋"/>
          <w:sz w:val="28"/>
          <w:szCs w:val="28"/>
        </w:rPr>
      </w:pPr>
    </w:p>
    <w:p w14:paraId="6835CEBD">
      <w:pPr>
        <w:ind w:firstLine="560"/>
        <w:rPr>
          <w:rFonts w:ascii="Times New Roman" w:hAnsi="Times New Roman" w:eastAsia="仿宋"/>
          <w:sz w:val="28"/>
          <w:szCs w:val="28"/>
        </w:rPr>
      </w:pPr>
    </w:p>
    <w:p w14:paraId="73491108">
      <w:pPr>
        <w:ind w:firstLine="560"/>
        <w:rPr>
          <w:rFonts w:ascii="Times New Roman" w:hAnsi="Times New Roman" w:eastAsia="仿宋"/>
          <w:sz w:val="28"/>
          <w:szCs w:val="28"/>
        </w:rPr>
      </w:pPr>
    </w:p>
    <w:p w14:paraId="551F6115">
      <w:pPr>
        <w:ind w:firstLine="560"/>
        <w:rPr>
          <w:rFonts w:ascii="Times New Roman" w:hAnsi="Times New Roman" w:eastAsia="仿宋"/>
          <w:sz w:val="28"/>
          <w:szCs w:val="28"/>
        </w:rPr>
      </w:pPr>
    </w:p>
    <w:p w14:paraId="2FDC422A">
      <w:pPr>
        <w:ind w:firstLine="880"/>
        <w:jc w:val="center"/>
        <w:rPr>
          <w:rFonts w:ascii="方正小标宋简体" w:hAnsi="Times New Roman" w:eastAsia="方正小标宋简体"/>
          <w:sz w:val="44"/>
          <w:szCs w:val="44"/>
        </w:rPr>
      </w:pPr>
      <w:r>
        <w:rPr>
          <w:rFonts w:hint="eastAsia" w:ascii="方正小标宋简体" w:eastAsia="方正小标宋简体"/>
          <w:sz w:val="44"/>
          <w:szCs w:val="44"/>
        </w:rPr>
        <w:t>桦川县四马架镇国土空间总体规划</w:t>
      </w:r>
    </w:p>
    <w:p w14:paraId="2FE30F70">
      <w:pPr>
        <w:ind w:firstLine="880"/>
        <w:jc w:val="center"/>
        <w:rPr>
          <w:rFonts w:ascii="Times New Roman" w:hAnsi="Times New Roman" w:eastAsia="方正小标宋简体"/>
          <w:sz w:val="44"/>
          <w:szCs w:val="44"/>
        </w:rPr>
      </w:pPr>
      <w:r>
        <w:rPr>
          <w:rFonts w:ascii="Times New Roman" w:hAnsi="Times New Roman"/>
          <w:sz w:val="44"/>
          <w:szCs w:val="44"/>
        </w:rPr>
        <w:t>（2021—2035</w:t>
      </w:r>
      <w:r>
        <w:rPr>
          <w:rFonts w:ascii="方正小标宋简体" w:eastAsia="方正小标宋简体"/>
          <w:sz w:val="44"/>
          <w:szCs w:val="44"/>
        </w:rPr>
        <w:t>年</w:t>
      </w:r>
      <w:r>
        <w:rPr>
          <w:rFonts w:ascii="Times New Roman" w:hAnsi="Times New Roman"/>
          <w:sz w:val="44"/>
          <w:szCs w:val="44"/>
        </w:rPr>
        <w:t>）</w:t>
      </w:r>
    </w:p>
    <w:p w14:paraId="34D40EC9">
      <w:pPr>
        <w:ind w:firstLine="560"/>
        <w:jc w:val="center"/>
        <w:rPr>
          <w:rFonts w:ascii="Times New Roman" w:hAnsi="Times New Roman" w:eastAsia="仿宋"/>
          <w:sz w:val="28"/>
          <w:szCs w:val="28"/>
        </w:rPr>
      </w:pPr>
    </w:p>
    <w:p w14:paraId="4647F95B">
      <w:pPr>
        <w:ind w:firstLine="560"/>
        <w:jc w:val="center"/>
        <w:rPr>
          <w:rFonts w:ascii="Times New Roman" w:hAnsi="Times New Roman" w:eastAsia="仿宋"/>
          <w:sz w:val="28"/>
          <w:szCs w:val="28"/>
        </w:rPr>
      </w:pPr>
    </w:p>
    <w:p w14:paraId="5235E4B6">
      <w:pPr>
        <w:ind w:firstLine="560"/>
        <w:jc w:val="center"/>
        <w:rPr>
          <w:rFonts w:ascii="Times New Roman" w:hAnsi="Times New Roman" w:eastAsia="仿宋"/>
          <w:sz w:val="28"/>
          <w:szCs w:val="28"/>
        </w:rPr>
      </w:pPr>
    </w:p>
    <w:p w14:paraId="7893ECFC">
      <w:pPr>
        <w:ind w:firstLine="560"/>
        <w:jc w:val="center"/>
        <w:rPr>
          <w:rFonts w:ascii="Times New Roman" w:hAnsi="Times New Roman" w:eastAsia="仿宋"/>
          <w:sz w:val="28"/>
          <w:szCs w:val="28"/>
        </w:rPr>
      </w:pPr>
    </w:p>
    <w:p w14:paraId="5DF77BB4">
      <w:pPr>
        <w:ind w:firstLine="560"/>
        <w:jc w:val="center"/>
        <w:rPr>
          <w:rFonts w:ascii="Times New Roman" w:hAnsi="Times New Roman" w:eastAsia="仿宋"/>
          <w:sz w:val="28"/>
          <w:szCs w:val="28"/>
        </w:rPr>
      </w:pPr>
    </w:p>
    <w:p w14:paraId="7A51817A">
      <w:pPr>
        <w:ind w:firstLine="560"/>
        <w:jc w:val="center"/>
        <w:rPr>
          <w:rFonts w:ascii="Times New Roman" w:hAnsi="Times New Roman" w:eastAsia="仿宋"/>
          <w:sz w:val="28"/>
          <w:szCs w:val="28"/>
        </w:rPr>
      </w:pPr>
    </w:p>
    <w:p w14:paraId="23E12467">
      <w:pPr>
        <w:ind w:firstLine="560"/>
        <w:jc w:val="center"/>
        <w:rPr>
          <w:rFonts w:ascii="Times New Roman" w:hAnsi="Times New Roman" w:eastAsia="仿宋"/>
          <w:sz w:val="28"/>
          <w:szCs w:val="28"/>
        </w:rPr>
      </w:pPr>
    </w:p>
    <w:p w14:paraId="0F3E394B">
      <w:pPr>
        <w:pStyle w:val="25"/>
        <w:ind w:firstLine="562"/>
        <w:outlineLvl w:val="9"/>
        <w:rPr>
          <w:rFonts w:ascii="Times New Roman" w:hAnsi="Times New Roman" w:eastAsia="仿宋"/>
          <w:sz w:val="28"/>
          <w:szCs w:val="28"/>
        </w:rPr>
      </w:pPr>
    </w:p>
    <w:p w14:paraId="6128BCB9">
      <w:pPr>
        <w:ind w:firstLine="560"/>
        <w:jc w:val="center"/>
        <w:rPr>
          <w:rFonts w:ascii="Times New Roman" w:hAnsi="Times New Roman" w:eastAsia="仿宋"/>
          <w:sz w:val="28"/>
          <w:szCs w:val="28"/>
        </w:rPr>
      </w:pPr>
    </w:p>
    <w:p w14:paraId="72DCF42C">
      <w:pPr>
        <w:ind w:firstLine="560"/>
        <w:jc w:val="center"/>
        <w:rPr>
          <w:rFonts w:ascii="Times New Roman" w:hAnsi="Times New Roman" w:eastAsia="仿宋"/>
          <w:sz w:val="28"/>
          <w:szCs w:val="28"/>
        </w:rPr>
      </w:pPr>
    </w:p>
    <w:p w14:paraId="21903C90">
      <w:pPr>
        <w:ind w:firstLine="560"/>
        <w:jc w:val="center"/>
        <w:rPr>
          <w:rFonts w:ascii="Times New Roman" w:hAnsi="Times New Roman" w:eastAsia="仿宋"/>
          <w:sz w:val="28"/>
          <w:szCs w:val="28"/>
        </w:rPr>
      </w:pPr>
    </w:p>
    <w:p w14:paraId="35702E77">
      <w:pPr>
        <w:ind w:firstLine="640" w:firstLineChars="0"/>
        <w:jc w:val="center"/>
        <w:rPr>
          <w:rFonts w:ascii="Times New Roman" w:hAnsi="Times New Roman" w:eastAsia="方正小标宋简体"/>
          <w:szCs w:val="32"/>
        </w:rPr>
      </w:pPr>
      <w:r>
        <w:rPr>
          <w:rFonts w:hint="eastAsia" w:ascii="Times New Roman" w:hAnsi="Times New Roman" w:eastAsia="方正小标宋简体"/>
          <w:szCs w:val="32"/>
        </w:rPr>
        <w:t>四马架镇人民政府</w:t>
      </w:r>
    </w:p>
    <w:p w14:paraId="2BB35004">
      <w:pPr>
        <w:ind w:firstLine="640" w:firstLineChars="0"/>
        <w:jc w:val="center"/>
        <w:rPr>
          <w:rFonts w:ascii="Times New Roman" w:hAnsi="Times New Roman" w:eastAsia="方正小标宋简体"/>
          <w:szCs w:val="32"/>
        </w:rPr>
      </w:pPr>
      <w:r>
        <w:rPr>
          <w:rFonts w:hint="eastAsia" w:ascii="Times New Roman" w:hAnsi="Times New Roman" w:eastAsia="方正小标宋简体"/>
          <w:szCs w:val="32"/>
        </w:rPr>
        <w:t>二</w:t>
      </w:r>
      <w:r>
        <w:rPr>
          <w:rFonts w:hint="eastAsia" w:ascii="宋体" w:hAnsi="宋体" w:eastAsia="宋体" w:cs="宋体"/>
          <w:szCs w:val="32"/>
        </w:rPr>
        <w:t>〇</w:t>
      </w:r>
      <w:r>
        <w:rPr>
          <w:rFonts w:hint="eastAsia" w:ascii="Times New Roman" w:hAnsi="Times New Roman" w:eastAsia="方正小标宋简体"/>
          <w:szCs w:val="32"/>
        </w:rPr>
        <w:t>二五年五月</w:t>
      </w:r>
    </w:p>
    <w:p w14:paraId="1911798E">
      <w:pPr>
        <w:ind w:firstLine="560"/>
        <w:rPr>
          <w:rFonts w:ascii="Times New Roman" w:hAnsi="Times New Roman" w:eastAsia="仿宋"/>
          <w:kern w:val="0"/>
          <w:sz w:val="28"/>
          <w:szCs w:val="28"/>
        </w:rPr>
      </w:pPr>
      <w:r>
        <w:rPr>
          <w:rFonts w:ascii="Times New Roman" w:hAnsi="Times New Roman" w:eastAsia="仿宋"/>
          <w:kern w:val="0"/>
          <w:sz w:val="28"/>
          <w:szCs w:val="28"/>
        </w:rPr>
        <w:t xml:space="preserve"> </w:t>
      </w:r>
      <w:r>
        <w:rPr>
          <w:rFonts w:ascii="Times New Roman" w:hAnsi="Times New Roman" w:eastAsia="仿宋"/>
          <w:kern w:val="0"/>
          <w:sz w:val="28"/>
          <w:szCs w:val="28"/>
        </w:rPr>
        <w:br w:type="page"/>
      </w:r>
    </w:p>
    <w:p w14:paraId="4E70F6BB">
      <w:pPr>
        <w:pStyle w:val="4"/>
        <w:spacing w:before="217" w:after="217"/>
        <w:ind w:firstLine="720"/>
        <w:sectPr>
          <w:headerReference r:id="rId7" w:type="first"/>
          <w:footerReference r:id="rId10" w:type="first"/>
          <w:headerReference r:id="rId5" w:type="default"/>
          <w:footerReference r:id="rId8" w:type="default"/>
          <w:headerReference r:id="rId6" w:type="even"/>
          <w:footerReference r:id="rId9" w:type="even"/>
          <w:pgSz w:w="11906" w:h="16838"/>
          <w:pgMar w:top="1440" w:right="1797" w:bottom="1440" w:left="1797" w:header="851" w:footer="850" w:gutter="0"/>
          <w:pgNumType w:fmt="upperRoman" w:start="1"/>
          <w:cols w:space="720" w:num="1"/>
          <w:docGrid w:type="linesAndChars" w:linePitch="435" w:charSpace="0"/>
        </w:sectPr>
      </w:pPr>
      <w:bookmarkStart w:id="0" w:name="_Toc183863117"/>
      <w:bookmarkStart w:id="1" w:name="_Toc183863475"/>
      <w:bookmarkStart w:id="2" w:name="_Toc8986"/>
      <w:bookmarkStart w:id="3" w:name="_Toc182571163"/>
      <w:bookmarkStart w:id="4" w:name="_Toc10135"/>
      <w:bookmarkStart w:id="5" w:name="_Toc183862501"/>
      <w:bookmarkStart w:id="6" w:name="_Toc183863381"/>
      <w:bookmarkStart w:id="7" w:name="_Toc193808466"/>
    </w:p>
    <w:p w14:paraId="5EB63BF9">
      <w:pPr>
        <w:pStyle w:val="4"/>
        <w:spacing w:before="217" w:after="217"/>
        <w:ind w:firstLine="720"/>
      </w:pPr>
      <w:bookmarkStart w:id="8" w:name="_Toc196738957"/>
      <w:bookmarkStart w:id="9" w:name="_Toc28859"/>
      <w:r>
        <w:t>前 言</w:t>
      </w:r>
      <w:bookmarkEnd w:id="0"/>
      <w:bookmarkEnd w:id="1"/>
      <w:bookmarkEnd w:id="2"/>
      <w:bookmarkEnd w:id="3"/>
      <w:bookmarkEnd w:id="4"/>
      <w:bookmarkEnd w:id="5"/>
      <w:bookmarkEnd w:id="6"/>
      <w:bookmarkEnd w:id="7"/>
      <w:bookmarkEnd w:id="8"/>
      <w:bookmarkEnd w:id="9"/>
    </w:p>
    <w:p w14:paraId="1027A9B5">
      <w:pPr>
        <w:ind w:firstLine="640"/>
        <w:rPr>
          <w:rFonts w:ascii="Times New Roman" w:hAnsi="Times New Roman"/>
          <w:szCs w:val="32"/>
        </w:rPr>
      </w:pPr>
      <w:r>
        <w:rPr>
          <w:rFonts w:hint="eastAsia" w:ascii="Times New Roman" w:hAnsi="Times New Roman"/>
          <w:szCs w:val="32"/>
        </w:rPr>
        <w:t>为贯彻《中共中央 国务院关于建立国土空间规划体系并监督实施的若干意见》（中发〔2019〕18号），落实《自然资源部关于全面开展国土空间规划工作的通知》（自然资发〔2019〕87号）和《黑龙江省自然资源厅关于全面开展全省国土空间规划工作的通知》（黑 自然资函〔2019〕291号），探索建立统一的空间规划体系，统一管控和高效利用空间资源，兼顾开发与保护，整合优势资源，联动区域，节约集约空间资源，加强国土空间管控，提升空间治理能力，促进桦川县及四马架镇经济社会全面、协调、可持续发展，特编制《桦川县四马架镇国土空间总体规划（2021—2035年）》（以下简称《规划》）。</w:t>
      </w:r>
    </w:p>
    <w:p w14:paraId="5CA64DF5">
      <w:pPr>
        <w:ind w:firstLine="640"/>
        <w:rPr>
          <w:rFonts w:ascii="Times New Roman" w:hAnsi="Times New Roman"/>
          <w:szCs w:val="32"/>
        </w:rPr>
      </w:pPr>
      <w:r>
        <w:rPr>
          <w:rFonts w:hint="eastAsia" w:ascii="Times New Roman" w:hAnsi="Times New Roman"/>
          <w:szCs w:val="32"/>
        </w:rPr>
        <w:t>《规划》是对桦川县国土空间总体规划的细化落实，是对镇域国土空间保护开发作出的具体安排，是镇进行空间治理的工具，是编制城镇开发边界内的详细规划和城镇开发边界外的村庄规划、实施国土空间用途管制的基本依据</w:t>
      </w:r>
      <w:r>
        <w:rPr>
          <w:rFonts w:ascii="Times New Roman" w:hAnsi="Times New Roman"/>
          <w:szCs w:val="32"/>
        </w:rPr>
        <w:t>。</w:t>
      </w:r>
    </w:p>
    <w:p w14:paraId="1E3E9144">
      <w:pPr>
        <w:ind w:firstLine="560"/>
        <w:rPr>
          <w:rFonts w:ascii="Times New Roman" w:hAnsi="Times New Roman" w:eastAsia="仿宋"/>
          <w:sz w:val="28"/>
          <w:szCs w:val="28"/>
        </w:rPr>
      </w:pPr>
    </w:p>
    <w:p w14:paraId="485554C1">
      <w:pPr>
        <w:ind w:firstLine="560"/>
        <w:rPr>
          <w:rFonts w:ascii="Times New Roman" w:hAnsi="Times New Roman" w:eastAsia="仿宋"/>
          <w:sz w:val="28"/>
          <w:szCs w:val="28"/>
        </w:rPr>
        <w:sectPr>
          <w:footerReference r:id="rId11" w:type="default"/>
          <w:pgSz w:w="11906" w:h="16838"/>
          <w:pgMar w:top="1440" w:right="1797" w:bottom="1440" w:left="1797" w:header="851" w:footer="850" w:gutter="0"/>
          <w:pgNumType w:fmt="upperRoman" w:start="1"/>
          <w:cols w:space="720" w:num="1"/>
          <w:docGrid w:type="linesAndChars" w:linePitch="435" w:charSpace="0"/>
        </w:sectPr>
      </w:pPr>
    </w:p>
    <w:p w14:paraId="54C79B1C">
      <w:pPr>
        <w:pStyle w:val="20"/>
        <w:ind w:firstLine="560"/>
        <w:jc w:val="center"/>
        <w:rPr>
          <w:rFonts w:ascii="Calibri" w:hAnsi="Calibri" w:eastAsia="仿宋_GB2312" w:cs="Times New Roman"/>
          <w:kern w:val="2"/>
          <w:sz w:val="28"/>
          <w:szCs w:val="24"/>
          <w:lang w:val="en-US" w:eastAsia="zh-CN" w:bidi="ar-SA"/>
        </w:rPr>
      </w:pPr>
      <w:r>
        <w:rPr>
          <w:rFonts w:ascii="Times New Roman" w:hAnsi="Times New Roman" w:eastAsia="黑体"/>
          <w:sz w:val="32"/>
          <w:szCs w:val="32"/>
        </w:rPr>
        <w:t>目录</w:t>
      </w:r>
      <w:r>
        <w:fldChar w:fldCharType="begin"/>
      </w:r>
      <w:r>
        <w:instrText xml:space="preserve"> TOC \o "1-2" \h \z \u </w:instrText>
      </w:r>
      <w:r>
        <w:fldChar w:fldCharType="separate"/>
      </w:r>
    </w:p>
    <w:p w14:paraId="7669C989">
      <w:pPr>
        <w:pStyle w:val="20"/>
        <w:tabs>
          <w:tab w:val="right" w:leader="dot" w:pos="8312"/>
        </w:tabs>
        <w:rPr>
          <w:rFonts w:eastAsia="黑体"/>
          <w:sz w:val="28"/>
        </w:rPr>
      </w:pPr>
      <w:r>
        <w:rPr>
          <w:rFonts w:eastAsia="黑体"/>
          <w:sz w:val="28"/>
        </w:rPr>
        <w:fldChar w:fldCharType="begin"/>
      </w:r>
      <w:r>
        <w:rPr>
          <w:rFonts w:eastAsia="黑体"/>
          <w:sz w:val="28"/>
        </w:rPr>
        <w:instrText xml:space="preserve"> HYPERLINK \l _Toc28859 </w:instrText>
      </w:r>
      <w:r>
        <w:rPr>
          <w:rFonts w:eastAsia="黑体"/>
          <w:sz w:val="28"/>
        </w:rPr>
        <w:fldChar w:fldCharType="separate"/>
      </w:r>
      <w:r>
        <w:rPr>
          <w:rFonts w:eastAsia="黑体"/>
          <w:sz w:val="28"/>
        </w:rPr>
        <w:t>前 言</w:t>
      </w:r>
      <w:r>
        <w:rPr>
          <w:rFonts w:eastAsia="黑体"/>
          <w:sz w:val="28"/>
        </w:rPr>
        <w:tab/>
      </w:r>
      <w:r>
        <w:rPr>
          <w:rFonts w:eastAsia="黑体"/>
          <w:sz w:val="28"/>
        </w:rPr>
        <w:fldChar w:fldCharType="begin"/>
      </w:r>
      <w:r>
        <w:rPr>
          <w:rFonts w:eastAsia="黑体"/>
          <w:sz w:val="28"/>
        </w:rPr>
        <w:instrText xml:space="preserve"> PAGEREF _Toc28859 \h </w:instrText>
      </w:r>
      <w:r>
        <w:rPr>
          <w:rFonts w:eastAsia="黑体"/>
          <w:sz w:val="28"/>
        </w:rPr>
        <w:fldChar w:fldCharType="separate"/>
      </w:r>
      <w:r>
        <w:rPr>
          <w:rFonts w:eastAsia="黑体"/>
          <w:sz w:val="28"/>
        </w:rPr>
        <w:t>I</w:t>
      </w:r>
      <w:r>
        <w:rPr>
          <w:rFonts w:eastAsia="黑体"/>
          <w:sz w:val="28"/>
        </w:rPr>
        <w:fldChar w:fldCharType="end"/>
      </w:r>
      <w:r>
        <w:rPr>
          <w:rFonts w:eastAsia="黑体"/>
          <w:sz w:val="28"/>
        </w:rPr>
        <w:fldChar w:fldCharType="end"/>
      </w:r>
    </w:p>
    <w:p w14:paraId="7B919DF3">
      <w:pPr>
        <w:pStyle w:val="20"/>
        <w:tabs>
          <w:tab w:val="right" w:leader="dot" w:pos="8312"/>
        </w:tabs>
        <w:rPr>
          <w:rFonts w:eastAsia="黑体"/>
          <w:sz w:val="28"/>
        </w:rPr>
      </w:pPr>
      <w:r>
        <w:rPr>
          <w:rFonts w:eastAsia="黑体"/>
          <w:sz w:val="28"/>
        </w:rPr>
        <w:fldChar w:fldCharType="begin"/>
      </w:r>
      <w:r>
        <w:rPr>
          <w:rFonts w:eastAsia="黑体"/>
          <w:sz w:val="28"/>
        </w:rPr>
        <w:instrText xml:space="preserve"> HYPERLINK \l _Toc79 </w:instrText>
      </w:r>
      <w:r>
        <w:rPr>
          <w:rFonts w:eastAsia="黑体"/>
          <w:sz w:val="28"/>
        </w:rPr>
        <w:fldChar w:fldCharType="separate"/>
      </w:r>
      <w:r>
        <w:rPr>
          <w:rFonts w:eastAsia="黑体"/>
          <w:sz w:val="28"/>
        </w:rPr>
        <w:t>第一章 规划总则</w:t>
      </w:r>
      <w:r>
        <w:rPr>
          <w:rFonts w:eastAsia="黑体"/>
          <w:sz w:val="28"/>
        </w:rPr>
        <w:tab/>
      </w:r>
      <w:r>
        <w:rPr>
          <w:rFonts w:eastAsia="黑体"/>
          <w:sz w:val="28"/>
        </w:rPr>
        <w:fldChar w:fldCharType="begin"/>
      </w:r>
      <w:r>
        <w:rPr>
          <w:rFonts w:eastAsia="黑体"/>
          <w:sz w:val="28"/>
        </w:rPr>
        <w:instrText xml:space="preserve"> PAGEREF _Toc79 \h </w:instrText>
      </w:r>
      <w:r>
        <w:rPr>
          <w:rFonts w:eastAsia="黑体"/>
          <w:sz w:val="28"/>
        </w:rPr>
        <w:fldChar w:fldCharType="separate"/>
      </w:r>
      <w:r>
        <w:rPr>
          <w:rFonts w:eastAsia="黑体"/>
          <w:sz w:val="28"/>
        </w:rPr>
        <w:t>1</w:t>
      </w:r>
      <w:r>
        <w:rPr>
          <w:rFonts w:eastAsia="黑体"/>
          <w:sz w:val="28"/>
        </w:rPr>
        <w:fldChar w:fldCharType="end"/>
      </w:r>
      <w:r>
        <w:rPr>
          <w:rFonts w:eastAsia="黑体"/>
          <w:sz w:val="28"/>
        </w:rPr>
        <w:fldChar w:fldCharType="end"/>
      </w:r>
    </w:p>
    <w:p w14:paraId="4825E3C7">
      <w:pPr>
        <w:pStyle w:val="23"/>
        <w:tabs>
          <w:tab w:val="right" w:leader="dot" w:pos="8312"/>
        </w:tabs>
        <w:rPr>
          <w:rFonts w:eastAsia="黑体"/>
          <w:sz w:val="28"/>
        </w:rPr>
      </w:pPr>
      <w:r>
        <w:rPr>
          <w:rFonts w:eastAsia="黑体"/>
          <w:sz w:val="28"/>
        </w:rPr>
        <w:fldChar w:fldCharType="begin"/>
      </w:r>
      <w:r>
        <w:rPr>
          <w:rFonts w:eastAsia="黑体"/>
          <w:sz w:val="28"/>
        </w:rPr>
        <w:instrText xml:space="preserve"> HYPERLINK \l _Toc32535 </w:instrText>
      </w:r>
      <w:r>
        <w:rPr>
          <w:rFonts w:eastAsia="黑体"/>
          <w:sz w:val="28"/>
        </w:rPr>
        <w:fldChar w:fldCharType="separate"/>
      </w:r>
      <w:r>
        <w:rPr>
          <w:rFonts w:eastAsia="黑体"/>
          <w:sz w:val="28"/>
        </w:rPr>
        <w:t>第一节 规划目的</w:t>
      </w:r>
      <w:r>
        <w:rPr>
          <w:rFonts w:eastAsia="黑体"/>
          <w:sz w:val="28"/>
        </w:rPr>
        <w:tab/>
      </w:r>
      <w:r>
        <w:rPr>
          <w:rFonts w:eastAsia="黑体"/>
          <w:sz w:val="28"/>
        </w:rPr>
        <w:fldChar w:fldCharType="begin"/>
      </w:r>
      <w:r>
        <w:rPr>
          <w:rFonts w:eastAsia="黑体"/>
          <w:sz w:val="28"/>
        </w:rPr>
        <w:instrText xml:space="preserve"> PAGEREF _Toc32535 \h </w:instrText>
      </w:r>
      <w:r>
        <w:rPr>
          <w:rFonts w:eastAsia="黑体"/>
          <w:sz w:val="28"/>
        </w:rPr>
        <w:fldChar w:fldCharType="separate"/>
      </w:r>
      <w:r>
        <w:rPr>
          <w:rFonts w:eastAsia="黑体"/>
          <w:sz w:val="28"/>
        </w:rPr>
        <w:t>1</w:t>
      </w:r>
      <w:r>
        <w:rPr>
          <w:rFonts w:eastAsia="黑体"/>
          <w:sz w:val="28"/>
        </w:rPr>
        <w:fldChar w:fldCharType="end"/>
      </w:r>
      <w:r>
        <w:rPr>
          <w:rFonts w:eastAsia="黑体"/>
          <w:sz w:val="28"/>
        </w:rPr>
        <w:fldChar w:fldCharType="end"/>
      </w:r>
    </w:p>
    <w:p w14:paraId="03A3D73A">
      <w:pPr>
        <w:pStyle w:val="23"/>
        <w:tabs>
          <w:tab w:val="right" w:leader="dot" w:pos="8312"/>
        </w:tabs>
        <w:rPr>
          <w:rFonts w:eastAsia="黑体"/>
          <w:sz w:val="28"/>
        </w:rPr>
      </w:pPr>
      <w:r>
        <w:rPr>
          <w:rFonts w:eastAsia="黑体"/>
          <w:sz w:val="28"/>
        </w:rPr>
        <w:fldChar w:fldCharType="begin"/>
      </w:r>
      <w:r>
        <w:rPr>
          <w:rFonts w:eastAsia="黑体"/>
          <w:sz w:val="28"/>
        </w:rPr>
        <w:instrText xml:space="preserve"> HYPERLINK \l _Toc610 </w:instrText>
      </w:r>
      <w:r>
        <w:rPr>
          <w:rFonts w:eastAsia="黑体"/>
          <w:sz w:val="28"/>
        </w:rPr>
        <w:fldChar w:fldCharType="separate"/>
      </w:r>
      <w:r>
        <w:rPr>
          <w:rFonts w:eastAsia="黑体"/>
          <w:sz w:val="28"/>
        </w:rPr>
        <w:t>第二节 指导思想</w:t>
      </w:r>
      <w:r>
        <w:rPr>
          <w:rFonts w:eastAsia="黑体"/>
          <w:sz w:val="28"/>
        </w:rPr>
        <w:tab/>
      </w:r>
      <w:r>
        <w:rPr>
          <w:rFonts w:eastAsia="黑体"/>
          <w:sz w:val="28"/>
        </w:rPr>
        <w:fldChar w:fldCharType="begin"/>
      </w:r>
      <w:r>
        <w:rPr>
          <w:rFonts w:eastAsia="黑体"/>
          <w:sz w:val="28"/>
        </w:rPr>
        <w:instrText xml:space="preserve"> PAGEREF _Toc610 \h </w:instrText>
      </w:r>
      <w:r>
        <w:rPr>
          <w:rFonts w:eastAsia="黑体"/>
          <w:sz w:val="28"/>
        </w:rPr>
        <w:fldChar w:fldCharType="separate"/>
      </w:r>
      <w:r>
        <w:rPr>
          <w:rFonts w:eastAsia="黑体"/>
          <w:sz w:val="28"/>
        </w:rPr>
        <w:t>1</w:t>
      </w:r>
      <w:r>
        <w:rPr>
          <w:rFonts w:eastAsia="黑体"/>
          <w:sz w:val="28"/>
        </w:rPr>
        <w:fldChar w:fldCharType="end"/>
      </w:r>
      <w:r>
        <w:rPr>
          <w:rFonts w:eastAsia="黑体"/>
          <w:sz w:val="28"/>
        </w:rPr>
        <w:fldChar w:fldCharType="end"/>
      </w:r>
    </w:p>
    <w:p w14:paraId="4E25C8A0">
      <w:pPr>
        <w:pStyle w:val="23"/>
        <w:tabs>
          <w:tab w:val="right" w:leader="dot" w:pos="8312"/>
        </w:tabs>
        <w:rPr>
          <w:rFonts w:eastAsia="黑体"/>
          <w:sz w:val="28"/>
        </w:rPr>
      </w:pPr>
      <w:r>
        <w:rPr>
          <w:rFonts w:eastAsia="黑体"/>
          <w:sz w:val="28"/>
        </w:rPr>
        <w:fldChar w:fldCharType="begin"/>
      </w:r>
      <w:r>
        <w:rPr>
          <w:rFonts w:eastAsia="黑体"/>
          <w:sz w:val="28"/>
        </w:rPr>
        <w:instrText xml:space="preserve"> HYPERLINK \l _Toc8455 </w:instrText>
      </w:r>
      <w:r>
        <w:rPr>
          <w:rFonts w:eastAsia="黑体"/>
          <w:sz w:val="28"/>
        </w:rPr>
        <w:fldChar w:fldCharType="separate"/>
      </w:r>
      <w:r>
        <w:rPr>
          <w:rFonts w:eastAsia="黑体"/>
          <w:bCs w:val="0"/>
          <w:kern w:val="0"/>
          <w:sz w:val="28"/>
        </w:rPr>
        <w:t>第三节 规划</w:t>
      </w:r>
      <w:r>
        <w:rPr>
          <w:rFonts w:hint="eastAsia" w:eastAsia="黑体"/>
          <w:bCs w:val="0"/>
          <w:kern w:val="0"/>
          <w:sz w:val="28"/>
        </w:rPr>
        <w:t>定位</w:t>
      </w:r>
      <w:r>
        <w:rPr>
          <w:rFonts w:eastAsia="黑体"/>
          <w:sz w:val="28"/>
        </w:rPr>
        <w:tab/>
      </w:r>
      <w:r>
        <w:rPr>
          <w:rFonts w:eastAsia="黑体"/>
          <w:sz w:val="28"/>
        </w:rPr>
        <w:fldChar w:fldCharType="begin"/>
      </w:r>
      <w:r>
        <w:rPr>
          <w:rFonts w:eastAsia="黑体"/>
          <w:sz w:val="28"/>
        </w:rPr>
        <w:instrText xml:space="preserve"> PAGEREF _Toc8455 \h </w:instrText>
      </w:r>
      <w:r>
        <w:rPr>
          <w:rFonts w:eastAsia="黑体"/>
          <w:sz w:val="28"/>
        </w:rPr>
        <w:fldChar w:fldCharType="separate"/>
      </w:r>
      <w:r>
        <w:rPr>
          <w:rFonts w:eastAsia="黑体"/>
          <w:sz w:val="28"/>
        </w:rPr>
        <w:t>2</w:t>
      </w:r>
      <w:r>
        <w:rPr>
          <w:rFonts w:eastAsia="黑体"/>
          <w:sz w:val="28"/>
        </w:rPr>
        <w:fldChar w:fldCharType="end"/>
      </w:r>
      <w:r>
        <w:rPr>
          <w:rFonts w:eastAsia="黑体"/>
          <w:sz w:val="28"/>
        </w:rPr>
        <w:fldChar w:fldCharType="end"/>
      </w:r>
    </w:p>
    <w:p w14:paraId="681B1D78">
      <w:pPr>
        <w:pStyle w:val="23"/>
        <w:tabs>
          <w:tab w:val="right" w:leader="dot" w:pos="8312"/>
        </w:tabs>
        <w:rPr>
          <w:rFonts w:eastAsia="黑体"/>
          <w:sz w:val="28"/>
        </w:rPr>
      </w:pPr>
      <w:r>
        <w:rPr>
          <w:rFonts w:eastAsia="黑体"/>
          <w:sz w:val="28"/>
        </w:rPr>
        <w:fldChar w:fldCharType="begin"/>
      </w:r>
      <w:r>
        <w:rPr>
          <w:rFonts w:eastAsia="黑体"/>
          <w:sz w:val="28"/>
        </w:rPr>
        <w:instrText xml:space="preserve"> HYPERLINK \l _Toc5428 </w:instrText>
      </w:r>
      <w:r>
        <w:rPr>
          <w:rFonts w:eastAsia="黑体"/>
          <w:sz w:val="28"/>
        </w:rPr>
        <w:fldChar w:fldCharType="separate"/>
      </w:r>
      <w:r>
        <w:rPr>
          <w:rFonts w:eastAsia="黑体"/>
          <w:bCs w:val="0"/>
          <w:kern w:val="0"/>
          <w:sz w:val="28"/>
        </w:rPr>
        <w:t>第</w:t>
      </w:r>
      <w:r>
        <w:rPr>
          <w:rFonts w:hint="eastAsia" w:eastAsia="黑体"/>
          <w:bCs w:val="0"/>
          <w:kern w:val="0"/>
          <w:sz w:val="28"/>
        </w:rPr>
        <w:t>四</w:t>
      </w:r>
      <w:r>
        <w:rPr>
          <w:rFonts w:eastAsia="黑体"/>
          <w:bCs w:val="0"/>
          <w:kern w:val="0"/>
          <w:sz w:val="28"/>
        </w:rPr>
        <w:t>节 规划原则</w:t>
      </w:r>
      <w:r>
        <w:rPr>
          <w:rFonts w:eastAsia="黑体"/>
          <w:sz w:val="28"/>
        </w:rPr>
        <w:tab/>
      </w:r>
      <w:r>
        <w:rPr>
          <w:rFonts w:eastAsia="黑体"/>
          <w:sz w:val="28"/>
        </w:rPr>
        <w:fldChar w:fldCharType="begin"/>
      </w:r>
      <w:r>
        <w:rPr>
          <w:rFonts w:eastAsia="黑体"/>
          <w:sz w:val="28"/>
        </w:rPr>
        <w:instrText xml:space="preserve"> PAGEREF _Toc5428 \h </w:instrText>
      </w:r>
      <w:r>
        <w:rPr>
          <w:rFonts w:eastAsia="黑体"/>
          <w:sz w:val="28"/>
        </w:rPr>
        <w:fldChar w:fldCharType="separate"/>
      </w:r>
      <w:r>
        <w:rPr>
          <w:rFonts w:eastAsia="黑体"/>
          <w:sz w:val="28"/>
        </w:rPr>
        <w:t>2</w:t>
      </w:r>
      <w:r>
        <w:rPr>
          <w:rFonts w:eastAsia="黑体"/>
          <w:sz w:val="28"/>
        </w:rPr>
        <w:fldChar w:fldCharType="end"/>
      </w:r>
      <w:r>
        <w:rPr>
          <w:rFonts w:eastAsia="黑体"/>
          <w:sz w:val="28"/>
        </w:rPr>
        <w:fldChar w:fldCharType="end"/>
      </w:r>
    </w:p>
    <w:p w14:paraId="5E6A1990">
      <w:pPr>
        <w:pStyle w:val="23"/>
        <w:tabs>
          <w:tab w:val="right" w:leader="dot" w:pos="8312"/>
        </w:tabs>
        <w:rPr>
          <w:rFonts w:eastAsia="黑体"/>
          <w:sz w:val="28"/>
        </w:rPr>
      </w:pPr>
      <w:r>
        <w:rPr>
          <w:rFonts w:eastAsia="黑体"/>
          <w:sz w:val="28"/>
        </w:rPr>
        <w:fldChar w:fldCharType="begin"/>
      </w:r>
      <w:r>
        <w:rPr>
          <w:rFonts w:eastAsia="黑体"/>
          <w:sz w:val="28"/>
        </w:rPr>
        <w:instrText xml:space="preserve"> HYPERLINK \l _Toc11082 </w:instrText>
      </w:r>
      <w:r>
        <w:rPr>
          <w:rFonts w:eastAsia="黑体"/>
          <w:sz w:val="28"/>
        </w:rPr>
        <w:fldChar w:fldCharType="separate"/>
      </w:r>
      <w:r>
        <w:rPr>
          <w:rFonts w:eastAsia="黑体"/>
          <w:bCs w:val="0"/>
          <w:kern w:val="0"/>
          <w:sz w:val="28"/>
        </w:rPr>
        <w:t>第</w:t>
      </w:r>
      <w:r>
        <w:rPr>
          <w:rFonts w:hint="eastAsia" w:eastAsia="黑体"/>
          <w:bCs w:val="0"/>
          <w:kern w:val="0"/>
          <w:sz w:val="28"/>
        </w:rPr>
        <w:t>五</w:t>
      </w:r>
      <w:r>
        <w:rPr>
          <w:rFonts w:eastAsia="黑体"/>
          <w:bCs w:val="0"/>
          <w:kern w:val="0"/>
          <w:sz w:val="28"/>
        </w:rPr>
        <w:t>节 规划范围</w:t>
      </w:r>
      <w:r>
        <w:rPr>
          <w:rFonts w:eastAsia="黑体"/>
          <w:sz w:val="28"/>
        </w:rPr>
        <w:tab/>
      </w:r>
      <w:r>
        <w:rPr>
          <w:rFonts w:eastAsia="黑体"/>
          <w:sz w:val="28"/>
        </w:rPr>
        <w:fldChar w:fldCharType="begin"/>
      </w:r>
      <w:r>
        <w:rPr>
          <w:rFonts w:eastAsia="黑体"/>
          <w:sz w:val="28"/>
        </w:rPr>
        <w:instrText xml:space="preserve"> PAGEREF _Toc11082 \h </w:instrText>
      </w:r>
      <w:r>
        <w:rPr>
          <w:rFonts w:eastAsia="黑体"/>
          <w:sz w:val="28"/>
        </w:rPr>
        <w:fldChar w:fldCharType="separate"/>
      </w:r>
      <w:r>
        <w:rPr>
          <w:rFonts w:eastAsia="黑体"/>
          <w:sz w:val="28"/>
        </w:rPr>
        <w:t>3</w:t>
      </w:r>
      <w:r>
        <w:rPr>
          <w:rFonts w:eastAsia="黑体"/>
          <w:sz w:val="28"/>
        </w:rPr>
        <w:fldChar w:fldCharType="end"/>
      </w:r>
      <w:r>
        <w:rPr>
          <w:rFonts w:eastAsia="黑体"/>
          <w:sz w:val="28"/>
        </w:rPr>
        <w:fldChar w:fldCharType="end"/>
      </w:r>
    </w:p>
    <w:p w14:paraId="55E62A19">
      <w:pPr>
        <w:pStyle w:val="23"/>
        <w:tabs>
          <w:tab w:val="right" w:leader="dot" w:pos="8312"/>
        </w:tabs>
        <w:rPr>
          <w:rFonts w:eastAsia="黑体"/>
          <w:sz w:val="28"/>
        </w:rPr>
      </w:pPr>
      <w:r>
        <w:rPr>
          <w:rFonts w:eastAsia="黑体"/>
          <w:sz w:val="28"/>
        </w:rPr>
        <w:fldChar w:fldCharType="begin"/>
      </w:r>
      <w:r>
        <w:rPr>
          <w:rFonts w:eastAsia="黑体"/>
          <w:sz w:val="28"/>
        </w:rPr>
        <w:instrText xml:space="preserve"> HYPERLINK \l _Toc10342 </w:instrText>
      </w:r>
      <w:r>
        <w:rPr>
          <w:rFonts w:eastAsia="黑体"/>
          <w:sz w:val="28"/>
        </w:rPr>
        <w:fldChar w:fldCharType="separate"/>
      </w:r>
      <w:r>
        <w:rPr>
          <w:rFonts w:eastAsia="黑体"/>
          <w:bCs w:val="0"/>
          <w:kern w:val="0"/>
          <w:sz w:val="28"/>
        </w:rPr>
        <w:t>第</w:t>
      </w:r>
      <w:r>
        <w:rPr>
          <w:rFonts w:hint="eastAsia" w:eastAsia="黑体"/>
          <w:bCs w:val="0"/>
          <w:kern w:val="0"/>
          <w:sz w:val="28"/>
        </w:rPr>
        <w:t>六</w:t>
      </w:r>
      <w:r>
        <w:rPr>
          <w:rFonts w:eastAsia="黑体"/>
          <w:bCs w:val="0"/>
          <w:kern w:val="0"/>
          <w:sz w:val="28"/>
        </w:rPr>
        <w:t>节 规划期限</w:t>
      </w:r>
      <w:r>
        <w:rPr>
          <w:rFonts w:eastAsia="黑体"/>
          <w:sz w:val="28"/>
        </w:rPr>
        <w:tab/>
      </w:r>
      <w:r>
        <w:rPr>
          <w:rFonts w:eastAsia="黑体"/>
          <w:sz w:val="28"/>
        </w:rPr>
        <w:fldChar w:fldCharType="begin"/>
      </w:r>
      <w:r>
        <w:rPr>
          <w:rFonts w:eastAsia="黑体"/>
          <w:sz w:val="28"/>
        </w:rPr>
        <w:instrText xml:space="preserve"> PAGEREF _Toc10342 \h </w:instrText>
      </w:r>
      <w:r>
        <w:rPr>
          <w:rFonts w:eastAsia="黑体"/>
          <w:sz w:val="28"/>
        </w:rPr>
        <w:fldChar w:fldCharType="separate"/>
      </w:r>
      <w:r>
        <w:rPr>
          <w:rFonts w:eastAsia="黑体"/>
          <w:sz w:val="28"/>
        </w:rPr>
        <w:t>4</w:t>
      </w:r>
      <w:r>
        <w:rPr>
          <w:rFonts w:eastAsia="黑体"/>
          <w:sz w:val="28"/>
        </w:rPr>
        <w:fldChar w:fldCharType="end"/>
      </w:r>
      <w:r>
        <w:rPr>
          <w:rFonts w:eastAsia="黑体"/>
          <w:sz w:val="28"/>
        </w:rPr>
        <w:fldChar w:fldCharType="end"/>
      </w:r>
    </w:p>
    <w:p w14:paraId="0D4B0907">
      <w:pPr>
        <w:pStyle w:val="23"/>
        <w:tabs>
          <w:tab w:val="right" w:leader="dot" w:pos="8312"/>
        </w:tabs>
        <w:rPr>
          <w:rFonts w:eastAsia="黑体"/>
          <w:sz w:val="28"/>
        </w:rPr>
      </w:pPr>
      <w:r>
        <w:rPr>
          <w:rFonts w:eastAsia="黑体"/>
          <w:sz w:val="28"/>
        </w:rPr>
        <w:fldChar w:fldCharType="begin"/>
      </w:r>
      <w:r>
        <w:rPr>
          <w:rFonts w:eastAsia="黑体"/>
          <w:sz w:val="28"/>
        </w:rPr>
        <w:instrText xml:space="preserve"> HYPERLINK \l _Toc28013 </w:instrText>
      </w:r>
      <w:r>
        <w:rPr>
          <w:rFonts w:eastAsia="黑体"/>
          <w:sz w:val="28"/>
        </w:rPr>
        <w:fldChar w:fldCharType="separate"/>
      </w:r>
      <w:r>
        <w:rPr>
          <w:rFonts w:eastAsia="黑体"/>
          <w:bCs w:val="0"/>
          <w:kern w:val="0"/>
          <w:sz w:val="28"/>
        </w:rPr>
        <w:t>第</w:t>
      </w:r>
      <w:r>
        <w:rPr>
          <w:rFonts w:hint="eastAsia" w:eastAsia="黑体"/>
          <w:bCs w:val="0"/>
          <w:kern w:val="0"/>
          <w:sz w:val="28"/>
        </w:rPr>
        <w:t>七</w:t>
      </w:r>
      <w:r>
        <w:rPr>
          <w:rFonts w:eastAsia="黑体"/>
          <w:bCs w:val="0"/>
          <w:kern w:val="0"/>
          <w:sz w:val="28"/>
        </w:rPr>
        <w:t>节 规划依据</w:t>
      </w:r>
      <w:r>
        <w:rPr>
          <w:rFonts w:eastAsia="黑体"/>
          <w:sz w:val="28"/>
        </w:rPr>
        <w:tab/>
      </w:r>
      <w:r>
        <w:rPr>
          <w:rFonts w:eastAsia="黑体"/>
          <w:sz w:val="28"/>
        </w:rPr>
        <w:fldChar w:fldCharType="begin"/>
      </w:r>
      <w:r>
        <w:rPr>
          <w:rFonts w:eastAsia="黑体"/>
          <w:sz w:val="28"/>
        </w:rPr>
        <w:instrText xml:space="preserve"> PAGEREF _Toc28013 \h </w:instrText>
      </w:r>
      <w:r>
        <w:rPr>
          <w:rFonts w:eastAsia="黑体"/>
          <w:sz w:val="28"/>
        </w:rPr>
        <w:fldChar w:fldCharType="separate"/>
      </w:r>
      <w:r>
        <w:rPr>
          <w:rFonts w:eastAsia="黑体"/>
          <w:sz w:val="28"/>
        </w:rPr>
        <w:t>4</w:t>
      </w:r>
      <w:r>
        <w:rPr>
          <w:rFonts w:eastAsia="黑体"/>
          <w:sz w:val="28"/>
        </w:rPr>
        <w:fldChar w:fldCharType="end"/>
      </w:r>
      <w:r>
        <w:rPr>
          <w:rFonts w:eastAsia="黑体"/>
          <w:sz w:val="28"/>
        </w:rPr>
        <w:fldChar w:fldCharType="end"/>
      </w:r>
    </w:p>
    <w:p w14:paraId="14187D31">
      <w:pPr>
        <w:pStyle w:val="23"/>
        <w:tabs>
          <w:tab w:val="right" w:leader="dot" w:pos="8312"/>
        </w:tabs>
        <w:rPr>
          <w:rFonts w:eastAsia="黑体"/>
          <w:sz w:val="28"/>
        </w:rPr>
      </w:pPr>
      <w:r>
        <w:rPr>
          <w:rFonts w:eastAsia="黑体"/>
          <w:sz w:val="28"/>
        </w:rPr>
        <w:fldChar w:fldCharType="begin"/>
      </w:r>
      <w:r>
        <w:rPr>
          <w:rFonts w:eastAsia="黑体"/>
          <w:sz w:val="28"/>
        </w:rPr>
        <w:instrText xml:space="preserve"> HYPERLINK \l _Toc14836 </w:instrText>
      </w:r>
      <w:r>
        <w:rPr>
          <w:rFonts w:eastAsia="黑体"/>
          <w:sz w:val="28"/>
        </w:rPr>
        <w:fldChar w:fldCharType="separate"/>
      </w:r>
      <w:r>
        <w:rPr>
          <w:rFonts w:eastAsia="黑体"/>
          <w:bCs w:val="0"/>
          <w:kern w:val="0"/>
          <w:sz w:val="28"/>
        </w:rPr>
        <w:t>第</w:t>
      </w:r>
      <w:r>
        <w:rPr>
          <w:rFonts w:hint="eastAsia" w:eastAsia="黑体"/>
          <w:bCs w:val="0"/>
          <w:kern w:val="0"/>
          <w:sz w:val="28"/>
        </w:rPr>
        <w:t>八</w:t>
      </w:r>
      <w:r>
        <w:rPr>
          <w:rFonts w:eastAsia="黑体"/>
          <w:bCs w:val="0"/>
          <w:kern w:val="0"/>
          <w:sz w:val="28"/>
        </w:rPr>
        <w:t xml:space="preserve">节 </w:t>
      </w:r>
      <w:r>
        <w:rPr>
          <w:rFonts w:hint="eastAsia" w:eastAsia="黑体"/>
          <w:bCs w:val="0"/>
          <w:kern w:val="0"/>
          <w:sz w:val="28"/>
        </w:rPr>
        <w:t>强制性内容</w:t>
      </w:r>
      <w:r>
        <w:rPr>
          <w:rFonts w:eastAsia="黑体"/>
          <w:sz w:val="28"/>
        </w:rPr>
        <w:tab/>
      </w:r>
      <w:r>
        <w:rPr>
          <w:rFonts w:eastAsia="黑体"/>
          <w:sz w:val="28"/>
        </w:rPr>
        <w:fldChar w:fldCharType="begin"/>
      </w:r>
      <w:r>
        <w:rPr>
          <w:rFonts w:eastAsia="黑体"/>
          <w:sz w:val="28"/>
        </w:rPr>
        <w:instrText xml:space="preserve"> PAGEREF _Toc14836 \h </w:instrText>
      </w:r>
      <w:r>
        <w:rPr>
          <w:rFonts w:eastAsia="黑体"/>
          <w:sz w:val="28"/>
        </w:rPr>
        <w:fldChar w:fldCharType="separate"/>
      </w:r>
      <w:r>
        <w:rPr>
          <w:rFonts w:eastAsia="黑体"/>
          <w:sz w:val="28"/>
        </w:rPr>
        <w:t>7</w:t>
      </w:r>
      <w:r>
        <w:rPr>
          <w:rFonts w:eastAsia="黑体"/>
          <w:sz w:val="28"/>
        </w:rPr>
        <w:fldChar w:fldCharType="end"/>
      </w:r>
      <w:r>
        <w:rPr>
          <w:rFonts w:eastAsia="黑体"/>
          <w:sz w:val="28"/>
        </w:rPr>
        <w:fldChar w:fldCharType="end"/>
      </w:r>
    </w:p>
    <w:p w14:paraId="45A0B201">
      <w:pPr>
        <w:pStyle w:val="20"/>
        <w:tabs>
          <w:tab w:val="right" w:leader="dot" w:pos="8312"/>
        </w:tabs>
        <w:rPr>
          <w:rFonts w:eastAsia="黑体"/>
          <w:sz w:val="28"/>
        </w:rPr>
      </w:pPr>
      <w:r>
        <w:rPr>
          <w:rFonts w:eastAsia="黑体"/>
          <w:sz w:val="28"/>
        </w:rPr>
        <w:fldChar w:fldCharType="begin"/>
      </w:r>
      <w:r>
        <w:rPr>
          <w:rFonts w:eastAsia="黑体"/>
          <w:sz w:val="28"/>
        </w:rPr>
        <w:instrText xml:space="preserve"> HYPERLINK \l _Toc20349 </w:instrText>
      </w:r>
      <w:r>
        <w:rPr>
          <w:rFonts w:eastAsia="黑体"/>
          <w:sz w:val="28"/>
        </w:rPr>
        <w:fldChar w:fldCharType="separate"/>
      </w:r>
      <w:r>
        <w:rPr>
          <w:rFonts w:eastAsia="黑体"/>
          <w:sz w:val="28"/>
        </w:rPr>
        <w:t>第三章 目标定位与空间策略</w:t>
      </w:r>
      <w:r>
        <w:rPr>
          <w:rFonts w:eastAsia="黑体"/>
          <w:sz w:val="28"/>
        </w:rPr>
        <w:tab/>
      </w:r>
      <w:r>
        <w:rPr>
          <w:rFonts w:eastAsia="黑体"/>
          <w:sz w:val="28"/>
        </w:rPr>
        <w:fldChar w:fldCharType="begin"/>
      </w:r>
      <w:r>
        <w:rPr>
          <w:rFonts w:eastAsia="黑体"/>
          <w:sz w:val="28"/>
        </w:rPr>
        <w:instrText xml:space="preserve"> PAGEREF _Toc20349 \h </w:instrText>
      </w:r>
      <w:r>
        <w:rPr>
          <w:rFonts w:eastAsia="黑体"/>
          <w:sz w:val="28"/>
        </w:rPr>
        <w:fldChar w:fldCharType="separate"/>
      </w:r>
      <w:r>
        <w:rPr>
          <w:rFonts w:eastAsia="黑体"/>
          <w:sz w:val="28"/>
        </w:rPr>
        <w:t>8</w:t>
      </w:r>
      <w:r>
        <w:rPr>
          <w:rFonts w:eastAsia="黑体"/>
          <w:sz w:val="28"/>
        </w:rPr>
        <w:fldChar w:fldCharType="end"/>
      </w:r>
      <w:r>
        <w:rPr>
          <w:rFonts w:eastAsia="黑体"/>
          <w:sz w:val="28"/>
        </w:rPr>
        <w:fldChar w:fldCharType="end"/>
      </w:r>
    </w:p>
    <w:p w14:paraId="3410126E">
      <w:pPr>
        <w:pStyle w:val="23"/>
        <w:tabs>
          <w:tab w:val="right" w:leader="dot" w:pos="8312"/>
        </w:tabs>
        <w:rPr>
          <w:rFonts w:eastAsia="黑体"/>
          <w:sz w:val="28"/>
        </w:rPr>
      </w:pPr>
      <w:r>
        <w:rPr>
          <w:rFonts w:eastAsia="黑体"/>
          <w:sz w:val="28"/>
        </w:rPr>
        <w:fldChar w:fldCharType="begin"/>
      </w:r>
      <w:r>
        <w:rPr>
          <w:rFonts w:eastAsia="黑体"/>
          <w:sz w:val="28"/>
        </w:rPr>
        <w:instrText xml:space="preserve"> HYPERLINK \l _Toc29620 </w:instrText>
      </w:r>
      <w:r>
        <w:rPr>
          <w:rFonts w:eastAsia="黑体"/>
          <w:sz w:val="28"/>
        </w:rPr>
        <w:fldChar w:fldCharType="separate"/>
      </w:r>
      <w:r>
        <w:rPr>
          <w:rFonts w:eastAsia="黑体"/>
          <w:bCs w:val="0"/>
          <w:kern w:val="0"/>
          <w:sz w:val="28"/>
        </w:rPr>
        <w:t>第一节 发展定位</w:t>
      </w:r>
      <w:r>
        <w:rPr>
          <w:rFonts w:eastAsia="黑体"/>
          <w:sz w:val="28"/>
        </w:rPr>
        <w:tab/>
      </w:r>
      <w:r>
        <w:rPr>
          <w:rFonts w:eastAsia="黑体"/>
          <w:sz w:val="28"/>
        </w:rPr>
        <w:fldChar w:fldCharType="begin"/>
      </w:r>
      <w:r>
        <w:rPr>
          <w:rFonts w:eastAsia="黑体"/>
          <w:sz w:val="28"/>
        </w:rPr>
        <w:instrText xml:space="preserve"> PAGEREF _Toc29620 \h </w:instrText>
      </w:r>
      <w:r>
        <w:rPr>
          <w:rFonts w:eastAsia="黑体"/>
          <w:sz w:val="28"/>
        </w:rPr>
        <w:fldChar w:fldCharType="separate"/>
      </w:r>
      <w:r>
        <w:rPr>
          <w:rFonts w:eastAsia="黑体"/>
          <w:sz w:val="28"/>
        </w:rPr>
        <w:t>8</w:t>
      </w:r>
      <w:r>
        <w:rPr>
          <w:rFonts w:eastAsia="黑体"/>
          <w:sz w:val="28"/>
        </w:rPr>
        <w:fldChar w:fldCharType="end"/>
      </w:r>
      <w:r>
        <w:rPr>
          <w:rFonts w:eastAsia="黑体"/>
          <w:sz w:val="28"/>
        </w:rPr>
        <w:fldChar w:fldCharType="end"/>
      </w:r>
    </w:p>
    <w:p w14:paraId="5DC6E547">
      <w:pPr>
        <w:pStyle w:val="23"/>
        <w:tabs>
          <w:tab w:val="right" w:leader="dot" w:pos="8312"/>
        </w:tabs>
        <w:rPr>
          <w:rFonts w:eastAsia="黑体"/>
          <w:sz w:val="28"/>
        </w:rPr>
      </w:pPr>
      <w:r>
        <w:rPr>
          <w:rFonts w:eastAsia="黑体"/>
          <w:sz w:val="28"/>
        </w:rPr>
        <w:fldChar w:fldCharType="begin"/>
      </w:r>
      <w:r>
        <w:rPr>
          <w:rFonts w:eastAsia="黑体"/>
          <w:sz w:val="28"/>
        </w:rPr>
        <w:instrText xml:space="preserve"> HYPERLINK \l _Toc5644 </w:instrText>
      </w:r>
      <w:r>
        <w:rPr>
          <w:rFonts w:eastAsia="黑体"/>
          <w:sz w:val="28"/>
        </w:rPr>
        <w:fldChar w:fldCharType="separate"/>
      </w:r>
      <w:r>
        <w:rPr>
          <w:rFonts w:eastAsia="黑体"/>
          <w:bCs w:val="0"/>
          <w:kern w:val="0"/>
          <w:sz w:val="28"/>
        </w:rPr>
        <w:t>第二节 空间</w:t>
      </w:r>
      <w:r>
        <w:rPr>
          <w:rFonts w:hint="eastAsia" w:eastAsia="黑体"/>
          <w:bCs w:val="0"/>
          <w:kern w:val="0"/>
          <w:sz w:val="28"/>
        </w:rPr>
        <w:t>策</w:t>
      </w:r>
      <w:r>
        <w:rPr>
          <w:rFonts w:eastAsia="黑体"/>
          <w:bCs w:val="0"/>
          <w:kern w:val="0"/>
          <w:sz w:val="28"/>
        </w:rPr>
        <w:t>略</w:t>
      </w:r>
      <w:r>
        <w:rPr>
          <w:rFonts w:eastAsia="黑体"/>
          <w:sz w:val="28"/>
        </w:rPr>
        <w:tab/>
      </w:r>
      <w:r>
        <w:rPr>
          <w:rFonts w:eastAsia="黑体"/>
          <w:sz w:val="28"/>
        </w:rPr>
        <w:fldChar w:fldCharType="begin"/>
      </w:r>
      <w:r>
        <w:rPr>
          <w:rFonts w:eastAsia="黑体"/>
          <w:sz w:val="28"/>
        </w:rPr>
        <w:instrText xml:space="preserve"> PAGEREF _Toc5644 \h </w:instrText>
      </w:r>
      <w:r>
        <w:rPr>
          <w:rFonts w:eastAsia="黑体"/>
          <w:sz w:val="28"/>
        </w:rPr>
        <w:fldChar w:fldCharType="separate"/>
      </w:r>
      <w:r>
        <w:rPr>
          <w:rFonts w:eastAsia="黑体"/>
          <w:sz w:val="28"/>
        </w:rPr>
        <w:t>8</w:t>
      </w:r>
      <w:r>
        <w:rPr>
          <w:rFonts w:eastAsia="黑体"/>
          <w:sz w:val="28"/>
        </w:rPr>
        <w:fldChar w:fldCharType="end"/>
      </w:r>
      <w:r>
        <w:rPr>
          <w:rFonts w:eastAsia="黑体"/>
          <w:sz w:val="28"/>
        </w:rPr>
        <w:fldChar w:fldCharType="end"/>
      </w:r>
    </w:p>
    <w:p w14:paraId="07D56355">
      <w:pPr>
        <w:pStyle w:val="23"/>
        <w:tabs>
          <w:tab w:val="right" w:leader="dot" w:pos="8312"/>
        </w:tabs>
        <w:rPr>
          <w:rFonts w:eastAsia="黑体"/>
          <w:sz w:val="28"/>
        </w:rPr>
      </w:pPr>
      <w:r>
        <w:rPr>
          <w:rFonts w:eastAsia="黑体"/>
          <w:sz w:val="28"/>
        </w:rPr>
        <w:fldChar w:fldCharType="begin"/>
      </w:r>
      <w:r>
        <w:rPr>
          <w:rFonts w:eastAsia="黑体"/>
          <w:sz w:val="28"/>
        </w:rPr>
        <w:instrText xml:space="preserve"> HYPERLINK \l _Toc2490 </w:instrText>
      </w:r>
      <w:r>
        <w:rPr>
          <w:rFonts w:eastAsia="黑体"/>
          <w:sz w:val="28"/>
        </w:rPr>
        <w:fldChar w:fldCharType="separate"/>
      </w:r>
      <w:r>
        <w:rPr>
          <w:rFonts w:eastAsia="黑体"/>
          <w:bCs w:val="0"/>
          <w:kern w:val="0"/>
          <w:sz w:val="28"/>
        </w:rPr>
        <w:t>第三节 规划目标</w:t>
      </w:r>
      <w:r>
        <w:rPr>
          <w:rFonts w:eastAsia="黑体"/>
          <w:sz w:val="28"/>
        </w:rPr>
        <w:tab/>
      </w:r>
      <w:r>
        <w:rPr>
          <w:rFonts w:eastAsia="黑体"/>
          <w:sz w:val="28"/>
        </w:rPr>
        <w:fldChar w:fldCharType="begin"/>
      </w:r>
      <w:r>
        <w:rPr>
          <w:rFonts w:eastAsia="黑体"/>
          <w:sz w:val="28"/>
        </w:rPr>
        <w:instrText xml:space="preserve"> PAGEREF _Toc2490 \h </w:instrText>
      </w:r>
      <w:r>
        <w:rPr>
          <w:rFonts w:eastAsia="黑体"/>
          <w:sz w:val="28"/>
        </w:rPr>
        <w:fldChar w:fldCharType="separate"/>
      </w:r>
      <w:r>
        <w:rPr>
          <w:rFonts w:eastAsia="黑体"/>
          <w:sz w:val="28"/>
        </w:rPr>
        <w:t>9</w:t>
      </w:r>
      <w:r>
        <w:rPr>
          <w:rFonts w:eastAsia="黑体"/>
          <w:sz w:val="28"/>
        </w:rPr>
        <w:fldChar w:fldCharType="end"/>
      </w:r>
      <w:r>
        <w:rPr>
          <w:rFonts w:eastAsia="黑体"/>
          <w:sz w:val="28"/>
        </w:rPr>
        <w:fldChar w:fldCharType="end"/>
      </w:r>
    </w:p>
    <w:p w14:paraId="4CCA46F7">
      <w:pPr>
        <w:pStyle w:val="20"/>
        <w:tabs>
          <w:tab w:val="right" w:leader="dot" w:pos="8312"/>
        </w:tabs>
        <w:rPr>
          <w:rFonts w:eastAsia="黑体"/>
          <w:sz w:val="28"/>
        </w:rPr>
      </w:pPr>
      <w:r>
        <w:rPr>
          <w:rFonts w:eastAsia="黑体"/>
          <w:sz w:val="28"/>
        </w:rPr>
        <w:fldChar w:fldCharType="begin"/>
      </w:r>
      <w:r>
        <w:rPr>
          <w:rFonts w:eastAsia="黑体"/>
          <w:sz w:val="28"/>
        </w:rPr>
        <w:instrText xml:space="preserve"> HYPERLINK \l _Toc18304 </w:instrText>
      </w:r>
      <w:r>
        <w:rPr>
          <w:rFonts w:eastAsia="黑体"/>
          <w:sz w:val="28"/>
        </w:rPr>
        <w:fldChar w:fldCharType="separate"/>
      </w:r>
      <w:r>
        <w:rPr>
          <w:rFonts w:eastAsia="黑体"/>
          <w:bCs w:val="0"/>
          <w:kern w:val="2"/>
          <w:sz w:val="28"/>
          <w:szCs w:val="36"/>
        </w:rPr>
        <w:t>第四章 国土空间格局</w:t>
      </w:r>
      <w:r>
        <w:rPr>
          <w:rFonts w:eastAsia="黑体"/>
          <w:sz w:val="28"/>
        </w:rPr>
        <w:tab/>
      </w:r>
      <w:r>
        <w:rPr>
          <w:rFonts w:eastAsia="黑体"/>
          <w:sz w:val="28"/>
        </w:rPr>
        <w:fldChar w:fldCharType="begin"/>
      </w:r>
      <w:r>
        <w:rPr>
          <w:rFonts w:eastAsia="黑体"/>
          <w:sz w:val="28"/>
        </w:rPr>
        <w:instrText xml:space="preserve"> PAGEREF _Toc18304 \h </w:instrText>
      </w:r>
      <w:r>
        <w:rPr>
          <w:rFonts w:eastAsia="黑体"/>
          <w:sz w:val="28"/>
        </w:rPr>
        <w:fldChar w:fldCharType="separate"/>
      </w:r>
      <w:r>
        <w:rPr>
          <w:rFonts w:eastAsia="黑体"/>
          <w:sz w:val="28"/>
        </w:rPr>
        <w:t>11</w:t>
      </w:r>
      <w:r>
        <w:rPr>
          <w:rFonts w:eastAsia="黑体"/>
          <w:sz w:val="28"/>
        </w:rPr>
        <w:fldChar w:fldCharType="end"/>
      </w:r>
      <w:r>
        <w:rPr>
          <w:rFonts w:eastAsia="黑体"/>
          <w:sz w:val="28"/>
        </w:rPr>
        <w:fldChar w:fldCharType="end"/>
      </w:r>
    </w:p>
    <w:p w14:paraId="67802F86">
      <w:pPr>
        <w:pStyle w:val="23"/>
        <w:tabs>
          <w:tab w:val="right" w:leader="dot" w:pos="8312"/>
        </w:tabs>
        <w:rPr>
          <w:rFonts w:eastAsia="黑体"/>
          <w:sz w:val="28"/>
        </w:rPr>
      </w:pPr>
      <w:r>
        <w:rPr>
          <w:rFonts w:eastAsia="黑体"/>
          <w:sz w:val="28"/>
        </w:rPr>
        <w:fldChar w:fldCharType="begin"/>
      </w:r>
      <w:r>
        <w:rPr>
          <w:rFonts w:eastAsia="黑体"/>
          <w:sz w:val="28"/>
        </w:rPr>
        <w:instrText xml:space="preserve"> HYPERLINK \l _Toc2288 </w:instrText>
      </w:r>
      <w:r>
        <w:rPr>
          <w:rFonts w:eastAsia="黑体"/>
          <w:sz w:val="28"/>
        </w:rPr>
        <w:fldChar w:fldCharType="separate"/>
      </w:r>
      <w:r>
        <w:rPr>
          <w:rFonts w:eastAsia="黑体"/>
          <w:bCs w:val="0"/>
          <w:kern w:val="0"/>
          <w:sz w:val="28"/>
        </w:rPr>
        <w:t xml:space="preserve">第一节 </w:t>
      </w:r>
      <w:r>
        <w:rPr>
          <w:rFonts w:hint="eastAsia" w:eastAsia="黑体"/>
          <w:bCs w:val="0"/>
          <w:kern w:val="0"/>
          <w:sz w:val="28"/>
        </w:rPr>
        <w:t>区域协同发展</w:t>
      </w:r>
      <w:r>
        <w:rPr>
          <w:rFonts w:eastAsia="黑体"/>
          <w:sz w:val="28"/>
        </w:rPr>
        <w:tab/>
      </w:r>
      <w:r>
        <w:rPr>
          <w:rFonts w:eastAsia="黑体"/>
          <w:sz w:val="28"/>
        </w:rPr>
        <w:fldChar w:fldCharType="begin"/>
      </w:r>
      <w:r>
        <w:rPr>
          <w:rFonts w:eastAsia="黑体"/>
          <w:sz w:val="28"/>
        </w:rPr>
        <w:instrText xml:space="preserve"> PAGEREF _Toc2288 \h </w:instrText>
      </w:r>
      <w:r>
        <w:rPr>
          <w:rFonts w:eastAsia="黑体"/>
          <w:sz w:val="28"/>
        </w:rPr>
        <w:fldChar w:fldCharType="separate"/>
      </w:r>
      <w:r>
        <w:rPr>
          <w:rFonts w:eastAsia="黑体"/>
          <w:sz w:val="28"/>
        </w:rPr>
        <w:t>11</w:t>
      </w:r>
      <w:r>
        <w:rPr>
          <w:rFonts w:eastAsia="黑体"/>
          <w:sz w:val="28"/>
        </w:rPr>
        <w:fldChar w:fldCharType="end"/>
      </w:r>
      <w:r>
        <w:rPr>
          <w:rFonts w:eastAsia="黑体"/>
          <w:sz w:val="28"/>
        </w:rPr>
        <w:fldChar w:fldCharType="end"/>
      </w:r>
    </w:p>
    <w:p w14:paraId="18160394">
      <w:pPr>
        <w:pStyle w:val="23"/>
        <w:tabs>
          <w:tab w:val="right" w:leader="dot" w:pos="8312"/>
        </w:tabs>
        <w:rPr>
          <w:rFonts w:eastAsia="黑体"/>
          <w:sz w:val="28"/>
        </w:rPr>
      </w:pPr>
      <w:r>
        <w:rPr>
          <w:rFonts w:eastAsia="黑体"/>
          <w:sz w:val="28"/>
        </w:rPr>
        <w:fldChar w:fldCharType="begin"/>
      </w:r>
      <w:r>
        <w:rPr>
          <w:rFonts w:eastAsia="黑体"/>
          <w:sz w:val="28"/>
        </w:rPr>
        <w:instrText xml:space="preserve"> HYPERLINK \l _Toc17611 </w:instrText>
      </w:r>
      <w:r>
        <w:rPr>
          <w:rFonts w:eastAsia="黑体"/>
          <w:sz w:val="28"/>
        </w:rPr>
        <w:fldChar w:fldCharType="separate"/>
      </w:r>
      <w:r>
        <w:rPr>
          <w:rFonts w:eastAsia="黑体"/>
          <w:bCs w:val="0"/>
          <w:kern w:val="0"/>
          <w:sz w:val="28"/>
        </w:rPr>
        <w:t>第</w:t>
      </w:r>
      <w:r>
        <w:rPr>
          <w:rFonts w:hint="eastAsia" w:eastAsia="黑体"/>
          <w:bCs w:val="0"/>
          <w:kern w:val="0"/>
          <w:sz w:val="28"/>
          <w:lang w:val="en-US" w:eastAsia="zh-CN"/>
        </w:rPr>
        <w:t>二</w:t>
      </w:r>
      <w:r>
        <w:rPr>
          <w:rFonts w:eastAsia="黑体"/>
          <w:bCs w:val="0"/>
          <w:kern w:val="0"/>
          <w:sz w:val="28"/>
        </w:rPr>
        <w:t>节 主体功能区传导</w:t>
      </w:r>
      <w:r>
        <w:rPr>
          <w:rFonts w:eastAsia="黑体"/>
          <w:sz w:val="28"/>
        </w:rPr>
        <w:tab/>
      </w:r>
      <w:r>
        <w:rPr>
          <w:rFonts w:eastAsia="黑体"/>
          <w:sz w:val="28"/>
        </w:rPr>
        <w:fldChar w:fldCharType="begin"/>
      </w:r>
      <w:r>
        <w:rPr>
          <w:rFonts w:eastAsia="黑体"/>
          <w:sz w:val="28"/>
        </w:rPr>
        <w:instrText xml:space="preserve"> PAGEREF _Toc17611 \h </w:instrText>
      </w:r>
      <w:r>
        <w:rPr>
          <w:rFonts w:eastAsia="黑体"/>
          <w:sz w:val="28"/>
        </w:rPr>
        <w:fldChar w:fldCharType="separate"/>
      </w:r>
      <w:r>
        <w:rPr>
          <w:rFonts w:eastAsia="黑体"/>
          <w:sz w:val="28"/>
        </w:rPr>
        <w:t>11</w:t>
      </w:r>
      <w:r>
        <w:rPr>
          <w:rFonts w:eastAsia="黑体"/>
          <w:sz w:val="28"/>
        </w:rPr>
        <w:fldChar w:fldCharType="end"/>
      </w:r>
      <w:r>
        <w:rPr>
          <w:rFonts w:eastAsia="黑体"/>
          <w:sz w:val="28"/>
        </w:rPr>
        <w:fldChar w:fldCharType="end"/>
      </w:r>
    </w:p>
    <w:p w14:paraId="66786C76">
      <w:pPr>
        <w:pStyle w:val="23"/>
        <w:tabs>
          <w:tab w:val="right" w:leader="dot" w:pos="8312"/>
        </w:tabs>
        <w:rPr>
          <w:rFonts w:eastAsia="黑体"/>
          <w:sz w:val="28"/>
        </w:rPr>
      </w:pPr>
      <w:r>
        <w:rPr>
          <w:rFonts w:eastAsia="黑体"/>
          <w:sz w:val="28"/>
        </w:rPr>
        <w:fldChar w:fldCharType="begin"/>
      </w:r>
      <w:r>
        <w:rPr>
          <w:rFonts w:eastAsia="黑体"/>
          <w:sz w:val="28"/>
        </w:rPr>
        <w:instrText xml:space="preserve"> HYPERLINK \l _Toc32615 </w:instrText>
      </w:r>
      <w:r>
        <w:rPr>
          <w:rFonts w:eastAsia="黑体"/>
          <w:sz w:val="28"/>
        </w:rPr>
        <w:fldChar w:fldCharType="separate"/>
      </w:r>
      <w:r>
        <w:rPr>
          <w:rFonts w:eastAsia="黑体"/>
          <w:bCs w:val="0"/>
          <w:kern w:val="0"/>
          <w:sz w:val="28"/>
        </w:rPr>
        <w:t>第</w:t>
      </w:r>
      <w:r>
        <w:rPr>
          <w:rFonts w:hint="eastAsia" w:eastAsia="黑体"/>
          <w:bCs w:val="0"/>
          <w:kern w:val="0"/>
          <w:sz w:val="28"/>
          <w:lang w:val="en-US" w:eastAsia="zh-CN"/>
        </w:rPr>
        <w:t>三</w:t>
      </w:r>
      <w:r>
        <w:rPr>
          <w:rFonts w:eastAsia="黑体"/>
          <w:bCs w:val="0"/>
          <w:kern w:val="0"/>
          <w:sz w:val="28"/>
        </w:rPr>
        <w:t>节 总体空间格局</w:t>
      </w:r>
      <w:r>
        <w:rPr>
          <w:rFonts w:eastAsia="黑体"/>
          <w:sz w:val="28"/>
        </w:rPr>
        <w:tab/>
      </w:r>
      <w:r>
        <w:rPr>
          <w:rFonts w:eastAsia="黑体"/>
          <w:sz w:val="28"/>
        </w:rPr>
        <w:fldChar w:fldCharType="begin"/>
      </w:r>
      <w:r>
        <w:rPr>
          <w:rFonts w:eastAsia="黑体"/>
          <w:sz w:val="28"/>
        </w:rPr>
        <w:instrText xml:space="preserve"> PAGEREF _Toc32615 \h </w:instrText>
      </w:r>
      <w:r>
        <w:rPr>
          <w:rFonts w:eastAsia="黑体"/>
          <w:sz w:val="28"/>
        </w:rPr>
        <w:fldChar w:fldCharType="separate"/>
      </w:r>
      <w:r>
        <w:rPr>
          <w:rFonts w:eastAsia="黑体"/>
          <w:sz w:val="28"/>
        </w:rPr>
        <w:t>11</w:t>
      </w:r>
      <w:r>
        <w:rPr>
          <w:rFonts w:eastAsia="黑体"/>
          <w:sz w:val="28"/>
        </w:rPr>
        <w:fldChar w:fldCharType="end"/>
      </w:r>
      <w:r>
        <w:rPr>
          <w:rFonts w:eastAsia="黑体"/>
          <w:sz w:val="28"/>
        </w:rPr>
        <w:fldChar w:fldCharType="end"/>
      </w:r>
    </w:p>
    <w:p w14:paraId="6E0AF153">
      <w:pPr>
        <w:pStyle w:val="23"/>
        <w:tabs>
          <w:tab w:val="right" w:leader="dot" w:pos="8312"/>
        </w:tabs>
        <w:rPr>
          <w:rFonts w:eastAsia="黑体"/>
          <w:sz w:val="28"/>
        </w:rPr>
      </w:pPr>
      <w:r>
        <w:rPr>
          <w:rFonts w:eastAsia="黑体"/>
          <w:sz w:val="28"/>
        </w:rPr>
        <w:fldChar w:fldCharType="begin"/>
      </w:r>
      <w:r>
        <w:rPr>
          <w:rFonts w:eastAsia="黑体"/>
          <w:sz w:val="28"/>
        </w:rPr>
        <w:instrText xml:space="preserve"> HYPERLINK \l _Toc30974 </w:instrText>
      </w:r>
      <w:r>
        <w:rPr>
          <w:rFonts w:eastAsia="黑体"/>
          <w:sz w:val="28"/>
        </w:rPr>
        <w:fldChar w:fldCharType="separate"/>
      </w:r>
      <w:r>
        <w:rPr>
          <w:rFonts w:eastAsia="黑体"/>
          <w:bCs w:val="0"/>
          <w:kern w:val="0"/>
          <w:sz w:val="28"/>
        </w:rPr>
        <w:t>第</w:t>
      </w:r>
      <w:r>
        <w:rPr>
          <w:rFonts w:hint="eastAsia" w:eastAsia="黑体"/>
          <w:bCs w:val="0"/>
          <w:kern w:val="0"/>
          <w:sz w:val="28"/>
          <w:lang w:val="en-US" w:eastAsia="zh-CN"/>
        </w:rPr>
        <w:t>四</w:t>
      </w:r>
      <w:r>
        <w:rPr>
          <w:rFonts w:eastAsia="黑体"/>
          <w:bCs w:val="0"/>
          <w:kern w:val="0"/>
          <w:sz w:val="28"/>
        </w:rPr>
        <w:t>节 规划分区</w:t>
      </w:r>
      <w:r>
        <w:rPr>
          <w:rFonts w:eastAsia="黑体"/>
          <w:sz w:val="28"/>
        </w:rPr>
        <w:tab/>
      </w:r>
      <w:r>
        <w:rPr>
          <w:rFonts w:eastAsia="黑体"/>
          <w:sz w:val="28"/>
        </w:rPr>
        <w:fldChar w:fldCharType="begin"/>
      </w:r>
      <w:r>
        <w:rPr>
          <w:rFonts w:eastAsia="黑体"/>
          <w:sz w:val="28"/>
        </w:rPr>
        <w:instrText xml:space="preserve"> PAGEREF _Toc30974 \h </w:instrText>
      </w:r>
      <w:r>
        <w:rPr>
          <w:rFonts w:eastAsia="黑体"/>
          <w:sz w:val="28"/>
        </w:rPr>
        <w:fldChar w:fldCharType="separate"/>
      </w:r>
      <w:r>
        <w:rPr>
          <w:rFonts w:eastAsia="黑体"/>
          <w:sz w:val="28"/>
        </w:rPr>
        <w:t>12</w:t>
      </w:r>
      <w:r>
        <w:rPr>
          <w:rFonts w:eastAsia="黑体"/>
          <w:sz w:val="28"/>
        </w:rPr>
        <w:fldChar w:fldCharType="end"/>
      </w:r>
      <w:r>
        <w:rPr>
          <w:rFonts w:eastAsia="黑体"/>
          <w:sz w:val="28"/>
        </w:rPr>
        <w:fldChar w:fldCharType="end"/>
      </w:r>
    </w:p>
    <w:p w14:paraId="16A9063E">
      <w:pPr>
        <w:pStyle w:val="23"/>
        <w:tabs>
          <w:tab w:val="right" w:leader="dot" w:pos="8312"/>
        </w:tabs>
        <w:rPr>
          <w:rFonts w:eastAsia="黑体"/>
          <w:sz w:val="28"/>
        </w:rPr>
      </w:pPr>
      <w:r>
        <w:rPr>
          <w:rFonts w:eastAsia="黑体"/>
          <w:sz w:val="28"/>
        </w:rPr>
        <w:fldChar w:fldCharType="begin"/>
      </w:r>
      <w:r>
        <w:rPr>
          <w:rFonts w:eastAsia="黑体"/>
          <w:sz w:val="28"/>
        </w:rPr>
        <w:instrText xml:space="preserve"> HYPERLINK \l _Toc29734 </w:instrText>
      </w:r>
      <w:r>
        <w:rPr>
          <w:rFonts w:eastAsia="黑体"/>
          <w:sz w:val="28"/>
        </w:rPr>
        <w:fldChar w:fldCharType="separate"/>
      </w:r>
      <w:r>
        <w:rPr>
          <w:rFonts w:eastAsia="黑体"/>
          <w:bCs w:val="0"/>
          <w:kern w:val="0"/>
          <w:sz w:val="28"/>
        </w:rPr>
        <w:t>第</w:t>
      </w:r>
      <w:r>
        <w:rPr>
          <w:rFonts w:hint="eastAsia" w:eastAsia="黑体"/>
          <w:bCs w:val="0"/>
          <w:kern w:val="0"/>
          <w:sz w:val="28"/>
          <w:lang w:val="en-US" w:eastAsia="zh-CN"/>
        </w:rPr>
        <w:t>五</w:t>
      </w:r>
      <w:r>
        <w:rPr>
          <w:rFonts w:eastAsia="黑体"/>
          <w:bCs w:val="0"/>
          <w:kern w:val="0"/>
          <w:sz w:val="28"/>
        </w:rPr>
        <w:t>节 国土空间用地用途和结构调整</w:t>
      </w:r>
      <w:r>
        <w:rPr>
          <w:rFonts w:eastAsia="黑体"/>
          <w:sz w:val="28"/>
        </w:rPr>
        <w:tab/>
      </w:r>
      <w:r>
        <w:rPr>
          <w:rFonts w:eastAsia="黑体"/>
          <w:sz w:val="28"/>
        </w:rPr>
        <w:fldChar w:fldCharType="begin"/>
      </w:r>
      <w:r>
        <w:rPr>
          <w:rFonts w:eastAsia="黑体"/>
          <w:sz w:val="28"/>
        </w:rPr>
        <w:instrText xml:space="preserve"> PAGEREF _Toc29734 \h </w:instrText>
      </w:r>
      <w:r>
        <w:rPr>
          <w:rFonts w:eastAsia="黑体"/>
          <w:sz w:val="28"/>
        </w:rPr>
        <w:fldChar w:fldCharType="separate"/>
      </w:r>
      <w:r>
        <w:rPr>
          <w:rFonts w:eastAsia="黑体"/>
          <w:sz w:val="28"/>
        </w:rPr>
        <w:t>13</w:t>
      </w:r>
      <w:r>
        <w:rPr>
          <w:rFonts w:eastAsia="黑体"/>
          <w:sz w:val="28"/>
        </w:rPr>
        <w:fldChar w:fldCharType="end"/>
      </w:r>
      <w:r>
        <w:rPr>
          <w:rFonts w:eastAsia="黑体"/>
          <w:sz w:val="28"/>
        </w:rPr>
        <w:fldChar w:fldCharType="end"/>
      </w:r>
    </w:p>
    <w:p w14:paraId="4375EC85">
      <w:pPr>
        <w:pStyle w:val="20"/>
        <w:tabs>
          <w:tab w:val="right" w:leader="dot" w:pos="8312"/>
        </w:tabs>
        <w:rPr>
          <w:rFonts w:eastAsia="黑体"/>
          <w:sz w:val="28"/>
        </w:rPr>
      </w:pPr>
      <w:r>
        <w:rPr>
          <w:rFonts w:eastAsia="黑体"/>
          <w:sz w:val="28"/>
        </w:rPr>
        <w:fldChar w:fldCharType="begin"/>
      </w:r>
      <w:r>
        <w:rPr>
          <w:rFonts w:eastAsia="黑体"/>
          <w:sz w:val="28"/>
        </w:rPr>
        <w:instrText xml:space="preserve"> HYPERLINK \l _Toc24149 </w:instrText>
      </w:r>
      <w:r>
        <w:rPr>
          <w:rFonts w:eastAsia="黑体"/>
          <w:sz w:val="28"/>
        </w:rPr>
        <w:fldChar w:fldCharType="separate"/>
      </w:r>
      <w:r>
        <w:rPr>
          <w:rFonts w:eastAsia="黑体"/>
          <w:bCs w:val="0"/>
          <w:kern w:val="2"/>
          <w:sz w:val="28"/>
          <w:szCs w:val="36"/>
        </w:rPr>
        <w:t>第五章 空间布局优化</w:t>
      </w:r>
      <w:r>
        <w:rPr>
          <w:rFonts w:eastAsia="黑体"/>
          <w:sz w:val="28"/>
        </w:rPr>
        <w:tab/>
      </w:r>
      <w:r>
        <w:rPr>
          <w:rFonts w:eastAsia="黑体"/>
          <w:sz w:val="28"/>
        </w:rPr>
        <w:fldChar w:fldCharType="begin"/>
      </w:r>
      <w:r>
        <w:rPr>
          <w:rFonts w:eastAsia="黑体"/>
          <w:sz w:val="28"/>
        </w:rPr>
        <w:instrText xml:space="preserve"> PAGEREF _Toc24149 \h </w:instrText>
      </w:r>
      <w:r>
        <w:rPr>
          <w:rFonts w:eastAsia="黑体"/>
          <w:sz w:val="28"/>
        </w:rPr>
        <w:fldChar w:fldCharType="separate"/>
      </w:r>
      <w:r>
        <w:rPr>
          <w:rFonts w:eastAsia="黑体"/>
          <w:sz w:val="28"/>
        </w:rPr>
        <w:t>14</w:t>
      </w:r>
      <w:r>
        <w:rPr>
          <w:rFonts w:eastAsia="黑体"/>
          <w:sz w:val="28"/>
        </w:rPr>
        <w:fldChar w:fldCharType="end"/>
      </w:r>
      <w:r>
        <w:rPr>
          <w:rFonts w:eastAsia="黑体"/>
          <w:sz w:val="28"/>
        </w:rPr>
        <w:fldChar w:fldCharType="end"/>
      </w:r>
    </w:p>
    <w:p w14:paraId="164EFD98">
      <w:pPr>
        <w:pStyle w:val="23"/>
        <w:tabs>
          <w:tab w:val="right" w:leader="dot" w:pos="8312"/>
        </w:tabs>
        <w:rPr>
          <w:rFonts w:eastAsia="黑体"/>
          <w:sz w:val="28"/>
        </w:rPr>
      </w:pPr>
      <w:r>
        <w:rPr>
          <w:rFonts w:eastAsia="黑体"/>
          <w:sz w:val="28"/>
        </w:rPr>
        <w:fldChar w:fldCharType="begin"/>
      </w:r>
      <w:r>
        <w:rPr>
          <w:rFonts w:eastAsia="黑体"/>
          <w:sz w:val="28"/>
        </w:rPr>
        <w:instrText xml:space="preserve"> HYPERLINK \l _Toc4742 </w:instrText>
      </w:r>
      <w:r>
        <w:rPr>
          <w:rFonts w:eastAsia="黑体"/>
          <w:sz w:val="28"/>
        </w:rPr>
        <w:fldChar w:fldCharType="separate"/>
      </w:r>
      <w:r>
        <w:rPr>
          <w:rFonts w:eastAsia="黑体"/>
          <w:bCs w:val="0"/>
          <w:kern w:val="0"/>
          <w:sz w:val="28"/>
        </w:rPr>
        <w:t>第一节 农业生产空间</w:t>
      </w:r>
      <w:r>
        <w:rPr>
          <w:rFonts w:eastAsia="黑体"/>
          <w:sz w:val="28"/>
        </w:rPr>
        <w:tab/>
      </w:r>
      <w:r>
        <w:rPr>
          <w:rFonts w:eastAsia="黑体"/>
          <w:sz w:val="28"/>
        </w:rPr>
        <w:fldChar w:fldCharType="begin"/>
      </w:r>
      <w:r>
        <w:rPr>
          <w:rFonts w:eastAsia="黑体"/>
          <w:sz w:val="28"/>
        </w:rPr>
        <w:instrText xml:space="preserve"> PAGEREF _Toc4742 \h </w:instrText>
      </w:r>
      <w:r>
        <w:rPr>
          <w:rFonts w:eastAsia="黑体"/>
          <w:sz w:val="28"/>
        </w:rPr>
        <w:fldChar w:fldCharType="separate"/>
      </w:r>
      <w:r>
        <w:rPr>
          <w:rFonts w:eastAsia="黑体"/>
          <w:sz w:val="28"/>
        </w:rPr>
        <w:t>14</w:t>
      </w:r>
      <w:r>
        <w:rPr>
          <w:rFonts w:eastAsia="黑体"/>
          <w:sz w:val="28"/>
        </w:rPr>
        <w:fldChar w:fldCharType="end"/>
      </w:r>
      <w:r>
        <w:rPr>
          <w:rFonts w:eastAsia="黑体"/>
          <w:sz w:val="28"/>
        </w:rPr>
        <w:fldChar w:fldCharType="end"/>
      </w:r>
    </w:p>
    <w:p w14:paraId="335F94CF">
      <w:pPr>
        <w:pStyle w:val="23"/>
        <w:tabs>
          <w:tab w:val="right" w:leader="dot" w:pos="8312"/>
        </w:tabs>
        <w:rPr>
          <w:rFonts w:eastAsia="黑体"/>
          <w:sz w:val="28"/>
        </w:rPr>
      </w:pPr>
      <w:r>
        <w:rPr>
          <w:rFonts w:eastAsia="黑体"/>
          <w:sz w:val="28"/>
        </w:rPr>
        <w:fldChar w:fldCharType="begin"/>
      </w:r>
      <w:r>
        <w:rPr>
          <w:rFonts w:eastAsia="黑体"/>
          <w:sz w:val="28"/>
        </w:rPr>
        <w:instrText xml:space="preserve"> HYPERLINK \l _Toc19622 </w:instrText>
      </w:r>
      <w:r>
        <w:rPr>
          <w:rFonts w:eastAsia="黑体"/>
          <w:sz w:val="28"/>
        </w:rPr>
        <w:fldChar w:fldCharType="separate"/>
      </w:r>
      <w:r>
        <w:rPr>
          <w:rFonts w:eastAsia="黑体"/>
          <w:bCs w:val="0"/>
          <w:kern w:val="0"/>
          <w:sz w:val="28"/>
        </w:rPr>
        <w:t>第二节 生态功能空间</w:t>
      </w:r>
      <w:r>
        <w:rPr>
          <w:rFonts w:eastAsia="黑体"/>
          <w:sz w:val="28"/>
        </w:rPr>
        <w:tab/>
      </w:r>
      <w:r>
        <w:rPr>
          <w:rFonts w:eastAsia="黑体"/>
          <w:sz w:val="28"/>
        </w:rPr>
        <w:fldChar w:fldCharType="begin"/>
      </w:r>
      <w:r>
        <w:rPr>
          <w:rFonts w:eastAsia="黑体"/>
          <w:sz w:val="28"/>
        </w:rPr>
        <w:instrText xml:space="preserve"> PAGEREF _Toc19622 \h </w:instrText>
      </w:r>
      <w:r>
        <w:rPr>
          <w:rFonts w:eastAsia="黑体"/>
          <w:sz w:val="28"/>
        </w:rPr>
        <w:fldChar w:fldCharType="separate"/>
      </w:r>
      <w:r>
        <w:rPr>
          <w:rFonts w:eastAsia="黑体"/>
          <w:sz w:val="28"/>
        </w:rPr>
        <w:t>17</w:t>
      </w:r>
      <w:r>
        <w:rPr>
          <w:rFonts w:eastAsia="黑体"/>
          <w:sz w:val="28"/>
        </w:rPr>
        <w:fldChar w:fldCharType="end"/>
      </w:r>
      <w:r>
        <w:rPr>
          <w:rFonts w:eastAsia="黑体"/>
          <w:sz w:val="28"/>
        </w:rPr>
        <w:fldChar w:fldCharType="end"/>
      </w:r>
    </w:p>
    <w:p w14:paraId="3D22CBD7">
      <w:pPr>
        <w:pStyle w:val="23"/>
        <w:tabs>
          <w:tab w:val="right" w:leader="dot" w:pos="8312"/>
        </w:tabs>
        <w:rPr>
          <w:rFonts w:eastAsia="黑体"/>
          <w:sz w:val="28"/>
        </w:rPr>
      </w:pPr>
      <w:r>
        <w:rPr>
          <w:rFonts w:eastAsia="黑体"/>
          <w:sz w:val="28"/>
        </w:rPr>
        <w:fldChar w:fldCharType="begin"/>
      </w:r>
      <w:r>
        <w:rPr>
          <w:rFonts w:eastAsia="黑体"/>
          <w:sz w:val="28"/>
        </w:rPr>
        <w:instrText xml:space="preserve"> HYPERLINK \l _Toc19805 </w:instrText>
      </w:r>
      <w:r>
        <w:rPr>
          <w:rFonts w:eastAsia="黑体"/>
          <w:sz w:val="28"/>
        </w:rPr>
        <w:fldChar w:fldCharType="separate"/>
      </w:r>
      <w:r>
        <w:rPr>
          <w:rFonts w:eastAsia="黑体"/>
          <w:bCs w:val="0"/>
          <w:kern w:val="0"/>
          <w:sz w:val="28"/>
        </w:rPr>
        <w:t>第三节 城乡建设空间</w:t>
      </w:r>
      <w:r>
        <w:rPr>
          <w:rFonts w:eastAsia="黑体"/>
          <w:sz w:val="28"/>
        </w:rPr>
        <w:tab/>
      </w:r>
      <w:r>
        <w:rPr>
          <w:rFonts w:eastAsia="黑体"/>
          <w:sz w:val="28"/>
        </w:rPr>
        <w:fldChar w:fldCharType="begin"/>
      </w:r>
      <w:r>
        <w:rPr>
          <w:rFonts w:eastAsia="黑体"/>
          <w:sz w:val="28"/>
        </w:rPr>
        <w:instrText xml:space="preserve"> PAGEREF _Toc19805 \h </w:instrText>
      </w:r>
      <w:r>
        <w:rPr>
          <w:rFonts w:eastAsia="黑体"/>
          <w:sz w:val="28"/>
        </w:rPr>
        <w:fldChar w:fldCharType="separate"/>
      </w:r>
      <w:r>
        <w:rPr>
          <w:rFonts w:eastAsia="黑体"/>
          <w:sz w:val="28"/>
        </w:rPr>
        <w:t>21</w:t>
      </w:r>
      <w:r>
        <w:rPr>
          <w:rFonts w:eastAsia="黑体"/>
          <w:sz w:val="28"/>
        </w:rPr>
        <w:fldChar w:fldCharType="end"/>
      </w:r>
      <w:r>
        <w:rPr>
          <w:rFonts w:eastAsia="黑体"/>
          <w:sz w:val="28"/>
        </w:rPr>
        <w:fldChar w:fldCharType="end"/>
      </w:r>
    </w:p>
    <w:p w14:paraId="201C8042">
      <w:pPr>
        <w:pStyle w:val="23"/>
        <w:tabs>
          <w:tab w:val="right" w:leader="dot" w:pos="8312"/>
        </w:tabs>
        <w:rPr>
          <w:rFonts w:eastAsia="黑体"/>
          <w:sz w:val="28"/>
        </w:rPr>
      </w:pPr>
      <w:r>
        <w:rPr>
          <w:rFonts w:eastAsia="黑体"/>
          <w:sz w:val="28"/>
        </w:rPr>
        <w:fldChar w:fldCharType="begin"/>
      </w:r>
      <w:r>
        <w:rPr>
          <w:rFonts w:eastAsia="黑体"/>
          <w:sz w:val="28"/>
        </w:rPr>
        <w:instrText xml:space="preserve"> HYPERLINK \l _Toc25698 </w:instrText>
      </w:r>
      <w:r>
        <w:rPr>
          <w:rFonts w:eastAsia="黑体"/>
          <w:sz w:val="28"/>
        </w:rPr>
        <w:fldChar w:fldCharType="separate"/>
      </w:r>
      <w:r>
        <w:rPr>
          <w:rFonts w:eastAsia="黑体"/>
          <w:bCs w:val="0"/>
          <w:kern w:val="0"/>
          <w:sz w:val="28"/>
        </w:rPr>
        <w:t>第四节 地下空间</w:t>
      </w:r>
      <w:r>
        <w:rPr>
          <w:rFonts w:eastAsia="黑体"/>
          <w:sz w:val="28"/>
        </w:rPr>
        <w:tab/>
      </w:r>
      <w:r>
        <w:rPr>
          <w:rFonts w:eastAsia="黑体"/>
          <w:sz w:val="28"/>
        </w:rPr>
        <w:fldChar w:fldCharType="begin"/>
      </w:r>
      <w:r>
        <w:rPr>
          <w:rFonts w:eastAsia="黑体"/>
          <w:sz w:val="28"/>
        </w:rPr>
        <w:instrText xml:space="preserve"> PAGEREF _Toc25698 \h </w:instrText>
      </w:r>
      <w:r>
        <w:rPr>
          <w:rFonts w:eastAsia="黑体"/>
          <w:sz w:val="28"/>
        </w:rPr>
        <w:fldChar w:fldCharType="separate"/>
      </w:r>
      <w:r>
        <w:rPr>
          <w:rFonts w:eastAsia="黑体"/>
          <w:sz w:val="28"/>
        </w:rPr>
        <w:t>24</w:t>
      </w:r>
      <w:r>
        <w:rPr>
          <w:rFonts w:eastAsia="黑体"/>
          <w:sz w:val="28"/>
        </w:rPr>
        <w:fldChar w:fldCharType="end"/>
      </w:r>
      <w:r>
        <w:rPr>
          <w:rFonts w:eastAsia="黑体"/>
          <w:sz w:val="28"/>
        </w:rPr>
        <w:fldChar w:fldCharType="end"/>
      </w:r>
    </w:p>
    <w:p w14:paraId="3B610006">
      <w:pPr>
        <w:pStyle w:val="20"/>
        <w:tabs>
          <w:tab w:val="right" w:leader="dot" w:pos="8312"/>
        </w:tabs>
        <w:rPr>
          <w:rFonts w:eastAsia="黑体"/>
          <w:sz w:val="28"/>
        </w:rPr>
      </w:pPr>
      <w:r>
        <w:rPr>
          <w:rFonts w:eastAsia="黑体"/>
          <w:sz w:val="28"/>
        </w:rPr>
        <w:fldChar w:fldCharType="begin"/>
      </w:r>
      <w:r>
        <w:rPr>
          <w:rFonts w:eastAsia="黑体"/>
          <w:sz w:val="28"/>
        </w:rPr>
        <w:instrText xml:space="preserve"> HYPERLINK \l _Toc8322 </w:instrText>
      </w:r>
      <w:r>
        <w:rPr>
          <w:rFonts w:eastAsia="黑体"/>
          <w:sz w:val="28"/>
        </w:rPr>
        <w:fldChar w:fldCharType="separate"/>
      </w:r>
      <w:r>
        <w:rPr>
          <w:rFonts w:eastAsia="黑体"/>
          <w:bCs w:val="0"/>
          <w:kern w:val="2"/>
          <w:sz w:val="28"/>
          <w:szCs w:val="36"/>
        </w:rPr>
        <w:t>第六章 镇政府驻地用地布局</w:t>
      </w:r>
      <w:r>
        <w:rPr>
          <w:rFonts w:eastAsia="黑体"/>
          <w:sz w:val="28"/>
        </w:rPr>
        <w:tab/>
      </w:r>
      <w:r>
        <w:rPr>
          <w:rFonts w:eastAsia="黑体"/>
          <w:sz w:val="28"/>
        </w:rPr>
        <w:fldChar w:fldCharType="begin"/>
      </w:r>
      <w:r>
        <w:rPr>
          <w:rFonts w:eastAsia="黑体"/>
          <w:sz w:val="28"/>
        </w:rPr>
        <w:instrText xml:space="preserve"> PAGEREF _Toc8322 \h </w:instrText>
      </w:r>
      <w:r>
        <w:rPr>
          <w:rFonts w:eastAsia="黑体"/>
          <w:sz w:val="28"/>
        </w:rPr>
        <w:fldChar w:fldCharType="separate"/>
      </w:r>
      <w:r>
        <w:rPr>
          <w:rFonts w:eastAsia="黑体"/>
          <w:sz w:val="28"/>
        </w:rPr>
        <w:t>25</w:t>
      </w:r>
      <w:r>
        <w:rPr>
          <w:rFonts w:eastAsia="黑体"/>
          <w:sz w:val="28"/>
        </w:rPr>
        <w:fldChar w:fldCharType="end"/>
      </w:r>
      <w:r>
        <w:rPr>
          <w:rFonts w:eastAsia="黑体"/>
          <w:sz w:val="28"/>
        </w:rPr>
        <w:fldChar w:fldCharType="end"/>
      </w:r>
    </w:p>
    <w:p w14:paraId="11104B01">
      <w:pPr>
        <w:pStyle w:val="23"/>
        <w:tabs>
          <w:tab w:val="right" w:leader="dot" w:pos="8312"/>
        </w:tabs>
        <w:rPr>
          <w:rFonts w:eastAsia="黑体"/>
          <w:sz w:val="28"/>
        </w:rPr>
      </w:pPr>
      <w:r>
        <w:rPr>
          <w:rFonts w:eastAsia="黑体"/>
          <w:sz w:val="28"/>
        </w:rPr>
        <w:fldChar w:fldCharType="begin"/>
      </w:r>
      <w:r>
        <w:rPr>
          <w:rFonts w:eastAsia="黑体"/>
          <w:sz w:val="28"/>
        </w:rPr>
        <w:instrText xml:space="preserve"> HYPERLINK \l _Toc17033 </w:instrText>
      </w:r>
      <w:r>
        <w:rPr>
          <w:rFonts w:eastAsia="黑体"/>
          <w:sz w:val="28"/>
        </w:rPr>
        <w:fldChar w:fldCharType="separate"/>
      </w:r>
      <w:r>
        <w:rPr>
          <w:rFonts w:eastAsia="黑体"/>
          <w:bCs w:val="0"/>
          <w:kern w:val="0"/>
          <w:sz w:val="28"/>
        </w:rPr>
        <w:t>第一节 用地结构和布局</w:t>
      </w:r>
      <w:r>
        <w:rPr>
          <w:rFonts w:eastAsia="黑体"/>
          <w:sz w:val="28"/>
        </w:rPr>
        <w:tab/>
      </w:r>
      <w:r>
        <w:rPr>
          <w:rFonts w:eastAsia="黑体"/>
          <w:sz w:val="28"/>
        </w:rPr>
        <w:fldChar w:fldCharType="begin"/>
      </w:r>
      <w:r>
        <w:rPr>
          <w:rFonts w:eastAsia="黑体"/>
          <w:sz w:val="28"/>
        </w:rPr>
        <w:instrText xml:space="preserve"> PAGEREF _Toc17033 \h </w:instrText>
      </w:r>
      <w:r>
        <w:rPr>
          <w:rFonts w:eastAsia="黑体"/>
          <w:sz w:val="28"/>
        </w:rPr>
        <w:fldChar w:fldCharType="separate"/>
      </w:r>
      <w:r>
        <w:rPr>
          <w:rFonts w:eastAsia="黑体"/>
          <w:sz w:val="28"/>
        </w:rPr>
        <w:t>25</w:t>
      </w:r>
      <w:r>
        <w:rPr>
          <w:rFonts w:eastAsia="黑体"/>
          <w:sz w:val="28"/>
        </w:rPr>
        <w:fldChar w:fldCharType="end"/>
      </w:r>
      <w:r>
        <w:rPr>
          <w:rFonts w:eastAsia="黑体"/>
          <w:sz w:val="28"/>
        </w:rPr>
        <w:fldChar w:fldCharType="end"/>
      </w:r>
    </w:p>
    <w:p w14:paraId="555A0608">
      <w:pPr>
        <w:pStyle w:val="23"/>
        <w:tabs>
          <w:tab w:val="right" w:leader="dot" w:pos="8312"/>
        </w:tabs>
        <w:rPr>
          <w:rFonts w:eastAsia="黑体"/>
          <w:sz w:val="28"/>
        </w:rPr>
      </w:pPr>
      <w:r>
        <w:rPr>
          <w:rFonts w:eastAsia="黑体"/>
          <w:sz w:val="28"/>
        </w:rPr>
        <w:fldChar w:fldCharType="begin"/>
      </w:r>
      <w:r>
        <w:rPr>
          <w:rFonts w:eastAsia="黑体"/>
          <w:sz w:val="28"/>
        </w:rPr>
        <w:instrText xml:space="preserve"> HYPERLINK \l _Toc2928 </w:instrText>
      </w:r>
      <w:r>
        <w:rPr>
          <w:rFonts w:eastAsia="黑体"/>
          <w:sz w:val="28"/>
        </w:rPr>
        <w:fldChar w:fldCharType="separate"/>
      </w:r>
      <w:r>
        <w:rPr>
          <w:rFonts w:eastAsia="黑体"/>
          <w:bCs w:val="0"/>
          <w:kern w:val="0"/>
          <w:sz w:val="28"/>
        </w:rPr>
        <w:t>第二节 公共服务空间布局</w:t>
      </w:r>
      <w:r>
        <w:rPr>
          <w:rFonts w:eastAsia="黑体"/>
          <w:sz w:val="28"/>
        </w:rPr>
        <w:tab/>
      </w:r>
      <w:r>
        <w:rPr>
          <w:rFonts w:eastAsia="黑体"/>
          <w:sz w:val="28"/>
        </w:rPr>
        <w:fldChar w:fldCharType="begin"/>
      </w:r>
      <w:r>
        <w:rPr>
          <w:rFonts w:eastAsia="黑体"/>
          <w:sz w:val="28"/>
        </w:rPr>
        <w:instrText xml:space="preserve"> PAGEREF _Toc2928 \h </w:instrText>
      </w:r>
      <w:r>
        <w:rPr>
          <w:rFonts w:eastAsia="黑体"/>
          <w:sz w:val="28"/>
        </w:rPr>
        <w:fldChar w:fldCharType="separate"/>
      </w:r>
      <w:r>
        <w:rPr>
          <w:rFonts w:eastAsia="黑体"/>
          <w:sz w:val="28"/>
        </w:rPr>
        <w:t>25</w:t>
      </w:r>
      <w:r>
        <w:rPr>
          <w:rFonts w:eastAsia="黑体"/>
          <w:sz w:val="28"/>
        </w:rPr>
        <w:fldChar w:fldCharType="end"/>
      </w:r>
      <w:r>
        <w:rPr>
          <w:rFonts w:eastAsia="黑体"/>
          <w:sz w:val="28"/>
        </w:rPr>
        <w:fldChar w:fldCharType="end"/>
      </w:r>
    </w:p>
    <w:p w14:paraId="0B847D42">
      <w:pPr>
        <w:pStyle w:val="23"/>
        <w:tabs>
          <w:tab w:val="right" w:leader="dot" w:pos="8312"/>
        </w:tabs>
        <w:rPr>
          <w:rFonts w:eastAsia="黑体"/>
          <w:sz w:val="28"/>
        </w:rPr>
      </w:pPr>
      <w:r>
        <w:rPr>
          <w:rFonts w:eastAsia="黑体"/>
          <w:sz w:val="28"/>
        </w:rPr>
        <w:fldChar w:fldCharType="begin"/>
      </w:r>
      <w:r>
        <w:rPr>
          <w:rFonts w:eastAsia="黑体"/>
          <w:sz w:val="28"/>
        </w:rPr>
        <w:instrText xml:space="preserve"> HYPERLINK \l _Toc19769 </w:instrText>
      </w:r>
      <w:r>
        <w:rPr>
          <w:rFonts w:eastAsia="黑体"/>
          <w:sz w:val="28"/>
        </w:rPr>
        <w:fldChar w:fldCharType="separate"/>
      </w:r>
      <w:r>
        <w:rPr>
          <w:rFonts w:eastAsia="黑体"/>
          <w:bCs w:val="0"/>
          <w:kern w:val="0"/>
          <w:sz w:val="28"/>
        </w:rPr>
        <w:t>第三节 居住空间布局</w:t>
      </w:r>
      <w:r>
        <w:rPr>
          <w:rFonts w:eastAsia="黑体"/>
          <w:sz w:val="28"/>
        </w:rPr>
        <w:tab/>
      </w:r>
      <w:r>
        <w:rPr>
          <w:rFonts w:eastAsia="黑体"/>
          <w:sz w:val="28"/>
        </w:rPr>
        <w:fldChar w:fldCharType="begin"/>
      </w:r>
      <w:r>
        <w:rPr>
          <w:rFonts w:eastAsia="黑体"/>
          <w:sz w:val="28"/>
        </w:rPr>
        <w:instrText xml:space="preserve"> PAGEREF _Toc19769 \h </w:instrText>
      </w:r>
      <w:r>
        <w:rPr>
          <w:rFonts w:eastAsia="黑体"/>
          <w:sz w:val="28"/>
        </w:rPr>
        <w:fldChar w:fldCharType="separate"/>
      </w:r>
      <w:r>
        <w:rPr>
          <w:rFonts w:eastAsia="黑体"/>
          <w:sz w:val="28"/>
        </w:rPr>
        <w:t>25</w:t>
      </w:r>
      <w:r>
        <w:rPr>
          <w:rFonts w:eastAsia="黑体"/>
          <w:sz w:val="28"/>
        </w:rPr>
        <w:fldChar w:fldCharType="end"/>
      </w:r>
      <w:r>
        <w:rPr>
          <w:rFonts w:eastAsia="黑体"/>
          <w:sz w:val="28"/>
        </w:rPr>
        <w:fldChar w:fldCharType="end"/>
      </w:r>
    </w:p>
    <w:p w14:paraId="258452F7">
      <w:pPr>
        <w:pStyle w:val="23"/>
        <w:tabs>
          <w:tab w:val="right" w:leader="dot" w:pos="8312"/>
        </w:tabs>
        <w:rPr>
          <w:rFonts w:eastAsia="黑体"/>
          <w:sz w:val="28"/>
        </w:rPr>
      </w:pPr>
      <w:r>
        <w:rPr>
          <w:rFonts w:eastAsia="黑体"/>
          <w:sz w:val="28"/>
        </w:rPr>
        <w:fldChar w:fldCharType="begin"/>
      </w:r>
      <w:r>
        <w:rPr>
          <w:rFonts w:eastAsia="黑体"/>
          <w:sz w:val="28"/>
        </w:rPr>
        <w:instrText xml:space="preserve"> HYPERLINK \l _Toc30230 </w:instrText>
      </w:r>
      <w:r>
        <w:rPr>
          <w:rFonts w:eastAsia="黑体"/>
          <w:sz w:val="28"/>
        </w:rPr>
        <w:fldChar w:fldCharType="separate"/>
      </w:r>
      <w:r>
        <w:rPr>
          <w:rFonts w:eastAsia="黑体"/>
          <w:bCs w:val="0"/>
          <w:kern w:val="0"/>
          <w:sz w:val="28"/>
        </w:rPr>
        <w:t>第四节 绿地与开敞空间布局</w:t>
      </w:r>
      <w:r>
        <w:rPr>
          <w:rFonts w:eastAsia="黑体"/>
          <w:sz w:val="28"/>
        </w:rPr>
        <w:tab/>
      </w:r>
      <w:r>
        <w:rPr>
          <w:rFonts w:eastAsia="黑体"/>
          <w:sz w:val="28"/>
        </w:rPr>
        <w:fldChar w:fldCharType="begin"/>
      </w:r>
      <w:r>
        <w:rPr>
          <w:rFonts w:eastAsia="黑体"/>
          <w:sz w:val="28"/>
        </w:rPr>
        <w:instrText xml:space="preserve"> PAGEREF _Toc30230 \h </w:instrText>
      </w:r>
      <w:r>
        <w:rPr>
          <w:rFonts w:eastAsia="黑体"/>
          <w:sz w:val="28"/>
        </w:rPr>
        <w:fldChar w:fldCharType="separate"/>
      </w:r>
      <w:r>
        <w:rPr>
          <w:rFonts w:eastAsia="黑体"/>
          <w:sz w:val="28"/>
        </w:rPr>
        <w:t>27</w:t>
      </w:r>
      <w:r>
        <w:rPr>
          <w:rFonts w:eastAsia="黑体"/>
          <w:sz w:val="28"/>
        </w:rPr>
        <w:fldChar w:fldCharType="end"/>
      </w:r>
      <w:r>
        <w:rPr>
          <w:rFonts w:eastAsia="黑体"/>
          <w:sz w:val="28"/>
        </w:rPr>
        <w:fldChar w:fldCharType="end"/>
      </w:r>
    </w:p>
    <w:p w14:paraId="2E2FFC76">
      <w:pPr>
        <w:pStyle w:val="23"/>
        <w:tabs>
          <w:tab w:val="right" w:leader="dot" w:pos="8312"/>
        </w:tabs>
        <w:rPr>
          <w:rFonts w:eastAsia="黑体"/>
          <w:sz w:val="28"/>
        </w:rPr>
      </w:pPr>
      <w:r>
        <w:rPr>
          <w:rFonts w:eastAsia="黑体"/>
          <w:sz w:val="28"/>
        </w:rPr>
        <w:fldChar w:fldCharType="begin"/>
      </w:r>
      <w:r>
        <w:rPr>
          <w:rFonts w:eastAsia="黑体"/>
          <w:sz w:val="28"/>
        </w:rPr>
        <w:instrText xml:space="preserve"> HYPERLINK \l _Toc9667 </w:instrText>
      </w:r>
      <w:r>
        <w:rPr>
          <w:rFonts w:eastAsia="黑体"/>
          <w:sz w:val="28"/>
        </w:rPr>
        <w:fldChar w:fldCharType="separate"/>
      </w:r>
      <w:r>
        <w:rPr>
          <w:rFonts w:eastAsia="黑体"/>
          <w:bCs w:val="0"/>
          <w:kern w:val="0"/>
          <w:sz w:val="28"/>
        </w:rPr>
        <w:t>第</w:t>
      </w:r>
      <w:r>
        <w:rPr>
          <w:rFonts w:hint="eastAsia" w:eastAsia="黑体"/>
          <w:bCs w:val="0"/>
          <w:kern w:val="0"/>
          <w:sz w:val="28"/>
          <w:lang w:val="en-US" w:eastAsia="zh-CN"/>
        </w:rPr>
        <w:t>五</w:t>
      </w:r>
      <w:r>
        <w:rPr>
          <w:rFonts w:eastAsia="黑体"/>
          <w:bCs w:val="0"/>
          <w:kern w:val="0"/>
          <w:sz w:val="28"/>
        </w:rPr>
        <w:t>节 “四线管控”</w:t>
      </w:r>
      <w:r>
        <w:rPr>
          <w:rFonts w:eastAsia="黑体"/>
          <w:sz w:val="28"/>
        </w:rPr>
        <w:tab/>
      </w:r>
      <w:r>
        <w:rPr>
          <w:rFonts w:eastAsia="黑体"/>
          <w:sz w:val="28"/>
        </w:rPr>
        <w:fldChar w:fldCharType="begin"/>
      </w:r>
      <w:r>
        <w:rPr>
          <w:rFonts w:eastAsia="黑体"/>
          <w:sz w:val="28"/>
        </w:rPr>
        <w:instrText xml:space="preserve"> PAGEREF _Toc9667 \h </w:instrText>
      </w:r>
      <w:r>
        <w:rPr>
          <w:rFonts w:eastAsia="黑体"/>
          <w:sz w:val="28"/>
        </w:rPr>
        <w:fldChar w:fldCharType="separate"/>
      </w:r>
      <w:r>
        <w:rPr>
          <w:rFonts w:eastAsia="黑体"/>
          <w:sz w:val="28"/>
        </w:rPr>
        <w:t>27</w:t>
      </w:r>
      <w:r>
        <w:rPr>
          <w:rFonts w:eastAsia="黑体"/>
          <w:sz w:val="28"/>
        </w:rPr>
        <w:fldChar w:fldCharType="end"/>
      </w:r>
      <w:r>
        <w:rPr>
          <w:rFonts w:eastAsia="黑体"/>
          <w:sz w:val="28"/>
        </w:rPr>
        <w:fldChar w:fldCharType="end"/>
      </w:r>
    </w:p>
    <w:p w14:paraId="55426656">
      <w:pPr>
        <w:pStyle w:val="20"/>
        <w:tabs>
          <w:tab w:val="right" w:leader="dot" w:pos="8312"/>
        </w:tabs>
        <w:rPr>
          <w:rFonts w:eastAsia="黑体"/>
          <w:sz w:val="28"/>
        </w:rPr>
      </w:pPr>
      <w:r>
        <w:rPr>
          <w:rFonts w:eastAsia="黑体"/>
          <w:sz w:val="28"/>
        </w:rPr>
        <w:fldChar w:fldCharType="begin"/>
      </w:r>
      <w:r>
        <w:rPr>
          <w:rFonts w:eastAsia="黑体"/>
          <w:sz w:val="28"/>
        </w:rPr>
        <w:instrText xml:space="preserve"> HYPERLINK \l _Toc31001 </w:instrText>
      </w:r>
      <w:r>
        <w:rPr>
          <w:rFonts w:eastAsia="黑体"/>
          <w:sz w:val="28"/>
        </w:rPr>
        <w:fldChar w:fldCharType="separate"/>
      </w:r>
      <w:r>
        <w:rPr>
          <w:rFonts w:eastAsia="黑体"/>
          <w:bCs w:val="0"/>
          <w:kern w:val="2"/>
          <w:sz w:val="28"/>
          <w:szCs w:val="36"/>
        </w:rPr>
        <w:t>第七章 基础保障体系</w:t>
      </w:r>
      <w:r>
        <w:rPr>
          <w:rFonts w:eastAsia="黑体"/>
          <w:sz w:val="28"/>
        </w:rPr>
        <w:tab/>
      </w:r>
      <w:r>
        <w:rPr>
          <w:rFonts w:eastAsia="黑体"/>
          <w:sz w:val="28"/>
        </w:rPr>
        <w:fldChar w:fldCharType="begin"/>
      </w:r>
      <w:r>
        <w:rPr>
          <w:rFonts w:eastAsia="黑体"/>
          <w:sz w:val="28"/>
        </w:rPr>
        <w:instrText xml:space="preserve"> PAGEREF _Toc31001 \h </w:instrText>
      </w:r>
      <w:r>
        <w:rPr>
          <w:rFonts w:eastAsia="黑体"/>
          <w:sz w:val="28"/>
        </w:rPr>
        <w:fldChar w:fldCharType="separate"/>
      </w:r>
      <w:r>
        <w:rPr>
          <w:rFonts w:eastAsia="黑体"/>
          <w:sz w:val="28"/>
        </w:rPr>
        <w:t>29</w:t>
      </w:r>
      <w:r>
        <w:rPr>
          <w:rFonts w:eastAsia="黑体"/>
          <w:sz w:val="28"/>
        </w:rPr>
        <w:fldChar w:fldCharType="end"/>
      </w:r>
      <w:r>
        <w:rPr>
          <w:rFonts w:eastAsia="黑体"/>
          <w:sz w:val="28"/>
        </w:rPr>
        <w:fldChar w:fldCharType="end"/>
      </w:r>
    </w:p>
    <w:p w14:paraId="403E01DF">
      <w:pPr>
        <w:pStyle w:val="23"/>
        <w:tabs>
          <w:tab w:val="right" w:leader="dot" w:pos="8312"/>
        </w:tabs>
        <w:rPr>
          <w:rFonts w:eastAsia="黑体"/>
          <w:sz w:val="28"/>
        </w:rPr>
      </w:pPr>
      <w:r>
        <w:rPr>
          <w:rFonts w:eastAsia="黑体"/>
          <w:sz w:val="28"/>
        </w:rPr>
        <w:fldChar w:fldCharType="begin"/>
      </w:r>
      <w:r>
        <w:rPr>
          <w:rFonts w:eastAsia="黑体"/>
          <w:sz w:val="28"/>
        </w:rPr>
        <w:instrText xml:space="preserve"> HYPERLINK \l _Toc29810 </w:instrText>
      </w:r>
      <w:r>
        <w:rPr>
          <w:rFonts w:eastAsia="黑体"/>
          <w:sz w:val="28"/>
        </w:rPr>
        <w:fldChar w:fldCharType="separate"/>
      </w:r>
      <w:r>
        <w:rPr>
          <w:rFonts w:eastAsia="黑体"/>
          <w:bCs w:val="0"/>
          <w:kern w:val="0"/>
          <w:sz w:val="28"/>
        </w:rPr>
        <w:t>第一节 综合交通</w:t>
      </w:r>
      <w:r>
        <w:rPr>
          <w:rFonts w:hint="eastAsia" w:eastAsia="黑体"/>
          <w:bCs w:val="0"/>
          <w:kern w:val="0"/>
          <w:sz w:val="28"/>
        </w:rPr>
        <w:t>体系</w:t>
      </w:r>
      <w:r>
        <w:rPr>
          <w:rFonts w:eastAsia="黑体"/>
          <w:sz w:val="28"/>
        </w:rPr>
        <w:tab/>
      </w:r>
      <w:r>
        <w:rPr>
          <w:rFonts w:eastAsia="黑体"/>
          <w:sz w:val="28"/>
        </w:rPr>
        <w:fldChar w:fldCharType="begin"/>
      </w:r>
      <w:r>
        <w:rPr>
          <w:rFonts w:eastAsia="黑体"/>
          <w:sz w:val="28"/>
        </w:rPr>
        <w:instrText xml:space="preserve"> PAGEREF _Toc29810 \h </w:instrText>
      </w:r>
      <w:r>
        <w:rPr>
          <w:rFonts w:eastAsia="黑体"/>
          <w:sz w:val="28"/>
        </w:rPr>
        <w:fldChar w:fldCharType="separate"/>
      </w:r>
      <w:r>
        <w:rPr>
          <w:rFonts w:eastAsia="黑体"/>
          <w:sz w:val="28"/>
        </w:rPr>
        <w:t>29</w:t>
      </w:r>
      <w:r>
        <w:rPr>
          <w:rFonts w:eastAsia="黑体"/>
          <w:sz w:val="28"/>
        </w:rPr>
        <w:fldChar w:fldCharType="end"/>
      </w:r>
      <w:r>
        <w:rPr>
          <w:rFonts w:eastAsia="黑体"/>
          <w:sz w:val="28"/>
        </w:rPr>
        <w:fldChar w:fldCharType="end"/>
      </w:r>
    </w:p>
    <w:p w14:paraId="1B615DC7">
      <w:pPr>
        <w:pStyle w:val="23"/>
        <w:tabs>
          <w:tab w:val="right" w:leader="dot" w:pos="8312"/>
        </w:tabs>
        <w:rPr>
          <w:rFonts w:eastAsia="黑体"/>
          <w:sz w:val="28"/>
        </w:rPr>
      </w:pPr>
      <w:r>
        <w:rPr>
          <w:rFonts w:eastAsia="黑体"/>
          <w:sz w:val="28"/>
        </w:rPr>
        <w:fldChar w:fldCharType="begin"/>
      </w:r>
      <w:r>
        <w:rPr>
          <w:rFonts w:eastAsia="黑体"/>
          <w:sz w:val="28"/>
        </w:rPr>
        <w:instrText xml:space="preserve"> HYPERLINK \l _Toc3334 </w:instrText>
      </w:r>
      <w:r>
        <w:rPr>
          <w:rFonts w:eastAsia="黑体"/>
          <w:sz w:val="28"/>
        </w:rPr>
        <w:fldChar w:fldCharType="separate"/>
      </w:r>
      <w:r>
        <w:rPr>
          <w:rFonts w:eastAsia="黑体"/>
          <w:bCs w:val="0"/>
          <w:kern w:val="0"/>
          <w:sz w:val="28"/>
        </w:rPr>
        <w:t>第二节 公共服务设施</w:t>
      </w:r>
      <w:r>
        <w:rPr>
          <w:rFonts w:eastAsia="黑体"/>
          <w:sz w:val="28"/>
        </w:rPr>
        <w:tab/>
      </w:r>
      <w:r>
        <w:rPr>
          <w:rFonts w:eastAsia="黑体"/>
          <w:sz w:val="28"/>
        </w:rPr>
        <w:fldChar w:fldCharType="begin"/>
      </w:r>
      <w:r>
        <w:rPr>
          <w:rFonts w:eastAsia="黑体"/>
          <w:sz w:val="28"/>
        </w:rPr>
        <w:instrText xml:space="preserve"> PAGEREF _Toc3334 \h </w:instrText>
      </w:r>
      <w:r>
        <w:rPr>
          <w:rFonts w:eastAsia="黑体"/>
          <w:sz w:val="28"/>
        </w:rPr>
        <w:fldChar w:fldCharType="separate"/>
      </w:r>
      <w:r>
        <w:rPr>
          <w:rFonts w:eastAsia="黑体"/>
          <w:sz w:val="28"/>
        </w:rPr>
        <w:t>31</w:t>
      </w:r>
      <w:r>
        <w:rPr>
          <w:rFonts w:eastAsia="黑体"/>
          <w:sz w:val="28"/>
        </w:rPr>
        <w:fldChar w:fldCharType="end"/>
      </w:r>
      <w:r>
        <w:rPr>
          <w:rFonts w:eastAsia="黑体"/>
          <w:sz w:val="28"/>
        </w:rPr>
        <w:fldChar w:fldCharType="end"/>
      </w:r>
    </w:p>
    <w:p w14:paraId="1C806276">
      <w:pPr>
        <w:pStyle w:val="23"/>
        <w:tabs>
          <w:tab w:val="right" w:leader="dot" w:pos="8312"/>
        </w:tabs>
        <w:rPr>
          <w:rFonts w:eastAsia="黑体"/>
          <w:sz w:val="28"/>
        </w:rPr>
      </w:pPr>
      <w:r>
        <w:rPr>
          <w:rFonts w:eastAsia="黑体"/>
          <w:sz w:val="28"/>
        </w:rPr>
        <w:fldChar w:fldCharType="begin"/>
      </w:r>
      <w:r>
        <w:rPr>
          <w:rFonts w:eastAsia="黑体"/>
          <w:sz w:val="28"/>
        </w:rPr>
        <w:instrText xml:space="preserve"> HYPERLINK \l _Toc9054 </w:instrText>
      </w:r>
      <w:r>
        <w:rPr>
          <w:rFonts w:eastAsia="黑体"/>
          <w:sz w:val="28"/>
        </w:rPr>
        <w:fldChar w:fldCharType="separate"/>
      </w:r>
      <w:r>
        <w:rPr>
          <w:rFonts w:eastAsia="黑体"/>
          <w:bCs w:val="0"/>
          <w:kern w:val="0"/>
          <w:sz w:val="28"/>
        </w:rPr>
        <w:t>第三节 基础设施布局</w:t>
      </w:r>
      <w:r>
        <w:rPr>
          <w:rFonts w:eastAsia="黑体"/>
          <w:sz w:val="28"/>
        </w:rPr>
        <w:tab/>
      </w:r>
      <w:r>
        <w:rPr>
          <w:rFonts w:eastAsia="黑体"/>
          <w:sz w:val="28"/>
        </w:rPr>
        <w:fldChar w:fldCharType="begin"/>
      </w:r>
      <w:r>
        <w:rPr>
          <w:rFonts w:eastAsia="黑体"/>
          <w:sz w:val="28"/>
        </w:rPr>
        <w:instrText xml:space="preserve"> PAGEREF _Toc9054 \h </w:instrText>
      </w:r>
      <w:r>
        <w:rPr>
          <w:rFonts w:eastAsia="黑体"/>
          <w:sz w:val="28"/>
        </w:rPr>
        <w:fldChar w:fldCharType="separate"/>
      </w:r>
      <w:r>
        <w:rPr>
          <w:rFonts w:eastAsia="黑体"/>
          <w:sz w:val="28"/>
        </w:rPr>
        <w:t>33</w:t>
      </w:r>
      <w:r>
        <w:rPr>
          <w:rFonts w:eastAsia="黑体"/>
          <w:sz w:val="28"/>
        </w:rPr>
        <w:fldChar w:fldCharType="end"/>
      </w:r>
      <w:r>
        <w:rPr>
          <w:rFonts w:eastAsia="黑体"/>
          <w:sz w:val="28"/>
        </w:rPr>
        <w:fldChar w:fldCharType="end"/>
      </w:r>
    </w:p>
    <w:p w14:paraId="74F0E970">
      <w:pPr>
        <w:pStyle w:val="23"/>
        <w:tabs>
          <w:tab w:val="right" w:leader="dot" w:pos="8312"/>
        </w:tabs>
        <w:rPr>
          <w:rFonts w:eastAsia="黑体"/>
          <w:sz w:val="28"/>
        </w:rPr>
      </w:pPr>
      <w:r>
        <w:rPr>
          <w:rFonts w:eastAsia="黑体"/>
          <w:sz w:val="28"/>
        </w:rPr>
        <w:fldChar w:fldCharType="begin"/>
      </w:r>
      <w:r>
        <w:rPr>
          <w:rFonts w:eastAsia="黑体"/>
          <w:sz w:val="28"/>
        </w:rPr>
        <w:instrText xml:space="preserve"> HYPERLINK \l _Toc2305 </w:instrText>
      </w:r>
      <w:r>
        <w:rPr>
          <w:rFonts w:eastAsia="黑体"/>
          <w:sz w:val="28"/>
        </w:rPr>
        <w:fldChar w:fldCharType="separate"/>
      </w:r>
      <w:r>
        <w:rPr>
          <w:rFonts w:eastAsia="黑体"/>
          <w:bCs w:val="0"/>
          <w:kern w:val="0"/>
          <w:sz w:val="28"/>
        </w:rPr>
        <w:t>第四节 安全防灾设施</w:t>
      </w:r>
      <w:r>
        <w:rPr>
          <w:rFonts w:eastAsia="黑体"/>
          <w:sz w:val="28"/>
        </w:rPr>
        <w:tab/>
      </w:r>
      <w:r>
        <w:rPr>
          <w:rFonts w:eastAsia="黑体"/>
          <w:sz w:val="28"/>
        </w:rPr>
        <w:fldChar w:fldCharType="begin"/>
      </w:r>
      <w:r>
        <w:rPr>
          <w:rFonts w:eastAsia="黑体"/>
          <w:sz w:val="28"/>
        </w:rPr>
        <w:instrText xml:space="preserve"> PAGEREF _Toc2305 \h </w:instrText>
      </w:r>
      <w:r>
        <w:rPr>
          <w:rFonts w:eastAsia="黑体"/>
          <w:sz w:val="28"/>
        </w:rPr>
        <w:fldChar w:fldCharType="separate"/>
      </w:r>
      <w:r>
        <w:rPr>
          <w:rFonts w:eastAsia="黑体"/>
          <w:sz w:val="28"/>
        </w:rPr>
        <w:t>35</w:t>
      </w:r>
      <w:r>
        <w:rPr>
          <w:rFonts w:eastAsia="黑体"/>
          <w:sz w:val="28"/>
        </w:rPr>
        <w:fldChar w:fldCharType="end"/>
      </w:r>
      <w:r>
        <w:rPr>
          <w:rFonts w:eastAsia="黑体"/>
          <w:sz w:val="28"/>
        </w:rPr>
        <w:fldChar w:fldCharType="end"/>
      </w:r>
    </w:p>
    <w:p w14:paraId="53EA78D0">
      <w:pPr>
        <w:pStyle w:val="20"/>
        <w:tabs>
          <w:tab w:val="right" w:leader="dot" w:pos="8312"/>
        </w:tabs>
        <w:rPr>
          <w:rFonts w:eastAsia="黑体"/>
          <w:sz w:val="28"/>
        </w:rPr>
      </w:pPr>
      <w:r>
        <w:rPr>
          <w:rFonts w:eastAsia="黑体"/>
          <w:sz w:val="28"/>
        </w:rPr>
        <w:fldChar w:fldCharType="begin"/>
      </w:r>
      <w:r>
        <w:rPr>
          <w:rFonts w:eastAsia="黑体"/>
          <w:sz w:val="28"/>
        </w:rPr>
        <w:instrText xml:space="preserve"> HYPERLINK \l _Toc21005 </w:instrText>
      </w:r>
      <w:r>
        <w:rPr>
          <w:rFonts w:eastAsia="黑体"/>
          <w:sz w:val="28"/>
        </w:rPr>
        <w:fldChar w:fldCharType="separate"/>
      </w:r>
      <w:r>
        <w:rPr>
          <w:rFonts w:eastAsia="黑体"/>
          <w:bCs w:val="0"/>
          <w:kern w:val="2"/>
          <w:sz w:val="28"/>
          <w:szCs w:val="36"/>
        </w:rPr>
        <w:t>第八章 历史文化与地方特色风貌</w:t>
      </w:r>
      <w:r>
        <w:rPr>
          <w:rFonts w:eastAsia="黑体"/>
          <w:sz w:val="28"/>
        </w:rPr>
        <w:tab/>
      </w:r>
      <w:r>
        <w:rPr>
          <w:rFonts w:eastAsia="黑体"/>
          <w:sz w:val="28"/>
        </w:rPr>
        <w:fldChar w:fldCharType="begin"/>
      </w:r>
      <w:r>
        <w:rPr>
          <w:rFonts w:eastAsia="黑体"/>
          <w:sz w:val="28"/>
        </w:rPr>
        <w:instrText xml:space="preserve"> PAGEREF _Toc21005 \h </w:instrText>
      </w:r>
      <w:r>
        <w:rPr>
          <w:rFonts w:eastAsia="黑体"/>
          <w:sz w:val="28"/>
        </w:rPr>
        <w:fldChar w:fldCharType="separate"/>
      </w:r>
      <w:r>
        <w:rPr>
          <w:rFonts w:eastAsia="黑体"/>
          <w:sz w:val="28"/>
        </w:rPr>
        <w:t>37</w:t>
      </w:r>
      <w:r>
        <w:rPr>
          <w:rFonts w:eastAsia="黑体"/>
          <w:sz w:val="28"/>
        </w:rPr>
        <w:fldChar w:fldCharType="end"/>
      </w:r>
      <w:r>
        <w:rPr>
          <w:rFonts w:eastAsia="黑体"/>
          <w:sz w:val="28"/>
        </w:rPr>
        <w:fldChar w:fldCharType="end"/>
      </w:r>
    </w:p>
    <w:p w14:paraId="65083398">
      <w:pPr>
        <w:pStyle w:val="23"/>
        <w:tabs>
          <w:tab w:val="right" w:leader="dot" w:pos="8312"/>
        </w:tabs>
        <w:rPr>
          <w:rFonts w:eastAsia="黑体"/>
          <w:sz w:val="28"/>
        </w:rPr>
      </w:pPr>
      <w:r>
        <w:rPr>
          <w:rFonts w:eastAsia="黑体"/>
          <w:sz w:val="28"/>
        </w:rPr>
        <w:fldChar w:fldCharType="begin"/>
      </w:r>
      <w:r>
        <w:rPr>
          <w:rFonts w:eastAsia="黑体"/>
          <w:sz w:val="28"/>
        </w:rPr>
        <w:instrText xml:space="preserve"> HYPERLINK \l _Toc18547 </w:instrText>
      </w:r>
      <w:r>
        <w:rPr>
          <w:rFonts w:eastAsia="黑体"/>
          <w:sz w:val="28"/>
        </w:rPr>
        <w:fldChar w:fldCharType="separate"/>
      </w:r>
      <w:r>
        <w:rPr>
          <w:rFonts w:eastAsia="黑体"/>
          <w:bCs w:val="0"/>
          <w:kern w:val="0"/>
          <w:sz w:val="28"/>
        </w:rPr>
        <w:t>第一节 历史文化保护</w:t>
      </w:r>
      <w:r>
        <w:rPr>
          <w:rFonts w:eastAsia="黑体"/>
          <w:sz w:val="28"/>
        </w:rPr>
        <w:tab/>
      </w:r>
      <w:r>
        <w:rPr>
          <w:rFonts w:eastAsia="黑体"/>
          <w:sz w:val="28"/>
        </w:rPr>
        <w:fldChar w:fldCharType="begin"/>
      </w:r>
      <w:r>
        <w:rPr>
          <w:rFonts w:eastAsia="黑体"/>
          <w:sz w:val="28"/>
        </w:rPr>
        <w:instrText xml:space="preserve"> PAGEREF _Toc18547 \h </w:instrText>
      </w:r>
      <w:r>
        <w:rPr>
          <w:rFonts w:eastAsia="黑体"/>
          <w:sz w:val="28"/>
        </w:rPr>
        <w:fldChar w:fldCharType="separate"/>
      </w:r>
      <w:r>
        <w:rPr>
          <w:rFonts w:eastAsia="黑体"/>
          <w:sz w:val="28"/>
        </w:rPr>
        <w:t>37</w:t>
      </w:r>
      <w:r>
        <w:rPr>
          <w:rFonts w:eastAsia="黑体"/>
          <w:sz w:val="28"/>
        </w:rPr>
        <w:fldChar w:fldCharType="end"/>
      </w:r>
      <w:r>
        <w:rPr>
          <w:rFonts w:eastAsia="黑体"/>
          <w:sz w:val="28"/>
        </w:rPr>
        <w:fldChar w:fldCharType="end"/>
      </w:r>
    </w:p>
    <w:p w14:paraId="039A7533">
      <w:pPr>
        <w:pStyle w:val="23"/>
        <w:tabs>
          <w:tab w:val="right" w:leader="dot" w:pos="8312"/>
        </w:tabs>
        <w:rPr>
          <w:rFonts w:eastAsia="黑体"/>
          <w:sz w:val="28"/>
        </w:rPr>
      </w:pPr>
      <w:r>
        <w:rPr>
          <w:rFonts w:eastAsia="黑体"/>
          <w:sz w:val="28"/>
        </w:rPr>
        <w:fldChar w:fldCharType="begin"/>
      </w:r>
      <w:r>
        <w:rPr>
          <w:rFonts w:eastAsia="黑体"/>
          <w:sz w:val="28"/>
        </w:rPr>
        <w:instrText xml:space="preserve"> HYPERLINK \l _Toc16338 </w:instrText>
      </w:r>
      <w:r>
        <w:rPr>
          <w:rFonts w:eastAsia="黑体"/>
          <w:sz w:val="28"/>
        </w:rPr>
        <w:fldChar w:fldCharType="separate"/>
      </w:r>
      <w:r>
        <w:rPr>
          <w:rFonts w:eastAsia="黑体"/>
          <w:bCs w:val="0"/>
          <w:kern w:val="0"/>
          <w:sz w:val="28"/>
        </w:rPr>
        <w:t>第二节 特色风貌塑造</w:t>
      </w:r>
      <w:r>
        <w:rPr>
          <w:rFonts w:eastAsia="黑体"/>
          <w:sz w:val="28"/>
        </w:rPr>
        <w:tab/>
      </w:r>
      <w:r>
        <w:rPr>
          <w:rFonts w:eastAsia="黑体"/>
          <w:sz w:val="28"/>
        </w:rPr>
        <w:fldChar w:fldCharType="begin"/>
      </w:r>
      <w:r>
        <w:rPr>
          <w:rFonts w:eastAsia="黑体"/>
          <w:sz w:val="28"/>
        </w:rPr>
        <w:instrText xml:space="preserve"> PAGEREF _Toc16338 \h </w:instrText>
      </w:r>
      <w:r>
        <w:rPr>
          <w:rFonts w:eastAsia="黑体"/>
          <w:sz w:val="28"/>
        </w:rPr>
        <w:fldChar w:fldCharType="separate"/>
      </w:r>
      <w:r>
        <w:rPr>
          <w:rFonts w:eastAsia="黑体"/>
          <w:sz w:val="28"/>
        </w:rPr>
        <w:t>38</w:t>
      </w:r>
      <w:r>
        <w:rPr>
          <w:rFonts w:eastAsia="黑体"/>
          <w:sz w:val="28"/>
        </w:rPr>
        <w:fldChar w:fldCharType="end"/>
      </w:r>
      <w:r>
        <w:rPr>
          <w:rFonts w:eastAsia="黑体"/>
          <w:sz w:val="28"/>
        </w:rPr>
        <w:fldChar w:fldCharType="end"/>
      </w:r>
    </w:p>
    <w:p w14:paraId="4116D631">
      <w:pPr>
        <w:pStyle w:val="20"/>
        <w:tabs>
          <w:tab w:val="right" w:leader="dot" w:pos="8312"/>
        </w:tabs>
        <w:rPr>
          <w:rFonts w:eastAsia="黑体"/>
          <w:sz w:val="28"/>
        </w:rPr>
      </w:pPr>
      <w:r>
        <w:rPr>
          <w:rFonts w:eastAsia="黑体"/>
          <w:sz w:val="28"/>
        </w:rPr>
        <w:fldChar w:fldCharType="begin"/>
      </w:r>
      <w:r>
        <w:rPr>
          <w:rFonts w:eastAsia="黑体"/>
          <w:sz w:val="28"/>
        </w:rPr>
        <w:instrText xml:space="preserve"> HYPERLINK \l _Toc7280 </w:instrText>
      </w:r>
      <w:r>
        <w:rPr>
          <w:rFonts w:eastAsia="黑体"/>
          <w:sz w:val="28"/>
        </w:rPr>
        <w:fldChar w:fldCharType="separate"/>
      </w:r>
      <w:r>
        <w:rPr>
          <w:rFonts w:eastAsia="黑体"/>
          <w:bCs w:val="0"/>
          <w:kern w:val="2"/>
          <w:sz w:val="28"/>
          <w:szCs w:val="36"/>
        </w:rPr>
        <w:t>第九章 生态修复与国土综合整治</w:t>
      </w:r>
      <w:r>
        <w:rPr>
          <w:rFonts w:eastAsia="黑体"/>
          <w:sz w:val="28"/>
        </w:rPr>
        <w:tab/>
      </w:r>
      <w:r>
        <w:rPr>
          <w:rFonts w:eastAsia="黑体"/>
          <w:sz w:val="28"/>
        </w:rPr>
        <w:fldChar w:fldCharType="begin"/>
      </w:r>
      <w:r>
        <w:rPr>
          <w:rFonts w:eastAsia="黑体"/>
          <w:sz w:val="28"/>
        </w:rPr>
        <w:instrText xml:space="preserve"> PAGEREF _Toc7280 \h </w:instrText>
      </w:r>
      <w:r>
        <w:rPr>
          <w:rFonts w:eastAsia="黑体"/>
          <w:sz w:val="28"/>
        </w:rPr>
        <w:fldChar w:fldCharType="separate"/>
      </w:r>
      <w:r>
        <w:rPr>
          <w:rFonts w:eastAsia="黑体"/>
          <w:sz w:val="28"/>
        </w:rPr>
        <w:t>40</w:t>
      </w:r>
      <w:r>
        <w:rPr>
          <w:rFonts w:eastAsia="黑体"/>
          <w:sz w:val="28"/>
        </w:rPr>
        <w:fldChar w:fldCharType="end"/>
      </w:r>
      <w:r>
        <w:rPr>
          <w:rFonts w:eastAsia="黑体"/>
          <w:sz w:val="28"/>
        </w:rPr>
        <w:fldChar w:fldCharType="end"/>
      </w:r>
    </w:p>
    <w:p w14:paraId="2A32F79C">
      <w:pPr>
        <w:pStyle w:val="23"/>
        <w:tabs>
          <w:tab w:val="right" w:leader="dot" w:pos="8312"/>
        </w:tabs>
        <w:rPr>
          <w:rFonts w:eastAsia="黑体"/>
          <w:sz w:val="28"/>
        </w:rPr>
      </w:pPr>
      <w:r>
        <w:rPr>
          <w:rFonts w:eastAsia="黑体"/>
          <w:sz w:val="28"/>
        </w:rPr>
        <w:fldChar w:fldCharType="begin"/>
      </w:r>
      <w:r>
        <w:rPr>
          <w:rFonts w:eastAsia="黑体"/>
          <w:sz w:val="28"/>
        </w:rPr>
        <w:instrText xml:space="preserve"> HYPERLINK \l _Toc1814 </w:instrText>
      </w:r>
      <w:r>
        <w:rPr>
          <w:rFonts w:eastAsia="黑体"/>
          <w:sz w:val="28"/>
        </w:rPr>
        <w:fldChar w:fldCharType="separate"/>
      </w:r>
      <w:r>
        <w:rPr>
          <w:rFonts w:eastAsia="黑体"/>
          <w:bCs w:val="0"/>
          <w:kern w:val="0"/>
          <w:sz w:val="28"/>
        </w:rPr>
        <w:t>第一节 生态修复</w:t>
      </w:r>
      <w:r>
        <w:rPr>
          <w:rFonts w:eastAsia="黑体"/>
          <w:sz w:val="28"/>
        </w:rPr>
        <w:tab/>
      </w:r>
      <w:r>
        <w:rPr>
          <w:rFonts w:eastAsia="黑体"/>
          <w:sz w:val="28"/>
        </w:rPr>
        <w:fldChar w:fldCharType="begin"/>
      </w:r>
      <w:r>
        <w:rPr>
          <w:rFonts w:eastAsia="黑体"/>
          <w:sz w:val="28"/>
        </w:rPr>
        <w:instrText xml:space="preserve"> PAGEREF _Toc1814 \h </w:instrText>
      </w:r>
      <w:r>
        <w:rPr>
          <w:rFonts w:eastAsia="黑体"/>
          <w:sz w:val="28"/>
        </w:rPr>
        <w:fldChar w:fldCharType="separate"/>
      </w:r>
      <w:r>
        <w:rPr>
          <w:rFonts w:eastAsia="黑体"/>
          <w:sz w:val="28"/>
        </w:rPr>
        <w:t>40</w:t>
      </w:r>
      <w:r>
        <w:rPr>
          <w:rFonts w:eastAsia="黑体"/>
          <w:sz w:val="28"/>
        </w:rPr>
        <w:fldChar w:fldCharType="end"/>
      </w:r>
      <w:r>
        <w:rPr>
          <w:rFonts w:eastAsia="黑体"/>
          <w:sz w:val="28"/>
        </w:rPr>
        <w:fldChar w:fldCharType="end"/>
      </w:r>
    </w:p>
    <w:p w14:paraId="3B90DE25">
      <w:pPr>
        <w:pStyle w:val="23"/>
        <w:tabs>
          <w:tab w:val="right" w:leader="dot" w:pos="8312"/>
        </w:tabs>
        <w:rPr>
          <w:rFonts w:eastAsia="黑体"/>
          <w:sz w:val="28"/>
        </w:rPr>
      </w:pPr>
      <w:r>
        <w:rPr>
          <w:rFonts w:eastAsia="黑体"/>
          <w:sz w:val="28"/>
        </w:rPr>
        <w:fldChar w:fldCharType="begin"/>
      </w:r>
      <w:r>
        <w:rPr>
          <w:rFonts w:eastAsia="黑体"/>
          <w:sz w:val="28"/>
        </w:rPr>
        <w:instrText xml:space="preserve"> HYPERLINK \l _Toc11154 </w:instrText>
      </w:r>
      <w:r>
        <w:rPr>
          <w:rFonts w:eastAsia="黑体"/>
          <w:sz w:val="28"/>
        </w:rPr>
        <w:fldChar w:fldCharType="separate"/>
      </w:r>
      <w:r>
        <w:rPr>
          <w:rFonts w:eastAsia="黑体"/>
          <w:bCs w:val="0"/>
          <w:kern w:val="0"/>
          <w:sz w:val="28"/>
        </w:rPr>
        <w:t>第二节 农用地综合整治</w:t>
      </w:r>
      <w:r>
        <w:rPr>
          <w:rFonts w:eastAsia="黑体"/>
          <w:sz w:val="28"/>
        </w:rPr>
        <w:tab/>
      </w:r>
      <w:r>
        <w:rPr>
          <w:rFonts w:eastAsia="黑体"/>
          <w:sz w:val="28"/>
        </w:rPr>
        <w:fldChar w:fldCharType="begin"/>
      </w:r>
      <w:r>
        <w:rPr>
          <w:rFonts w:eastAsia="黑体"/>
          <w:sz w:val="28"/>
        </w:rPr>
        <w:instrText xml:space="preserve"> PAGEREF _Toc11154 \h </w:instrText>
      </w:r>
      <w:r>
        <w:rPr>
          <w:rFonts w:eastAsia="黑体"/>
          <w:sz w:val="28"/>
        </w:rPr>
        <w:fldChar w:fldCharType="separate"/>
      </w:r>
      <w:r>
        <w:rPr>
          <w:rFonts w:eastAsia="黑体"/>
          <w:sz w:val="28"/>
        </w:rPr>
        <w:t>41</w:t>
      </w:r>
      <w:r>
        <w:rPr>
          <w:rFonts w:eastAsia="黑体"/>
          <w:sz w:val="28"/>
        </w:rPr>
        <w:fldChar w:fldCharType="end"/>
      </w:r>
      <w:r>
        <w:rPr>
          <w:rFonts w:eastAsia="黑体"/>
          <w:sz w:val="28"/>
        </w:rPr>
        <w:fldChar w:fldCharType="end"/>
      </w:r>
    </w:p>
    <w:p w14:paraId="39590C1C">
      <w:pPr>
        <w:pStyle w:val="23"/>
        <w:tabs>
          <w:tab w:val="right" w:leader="dot" w:pos="8312"/>
        </w:tabs>
        <w:rPr>
          <w:rFonts w:eastAsia="黑体"/>
          <w:sz w:val="28"/>
        </w:rPr>
      </w:pPr>
      <w:r>
        <w:rPr>
          <w:rFonts w:eastAsia="黑体"/>
          <w:sz w:val="28"/>
        </w:rPr>
        <w:fldChar w:fldCharType="begin"/>
      </w:r>
      <w:r>
        <w:rPr>
          <w:rFonts w:eastAsia="黑体"/>
          <w:sz w:val="28"/>
        </w:rPr>
        <w:instrText xml:space="preserve"> HYPERLINK \l _Toc7940 </w:instrText>
      </w:r>
      <w:r>
        <w:rPr>
          <w:rFonts w:eastAsia="黑体"/>
          <w:sz w:val="28"/>
        </w:rPr>
        <w:fldChar w:fldCharType="separate"/>
      </w:r>
      <w:r>
        <w:rPr>
          <w:rFonts w:eastAsia="黑体"/>
          <w:bCs w:val="0"/>
          <w:kern w:val="0"/>
          <w:sz w:val="28"/>
        </w:rPr>
        <w:t>第三节 建设用地整治</w:t>
      </w:r>
      <w:r>
        <w:rPr>
          <w:rFonts w:eastAsia="黑体"/>
          <w:sz w:val="28"/>
        </w:rPr>
        <w:tab/>
      </w:r>
      <w:r>
        <w:rPr>
          <w:rFonts w:eastAsia="黑体"/>
          <w:sz w:val="28"/>
        </w:rPr>
        <w:fldChar w:fldCharType="begin"/>
      </w:r>
      <w:r>
        <w:rPr>
          <w:rFonts w:eastAsia="黑体"/>
          <w:sz w:val="28"/>
        </w:rPr>
        <w:instrText xml:space="preserve"> PAGEREF _Toc7940 \h </w:instrText>
      </w:r>
      <w:r>
        <w:rPr>
          <w:rFonts w:eastAsia="黑体"/>
          <w:sz w:val="28"/>
        </w:rPr>
        <w:fldChar w:fldCharType="separate"/>
      </w:r>
      <w:r>
        <w:rPr>
          <w:rFonts w:eastAsia="黑体"/>
          <w:sz w:val="28"/>
        </w:rPr>
        <w:t>42</w:t>
      </w:r>
      <w:r>
        <w:rPr>
          <w:rFonts w:eastAsia="黑体"/>
          <w:sz w:val="28"/>
        </w:rPr>
        <w:fldChar w:fldCharType="end"/>
      </w:r>
      <w:r>
        <w:rPr>
          <w:rFonts w:eastAsia="黑体"/>
          <w:sz w:val="28"/>
        </w:rPr>
        <w:fldChar w:fldCharType="end"/>
      </w:r>
    </w:p>
    <w:p w14:paraId="2D8CB375">
      <w:pPr>
        <w:pStyle w:val="20"/>
        <w:tabs>
          <w:tab w:val="right" w:leader="dot" w:pos="8312"/>
        </w:tabs>
        <w:rPr>
          <w:rFonts w:eastAsia="黑体"/>
          <w:sz w:val="28"/>
        </w:rPr>
      </w:pPr>
      <w:r>
        <w:rPr>
          <w:rFonts w:eastAsia="黑体"/>
          <w:sz w:val="28"/>
        </w:rPr>
        <w:fldChar w:fldCharType="begin"/>
      </w:r>
      <w:r>
        <w:rPr>
          <w:rFonts w:eastAsia="黑体"/>
          <w:sz w:val="28"/>
        </w:rPr>
        <w:instrText xml:space="preserve"> HYPERLINK \l _Toc14188 </w:instrText>
      </w:r>
      <w:r>
        <w:rPr>
          <w:rFonts w:eastAsia="黑体"/>
          <w:sz w:val="28"/>
        </w:rPr>
        <w:fldChar w:fldCharType="separate"/>
      </w:r>
      <w:r>
        <w:rPr>
          <w:rFonts w:eastAsia="黑体"/>
          <w:bCs w:val="0"/>
          <w:kern w:val="2"/>
          <w:sz w:val="28"/>
          <w:szCs w:val="36"/>
        </w:rPr>
        <w:t>第十章 规划传导与实施</w:t>
      </w:r>
      <w:r>
        <w:rPr>
          <w:rFonts w:eastAsia="黑体"/>
          <w:sz w:val="28"/>
        </w:rPr>
        <w:tab/>
      </w:r>
      <w:r>
        <w:rPr>
          <w:rFonts w:eastAsia="黑体"/>
          <w:sz w:val="28"/>
        </w:rPr>
        <w:fldChar w:fldCharType="begin"/>
      </w:r>
      <w:r>
        <w:rPr>
          <w:rFonts w:eastAsia="黑体"/>
          <w:sz w:val="28"/>
        </w:rPr>
        <w:instrText xml:space="preserve"> PAGEREF _Toc14188 \h </w:instrText>
      </w:r>
      <w:r>
        <w:rPr>
          <w:rFonts w:eastAsia="黑体"/>
          <w:sz w:val="28"/>
        </w:rPr>
        <w:fldChar w:fldCharType="separate"/>
      </w:r>
      <w:r>
        <w:rPr>
          <w:rFonts w:eastAsia="黑体"/>
          <w:sz w:val="28"/>
        </w:rPr>
        <w:t>44</w:t>
      </w:r>
      <w:r>
        <w:rPr>
          <w:rFonts w:eastAsia="黑体"/>
          <w:sz w:val="28"/>
        </w:rPr>
        <w:fldChar w:fldCharType="end"/>
      </w:r>
      <w:r>
        <w:rPr>
          <w:rFonts w:eastAsia="黑体"/>
          <w:sz w:val="28"/>
        </w:rPr>
        <w:fldChar w:fldCharType="end"/>
      </w:r>
    </w:p>
    <w:p w14:paraId="5A0E53E7">
      <w:pPr>
        <w:pStyle w:val="23"/>
        <w:tabs>
          <w:tab w:val="right" w:leader="dot" w:pos="8312"/>
        </w:tabs>
        <w:rPr>
          <w:rFonts w:eastAsia="黑体"/>
          <w:sz w:val="28"/>
        </w:rPr>
      </w:pPr>
      <w:r>
        <w:rPr>
          <w:rFonts w:eastAsia="黑体"/>
          <w:sz w:val="28"/>
        </w:rPr>
        <w:fldChar w:fldCharType="begin"/>
      </w:r>
      <w:r>
        <w:rPr>
          <w:rFonts w:eastAsia="黑体"/>
          <w:sz w:val="28"/>
        </w:rPr>
        <w:instrText xml:space="preserve"> HYPERLINK \l _Toc5551 </w:instrText>
      </w:r>
      <w:r>
        <w:rPr>
          <w:rFonts w:eastAsia="黑体"/>
          <w:sz w:val="28"/>
        </w:rPr>
        <w:fldChar w:fldCharType="separate"/>
      </w:r>
      <w:r>
        <w:rPr>
          <w:rFonts w:eastAsia="黑体"/>
          <w:bCs w:val="0"/>
          <w:kern w:val="0"/>
          <w:sz w:val="28"/>
        </w:rPr>
        <w:t>第一节 规划传导与管控</w:t>
      </w:r>
      <w:r>
        <w:rPr>
          <w:rFonts w:eastAsia="黑体"/>
          <w:sz w:val="28"/>
        </w:rPr>
        <w:tab/>
      </w:r>
      <w:r>
        <w:rPr>
          <w:rFonts w:eastAsia="黑体"/>
          <w:sz w:val="28"/>
        </w:rPr>
        <w:fldChar w:fldCharType="begin"/>
      </w:r>
      <w:r>
        <w:rPr>
          <w:rFonts w:eastAsia="黑体"/>
          <w:sz w:val="28"/>
        </w:rPr>
        <w:instrText xml:space="preserve"> PAGEREF _Toc5551 \h </w:instrText>
      </w:r>
      <w:r>
        <w:rPr>
          <w:rFonts w:eastAsia="黑体"/>
          <w:sz w:val="28"/>
        </w:rPr>
        <w:fldChar w:fldCharType="separate"/>
      </w:r>
      <w:r>
        <w:rPr>
          <w:rFonts w:eastAsia="黑体"/>
          <w:sz w:val="28"/>
        </w:rPr>
        <w:t>44</w:t>
      </w:r>
      <w:r>
        <w:rPr>
          <w:rFonts w:eastAsia="黑体"/>
          <w:sz w:val="28"/>
        </w:rPr>
        <w:fldChar w:fldCharType="end"/>
      </w:r>
      <w:r>
        <w:rPr>
          <w:rFonts w:eastAsia="黑体"/>
          <w:sz w:val="28"/>
        </w:rPr>
        <w:fldChar w:fldCharType="end"/>
      </w:r>
    </w:p>
    <w:p w14:paraId="1B6E2239">
      <w:pPr>
        <w:pStyle w:val="23"/>
        <w:tabs>
          <w:tab w:val="right" w:leader="dot" w:pos="8312"/>
        </w:tabs>
        <w:rPr>
          <w:rFonts w:eastAsia="黑体"/>
          <w:sz w:val="28"/>
        </w:rPr>
      </w:pPr>
      <w:r>
        <w:rPr>
          <w:rFonts w:eastAsia="黑体"/>
          <w:sz w:val="28"/>
        </w:rPr>
        <w:fldChar w:fldCharType="begin"/>
      </w:r>
      <w:r>
        <w:rPr>
          <w:rFonts w:eastAsia="黑体"/>
          <w:sz w:val="28"/>
        </w:rPr>
        <w:instrText xml:space="preserve"> HYPERLINK \l _Toc17764 </w:instrText>
      </w:r>
      <w:r>
        <w:rPr>
          <w:rFonts w:eastAsia="黑体"/>
          <w:sz w:val="28"/>
        </w:rPr>
        <w:fldChar w:fldCharType="separate"/>
      </w:r>
      <w:r>
        <w:rPr>
          <w:rFonts w:eastAsia="黑体"/>
          <w:bCs w:val="0"/>
          <w:kern w:val="0"/>
          <w:sz w:val="28"/>
        </w:rPr>
        <w:t>第二节 规划实施</w:t>
      </w:r>
      <w:r>
        <w:rPr>
          <w:rFonts w:eastAsia="黑体"/>
          <w:sz w:val="28"/>
        </w:rPr>
        <w:tab/>
      </w:r>
      <w:r>
        <w:rPr>
          <w:rFonts w:eastAsia="黑体"/>
          <w:sz w:val="28"/>
        </w:rPr>
        <w:fldChar w:fldCharType="begin"/>
      </w:r>
      <w:r>
        <w:rPr>
          <w:rFonts w:eastAsia="黑体"/>
          <w:sz w:val="28"/>
        </w:rPr>
        <w:instrText xml:space="preserve"> PAGEREF _Toc17764 \h </w:instrText>
      </w:r>
      <w:r>
        <w:rPr>
          <w:rFonts w:eastAsia="黑体"/>
          <w:sz w:val="28"/>
        </w:rPr>
        <w:fldChar w:fldCharType="separate"/>
      </w:r>
      <w:r>
        <w:rPr>
          <w:rFonts w:eastAsia="黑体"/>
          <w:sz w:val="28"/>
        </w:rPr>
        <w:t>44</w:t>
      </w:r>
      <w:r>
        <w:rPr>
          <w:rFonts w:eastAsia="黑体"/>
          <w:sz w:val="28"/>
        </w:rPr>
        <w:fldChar w:fldCharType="end"/>
      </w:r>
      <w:r>
        <w:rPr>
          <w:rFonts w:eastAsia="黑体"/>
          <w:sz w:val="28"/>
        </w:rPr>
        <w:fldChar w:fldCharType="end"/>
      </w:r>
    </w:p>
    <w:p w14:paraId="4CA05967">
      <w:pPr>
        <w:pStyle w:val="23"/>
        <w:tabs>
          <w:tab w:val="right" w:leader="dot" w:pos="8312"/>
        </w:tabs>
        <w:rPr>
          <w:rFonts w:eastAsia="黑体"/>
          <w:sz w:val="28"/>
        </w:rPr>
      </w:pPr>
      <w:r>
        <w:rPr>
          <w:rFonts w:eastAsia="黑体"/>
          <w:sz w:val="28"/>
        </w:rPr>
        <w:fldChar w:fldCharType="begin"/>
      </w:r>
      <w:r>
        <w:rPr>
          <w:rFonts w:eastAsia="黑体"/>
          <w:sz w:val="28"/>
        </w:rPr>
        <w:instrText xml:space="preserve"> HYPERLINK \l _Toc21498 </w:instrText>
      </w:r>
      <w:r>
        <w:rPr>
          <w:rFonts w:eastAsia="黑体"/>
          <w:sz w:val="28"/>
        </w:rPr>
        <w:fldChar w:fldCharType="separate"/>
      </w:r>
      <w:r>
        <w:rPr>
          <w:rFonts w:eastAsia="黑体"/>
          <w:bCs w:val="0"/>
          <w:kern w:val="0"/>
          <w:sz w:val="28"/>
        </w:rPr>
        <w:t>第三节 实施保障</w:t>
      </w:r>
      <w:r>
        <w:rPr>
          <w:rFonts w:eastAsia="黑体"/>
          <w:sz w:val="28"/>
        </w:rPr>
        <w:tab/>
      </w:r>
      <w:r>
        <w:rPr>
          <w:rFonts w:eastAsia="黑体"/>
          <w:sz w:val="28"/>
        </w:rPr>
        <w:fldChar w:fldCharType="begin"/>
      </w:r>
      <w:r>
        <w:rPr>
          <w:rFonts w:eastAsia="黑体"/>
          <w:sz w:val="28"/>
        </w:rPr>
        <w:instrText xml:space="preserve"> PAGEREF _Toc21498 \h </w:instrText>
      </w:r>
      <w:r>
        <w:rPr>
          <w:rFonts w:eastAsia="黑体"/>
          <w:sz w:val="28"/>
        </w:rPr>
        <w:fldChar w:fldCharType="separate"/>
      </w:r>
      <w:r>
        <w:rPr>
          <w:rFonts w:eastAsia="黑体"/>
          <w:sz w:val="28"/>
        </w:rPr>
        <w:t>45</w:t>
      </w:r>
      <w:r>
        <w:rPr>
          <w:rFonts w:eastAsia="黑体"/>
          <w:sz w:val="28"/>
        </w:rPr>
        <w:fldChar w:fldCharType="end"/>
      </w:r>
      <w:r>
        <w:rPr>
          <w:rFonts w:eastAsia="黑体"/>
          <w:sz w:val="28"/>
        </w:rPr>
        <w:fldChar w:fldCharType="end"/>
      </w:r>
    </w:p>
    <w:p w14:paraId="227993FC">
      <w:pPr>
        <w:pStyle w:val="20"/>
        <w:tabs>
          <w:tab w:val="right" w:leader="dot" w:pos="8312"/>
        </w:tabs>
      </w:pPr>
      <w:r>
        <w:rPr>
          <w:rFonts w:eastAsia="黑体"/>
          <w:sz w:val="28"/>
        </w:rPr>
        <w:fldChar w:fldCharType="begin"/>
      </w:r>
      <w:r>
        <w:rPr>
          <w:rFonts w:eastAsia="黑体"/>
          <w:sz w:val="28"/>
        </w:rPr>
        <w:instrText xml:space="preserve"> HYPERLINK \l _Toc6019 </w:instrText>
      </w:r>
      <w:r>
        <w:rPr>
          <w:rFonts w:eastAsia="黑体"/>
          <w:sz w:val="28"/>
        </w:rPr>
        <w:fldChar w:fldCharType="separate"/>
      </w:r>
      <w:r>
        <w:rPr>
          <w:rFonts w:eastAsia="黑体"/>
          <w:bCs w:val="0"/>
          <w:kern w:val="2"/>
          <w:sz w:val="28"/>
          <w:szCs w:val="36"/>
        </w:rPr>
        <w:t>第十一章 村庄“通则式”规划管理规定</w:t>
      </w:r>
      <w:r>
        <w:rPr>
          <w:rFonts w:eastAsia="黑体"/>
          <w:sz w:val="28"/>
        </w:rPr>
        <w:tab/>
      </w:r>
      <w:r>
        <w:rPr>
          <w:rFonts w:eastAsia="黑体"/>
          <w:sz w:val="28"/>
        </w:rPr>
        <w:fldChar w:fldCharType="begin"/>
      </w:r>
      <w:r>
        <w:rPr>
          <w:rFonts w:eastAsia="黑体"/>
          <w:sz w:val="28"/>
        </w:rPr>
        <w:instrText xml:space="preserve"> PAGEREF _Toc6019 \h </w:instrText>
      </w:r>
      <w:r>
        <w:rPr>
          <w:rFonts w:eastAsia="黑体"/>
          <w:sz w:val="28"/>
        </w:rPr>
        <w:fldChar w:fldCharType="separate"/>
      </w:r>
      <w:r>
        <w:rPr>
          <w:rFonts w:eastAsia="黑体"/>
          <w:sz w:val="28"/>
        </w:rPr>
        <w:t>47</w:t>
      </w:r>
      <w:r>
        <w:rPr>
          <w:rFonts w:eastAsia="黑体"/>
          <w:sz w:val="28"/>
        </w:rPr>
        <w:fldChar w:fldCharType="end"/>
      </w:r>
      <w:r>
        <w:rPr>
          <w:rFonts w:eastAsia="黑体"/>
          <w:sz w:val="28"/>
        </w:rPr>
        <w:fldChar w:fldCharType="end"/>
      </w:r>
    </w:p>
    <w:p w14:paraId="2404792F">
      <w:pPr>
        <w:pStyle w:val="23"/>
        <w:tabs>
          <w:tab w:val="right" w:leader="dot" w:pos="8296"/>
        </w:tabs>
        <w:spacing w:before="217" w:beforeLines="50" w:after="217" w:afterLines="50"/>
        <w:ind w:left="0" w:leftChars="0" w:firstLine="0" w:firstLineChars="0"/>
        <w:jc w:val="center"/>
        <w:sectPr>
          <w:headerReference r:id="rId12" w:type="default"/>
          <w:footerReference r:id="rId13" w:type="default"/>
          <w:pgSz w:w="11906" w:h="16838"/>
          <w:pgMar w:top="1440" w:right="1797" w:bottom="1440" w:left="1797" w:header="851" w:footer="992" w:gutter="0"/>
          <w:pgNumType w:fmt="lowerRoman" w:start="1"/>
          <w:cols w:space="425" w:num="1"/>
          <w:docGrid w:type="lines" w:linePitch="435" w:charSpace="0"/>
        </w:sectPr>
      </w:pPr>
      <w:r>
        <w:fldChar w:fldCharType="end"/>
      </w:r>
      <w:bookmarkStart w:id="204" w:name="_GoBack"/>
      <w:bookmarkEnd w:id="204"/>
    </w:p>
    <w:p w14:paraId="6B6FA5F4">
      <w:pPr>
        <w:pStyle w:val="4"/>
        <w:spacing w:before="217" w:after="217"/>
      </w:pPr>
      <w:bookmarkStart w:id="10" w:name="_Toc183862502"/>
      <w:bookmarkStart w:id="11" w:name="_Toc183863118"/>
      <w:bookmarkStart w:id="12" w:name="_Toc183863382"/>
      <w:bookmarkStart w:id="13" w:name="_Toc79"/>
      <w:r>
        <w:t>第一章 规划总则</w:t>
      </w:r>
      <w:bookmarkEnd w:id="10"/>
      <w:bookmarkEnd w:id="11"/>
      <w:bookmarkEnd w:id="12"/>
      <w:bookmarkEnd w:id="13"/>
    </w:p>
    <w:p w14:paraId="353E7FD2">
      <w:pPr>
        <w:pStyle w:val="5"/>
        <w:spacing w:before="217" w:after="217"/>
      </w:pPr>
      <w:bookmarkStart w:id="14" w:name="_Toc183863119"/>
      <w:bookmarkStart w:id="15" w:name="_Toc28550"/>
      <w:bookmarkStart w:id="16" w:name="_Toc183863477"/>
      <w:bookmarkStart w:id="17" w:name="_Toc11265"/>
      <w:bookmarkStart w:id="18" w:name="_Toc183862503"/>
      <w:bookmarkStart w:id="19" w:name="_Toc32535"/>
      <w:r>
        <w:t>第一节 规划目的</w:t>
      </w:r>
      <w:bookmarkEnd w:id="14"/>
      <w:bookmarkEnd w:id="15"/>
      <w:bookmarkEnd w:id="16"/>
      <w:bookmarkEnd w:id="17"/>
      <w:bookmarkEnd w:id="18"/>
      <w:bookmarkEnd w:id="19"/>
    </w:p>
    <w:p w14:paraId="39BA70A2">
      <w:pPr>
        <w:pStyle w:val="6"/>
        <w:numPr>
          <w:ilvl w:val="0"/>
          <w:numId w:val="1"/>
        </w:numPr>
        <w:spacing w:before="217" w:after="217"/>
      </w:pPr>
      <w:r>
        <w:t>规划目的</w:t>
      </w:r>
    </w:p>
    <w:p w14:paraId="407FCC6C">
      <w:pPr>
        <w:ind w:firstLine="640"/>
        <w:rPr>
          <w:rFonts w:ascii="Times New Roman" w:hAnsi="Times New Roman"/>
          <w:szCs w:val="32"/>
        </w:rPr>
      </w:pPr>
      <w:r>
        <w:rPr>
          <w:rFonts w:ascii="Times New Roman" w:hAnsi="Times New Roman"/>
          <w:szCs w:val="32"/>
        </w:rPr>
        <w:t>为贯彻落实《中共中央</w:t>
      </w:r>
      <w:r>
        <w:rPr>
          <w:rFonts w:hint="eastAsia" w:ascii="Times New Roman" w:hAnsi="Times New Roman"/>
          <w:szCs w:val="32"/>
        </w:rPr>
        <w:t>·</w:t>
      </w:r>
      <w:r>
        <w:rPr>
          <w:rFonts w:ascii="Times New Roman" w:hAnsi="Times New Roman"/>
          <w:szCs w:val="32"/>
        </w:rPr>
        <w:t>国务院关于建立国土空间规划体系并监督实施的若干意见》（中发〔2019〕18 号），《自然资源部关于全面开展国土空间规划工作的通知》（自然资发〔2019〕87号）等文件精神，积极响应国家及黑龙江省关于建立国土空间规划体系的新要求，落实黑龙江省推进</w:t>
      </w:r>
      <w:r>
        <w:rPr>
          <w:rFonts w:hint="eastAsia" w:ascii="Times New Roman" w:hAnsi="Times New Roman"/>
          <w:szCs w:val="32"/>
        </w:rPr>
        <w:t>“</w:t>
      </w:r>
      <w:r>
        <w:rPr>
          <w:rFonts w:ascii="Times New Roman" w:hAnsi="Times New Roman"/>
          <w:szCs w:val="32"/>
        </w:rPr>
        <w:t>六个龙江</w:t>
      </w:r>
      <w:r>
        <w:rPr>
          <w:rFonts w:hint="eastAsia" w:ascii="Times New Roman" w:hAnsi="Times New Roman"/>
          <w:szCs w:val="32"/>
        </w:rPr>
        <w:t>”“</w:t>
      </w:r>
      <w:r>
        <w:rPr>
          <w:rFonts w:ascii="Times New Roman" w:hAnsi="Times New Roman"/>
          <w:szCs w:val="32"/>
        </w:rPr>
        <w:t>八个振兴</w:t>
      </w:r>
      <w:r>
        <w:rPr>
          <w:rFonts w:hint="eastAsia" w:ascii="Times New Roman" w:hAnsi="Times New Roman"/>
          <w:szCs w:val="32"/>
        </w:rPr>
        <w:t>”</w:t>
      </w:r>
      <w:r>
        <w:rPr>
          <w:rFonts w:ascii="Times New Roman" w:hAnsi="Times New Roman"/>
          <w:szCs w:val="32"/>
        </w:rPr>
        <w:t>战略部署，结合四马架镇的实际情况，对四马架镇全域范围内国土空间开发保护作出总体安排和综合部署，指导城乡各类开发建设活动、开展国土空间资源保护利用与修复、制定空间发展政策和实施国土空间规划管理，编制《桦川县四马架镇国土空间总体规划（2021—2035年）》（以下简称《规划》）。</w:t>
      </w:r>
    </w:p>
    <w:p w14:paraId="01D20F59">
      <w:pPr>
        <w:pStyle w:val="5"/>
        <w:spacing w:before="217" w:after="217"/>
      </w:pPr>
      <w:bookmarkStart w:id="20" w:name="_Toc183863120"/>
      <w:bookmarkStart w:id="21" w:name="_Toc183862504"/>
      <w:bookmarkStart w:id="22" w:name="_Toc183863478"/>
      <w:bookmarkStart w:id="23" w:name="_Toc610"/>
      <w:r>
        <w:t>第二节 指导思想</w:t>
      </w:r>
      <w:bookmarkEnd w:id="20"/>
      <w:bookmarkEnd w:id="21"/>
      <w:bookmarkEnd w:id="22"/>
      <w:bookmarkEnd w:id="23"/>
    </w:p>
    <w:p w14:paraId="72A38113">
      <w:pPr>
        <w:pStyle w:val="6"/>
        <w:numPr>
          <w:ilvl w:val="0"/>
          <w:numId w:val="1"/>
        </w:numPr>
        <w:spacing w:before="217" w:after="217"/>
      </w:pPr>
      <w:r>
        <w:t>指导思想</w:t>
      </w:r>
    </w:p>
    <w:p w14:paraId="059BBB81">
      <w:pPr>
        <w:ind w:firstLine="640"/>
        <w:rPr>
          <w:rFonts w:ascii="Times New Roman" w:hAnsi="Times New Roman"/>
          <w:szCs w:val="32"/>
        </w:rPr>
      </w:pPr>
      <w:r>
        <w:rPr>
          <w:rFonts w:ascii="Times New Roman" w:hAnsi="Times New Roman"/>
          <w:szCs w:val="32"/>
        </w:rPr>
        <w:t>坚持以习近平新时代中国特色社会主义思想为总体指导，全面贯彻党的二十大精神和总书记系列重要讲话精神，贯彻落实《中共中央</w:t>
      </w:r>
      <w:r>
        <w:rPr>
          <w:rFonts w:hint="eastAsia" w:ascii="Times New Roman" w:hAnsi="Times New Roman"/>
          <w:szCs w:val="32"/>
        </w:rPr>
        <w:t>、</w:t>
      </w:r>
      <w:r>
        <w:rPr>
          <w:rFonts w:ascii="Times New Roman" w:hAnsi="Times New Roman"/>
          <w:szCs w:val="32"/>
        </w:rPr>
        <w:t>国务院关于建立国土空间规划体系并监督实施的若干意见》要求，贯彻生态文明理念，坚持以人民为中心，围绕满足人民日益增长的美好生活需要，顺应新时代国土空间治理要求，构建以国土空间规划为基础、统一用途管制为手段的国土空间开发保护制度</w:t>
      </w:r>
      <w:r>
        <w:rPr>
          <w:rFonts w:hint="eastAsia"/>
          <w:szCs w:val="32"/>
        </w:rPr>
        <w:t>，结合实际，充分利用乡镇现有基础资源条件，突出当地特色，把握各要素发展的客观规律，落实佳木斯市“一核引领、两区协同、轴带联动”和桦川县“狠抓现代农业质效提升、推动发展绿色生态产业”的总体要求，科学布局生产空间、生活空间、生态空间。以提高人民生活水平为根本出发点，以提高乡镇在县域城镇体系中的地位为目标，以实现人地和谐、生态宜居为宗旨，实现基层国土空间总体规划的战</w:t>
      </w:r>
      <w:r>
        <w:rPr>
          <w:rFonts w:ascii="Times New Roman" w:hAnsi="Times New Roman"/>
          <w:szCs w:val="32"/>
        </w:rPr>
        <w:t>略性、全局性与规划方案实施可操作性的有机统一，为全面实现乡村振兴提供科学支撑。</w:t>
      </w:r>
    </w:p>
    <w:p w14:paraId="4275092C">
      <w:pPr>
        <w:pStyle w:val="5"/>
        <w:numPr>
          <w:ilvl w:val="1"/>
          <w:numId w:val="0"/>
        </w:numPr>
        <w:spacing w:before="217" w:after="217"/>
        <w:rPr>
          <w:b/>
          <w:bCs w:val="0"/>
          <w:kern w:val="0"/>
        </w:rPr>
      </w:pPr>
      <w:bookmarkStart w:id="24" w:name="_Toc183862505"/>
      <w:bookmarkStart w:id="25" w:name="_Toc183863479"/>
      <w:bookmarkStart w:id="26" w:name="_Toc183863121"/>
      <w:bookmarkStart w:id="27" w:name="_Toc8455"/>
      <w:r>
        <w:rPr>
          <w:bCs w:val="0"/>
          <w:kern w:val="0"/>
        </w:rPr>
        <w:t>第三节 规划</w:t>
      </w:r>
      <w:r>
        <w:rPr>
          <w:rFonts w:hint="eastAsia"/>
          <w:bCs w:val="0"/>
          <w:kern w:val="0"/>
        </w:rPr>
        <w:t>定位</w:t>
      </w:r>
      <w:bookmarkEnd w:id="24"/>
      <w:bookmarkEnd w:id="25"/>
      <w:bookmarkEnd w:id="26"/>
      <w:bookmarkEnd w:id="27"/>
    </w:p>
    <w:p w14:paraId="1EEDB780">
      <w:pPr>
        <w:pStyle w:val="6"/>
        <w:numPr>
          <w:ilvl w:val="0"/>
          <w:numId w:val="1"/>
        </w:numPr>
        <w:spacing w:before="217" w:after="217"/>
      </w:pPr>
      <w:r>
        <w:t>规划</w:t>
      </w:r>
      <w:r>
        <w:rPr>
          <w:rFonts w:hint="eastAsia"/>
        </w:rPr>
        <w:t>定位</w:t>
      </w:r>
    </w:p>
    <w:p w14:paraId="20A56D2A">
      <w:pPr>
        <w:ind w:firstLine="640"/>
        <w:rPr>
          <w:rFonts w:ascii="Times New Roman" w:hAnsi="Times New Roman"/>
          <w:szCs w:val="32"/>
        </w:rPr>
      </w:pPr>
      <w:r>
        <w:rPr>
          <w:rFonts w:hint="eastAsia" w:ascii="Times New Roman" w:hAnsi="Times New Roman"/>
          <w:szCs w:val="32"/>
        </w:rPr>
        <w:t>乡镇级国土空间总体规划是对市级、县（市、区）级国土空间总体规划要求的细化落实，是对乡镇域国土空间保护开发做出的具体安排，是乡镇进行空间治理的工具，是编制城镇开发边界内的详细规划和城镇开发边界外的村庄规划、实施国土空间用途管制的基本依据。</w:t>
      </w:r>
    </w:p>
    <w:p w14:paraId="05599890">
      <w:pPr>
        <w:pStyle w:val="5"/>
        <w:numPr>
          <w:ilvl w:val="1"/>
          <w:numId w:val="0"/>
        </w:numPr>
        <w:spacing w:before="217" w:after="217"/>
        <w:rPr>
          <w:b/>
          <w:bCs w:val="0"/>
          <w:kern w:val="0"/>
        </w:rPr>
      </w:pPr>
      <w:bookmarkStart w:id="28" w:name="_Toc183862506"/>
      <w:bookmarkStart w:id="29" w:name="_Toc183863480"/>
      <w:bookmarkStart w:id="30" w:name="_Toc183863122"/>
      <w:bookmarkStart w:id="31" w:name="_Toc5428"/>
      <w:r>
        <w:rPr>
          <w:bCs w:val="0"/>
          <w:kern w:val="0"/>
        </w:rPr>
        <w:t>第</w:t>
      </w:r>
      <w:r>
        <w:rPr>
          <w:rFonts w:hint="eastAsia"/>
          <w:bCs w:val="0"/>
          <w:kern w:val="0"/>
        </w:rPr>
        <w:t>四</w:t>
      </w:r>
      <w:r>
        <w:rPr>
          <w:bCs w:val="0"/>
          <w:kern w:val="0"/>
        </w:rPr>
        <w:t>节 规划原则</w:t>
      </w:r>
      <w:bookmarkEnd w:id="28"/>
      <w:bookmarkEnd w:id="29"/>
      <w:bookmarkEnd w:id="30"/>
      <w:bookmarkEnd w:id="31"/>
    </w:p>
    <w:p w14:paraId="593E778B">
      <w:pPr>
        <w:pStyle w:val="6"/>
        <w:numPr>
          <w:ilvl w:val="0"/>
          <w:numId w:val="1"/>
        </w:numPr>
        <w:spacing w:before="217" w:after="217"/>
      </w:pPr>
      <w:r>
        <w:t>规划原则</w:t>
      </w:r>
    </w:p>
    <w:p w14:paraId="4C7D0848">
      <w:pPr>
        <w:ind w:firstLine="640"/>
        <w:rPr>
          <w:rFonts w:ascii="Times New Roman" w:hAnsi="Times New Roman"/>
          <w:szCs w:val="32"/>
        </w:rPr>
      </w:pPr>
      <w:r>
        <w:rPr>
          <w:rFonts w:ascii="Times New Roman" w:hAnsi="Times New Roman" w:eastAsia="楷体_GB2312"/>
          <w:bCs/>
          <w:szCs w:val="32"/>
        </w:rPr>
        <w:t>坚持安全底线，绿色发展。</w:t>
      </w:r>
      <w:r>
        <w:rPr>
          <w:rFonts w:ascii="Times New Roman" w:hAnsi="Times New Roman"/>
          <w:szCs w:val="32"/>
        </w:rPr>
        <w:t>落实市县总规划定的“三条控制线”，严守国防安全、粮食安全、生态安全、能源安全、产业安全底线。</w:t>
      </w:r>
    </w:p>
    <w:p w14:paraId="73B38480">
      <w:pPr>
        <w:ind w:firstLine="640"/>
        <w:rPr>
          <w:rFonts w:ascii="Times New Roman" w:hAnsi="Times New Roman"/>
          <w:szCs w:val="32"/>
        </w:rPr>
      </w:pPr>
      <w:r>
        <w:rPr>
          <w:rFonts w:ascii="Times New Roman" w:hAnsi="Times New Roman" w:eastAsia="楷体_GB2312"/>
          <w:bCs/>
          <w:szCs w:val="32"/>
        </w:rPr>
        <w:t>坚持以人为本，品质提升。</w:t>
      </w:r>
      <w:r>
        <w:rPr>
          <w:rFonts w:ascii="Times New Roman" w:hAnsi="Times New Roman"/>
          <w:szCs w:val="32"/>
        </w:rPr>
        <w:t>以人民为中心，处理好人与自然的和谐关系，实现城乡高质量发展、高品质生活。</w:t>
      </w:r>
    </w:p>
    <w:p w14:paraId="48EF143E">
      <w:pPr>
        <w:ind w:firstLine="640"/>
        <w:rPr>
          <w:rFonts w:ascii="Times New Roman" w:hAnsi="Times New Roman"/>
          <w:szCs w:val="32"/>
        </w:rPr>
      </w:pPr>
      <w:r>
        <w:rPr>
          <w:rFonts w:ascii="Times New Roman" w:hAnsi="Times New Roman" w:eastAsia="楷体_GB2312"/>
          <w:bCs/>
          <w:szCs w:val="32"/>
        </w:rPr>
        <w:t>坚持全域管控，适度集约。</w:t>
      </w:r>
      <w:r>
        <w:rPr>
          <w:rFonts w:ascii="Times New Roman" w:hAnsi="Times New Roman"/>
          <w:szCs w:val="32"/>
        </w:rPr>
        <w:t>强化自然资源统筹利用和用途管控，探索控制城乡建设用地增量，盘活存量的内涵式发展路径，提高土地利用效率。</w:t>
      </w:r>
    </w:p>
    <w:p w14:paraId="16E85E2D">
      <w:pPr>
        <w:ind w:firstLine="640"/>
        <w:rPr>
          <w:rFonts w:ascii="Times New Roman" w:hAnsi="Times New Roman"/>
          <w:szCs w:val="32"/>
        </w:rPr>
      </w:pPr>
      <w:r>
        <w:rPr>
          <w:rFonts w:ascii="Times New Roman" w:hAnsi="Times New Roman" w:eastAsia="楷体_GB2312"/>
          <w:bCs/>
          <w:szCs w:val="32"/>
        </w:rPr>
        <w:t>坚持承上启下，体现特色。</w:t>
      </w:r>
      <w:r>
        <w:rPr>
          <w:rFonts w:ascii="Times New Roman" w:hAnsi="Times New Roman"/>
          <w:szCs w:val="32"/>
        </w:rPr>
        <w:t>严格落实市县总规下达的传导内容，并将本级约束性指标（除用水总量）分解至村庄，因地制宜体现黑土地保护、生态环境、能源安全、矿业经济、守边固边等特色。</w:t>
      </w:r>
    </w:p>
    <w:p w14:paraId="6B719B0B">
      <w:pPr>
        <w:ind w:firstLine="640"/>
        <w:rPr>
          <w:rFonts w:ascii="Times New Roman" w:hAnsi="Times New Roman"/>
          <w:szCs w:val="32"/>
        </w:rPr>
      </w:pPr>
      <w:r>
        <w:rPr>
          <w:rFonts w:ascii="Times New Roman" w:hAnsi="Times New Roman" w:eastAsia="楷体_GB2312"/>
          <w:bCs/>
          <w:szCs w:val="32"/>
        </w:rPr>
        <w:t>坚持侧重实施，突出近期。</w:t>
      </w:r>
      <w:r>
        <w:rPr>
          <w:rFonts w:ascii="Times New Roman" w:hAnsi="Times New Roman"/>
          <w:szCs w:val="32"/>
        </w:rPr>
        <w:t>侧重对本行政区域开发保护作出具体安排，突出与国民经济和社会发展规划的衔接，保障近期项目实施。</w:t>
      </w:r>
    </w:p>
    <w:p w14:paraId="0055E5C4">
      <w:pPr>
        <w:ind w:firstLine="640"/>
        <w:rPr>
          <w:rFonts w:ascii="Times New Roman" w:hAnsi="Times New Roman"/>
          <w:szCs w:val="32"/>
        </w:rPr>
      </w:pPr>
      <w:r>
        <w:rPr>
          <w:rFonts w:ascii="Times New Roman" w:hAnsi="Times New Roman" w:eastAsia="楷体_GB2312"/>
          <w:bCs/>
          <w:szCs w:val="32"/>
        </w:rPr>
        <w:t>坚持公众参与，开放共享。</w:t>
      </w:r>
      <w:r>
        <w:rPr>
          <w:rFonts w:ascii="Times New Roman" w:hAnsi="Times New Roman"/>
          <w:szCs w:val="32"/>
        </w:rPr>
        <w:t>广泛征求公众意见，开门编规划，保障公众的知情权、参与权和监督权。</w:t>
      </w:r>
    </w:p>
    <w:p w14:paraId="7A5C51E9">
      <w:pPr>
        <w:pStyle w:val="5"/>
        <w:numPr>
          <w:ilvl w:val="1"/>
          <w:numId w:val="0"/>
        </w:numPr>
        <w:spacing w:before="217" w:after="217"/>
        <w:rPr>
          <w:b/>
          <w:bCs w:val="0"/>
          <w:kern w:val="0"/>
        </w:rPr>
      </w:pPr>
      <w:bookmarkStart w:id="32" w:name="_Toc28321"/>
      <w:bookmarkStart w:id="33" w:name="_Toc183862507"/>
      <w:bookmarkStart w:id="34" w:name="_Toc183863481"/>
      <w:bookmarkStart w:id="35" w:name="_Toc183863123"/>
      <w:bookmarkStart w:id="36" w:name="_Toc28487"/>
      <w:bookmarkStart w:id="37" w:name="_Toc11082"/>
      <w:r>
        <w:rPr>
          <w:bCs w:val="0"/>
          <w:kern w:val="0"/>
        </w:rPr>
        <w:t>第</w:t>
      </w:r>
      <w:r>
        <w:rPr>
          <w:rFonts w:hint="eastAsia"/>
          <w:bCs w:val="0"/>
          <w:kern w:val="0"/>
        </w:rPr>
        <w:t>五</w:t>
      </w:r>
      <w:r>
        <w:rPr>
          <w:bCs w:val="0"/>
          <w:kern w:val="0"/>
        </w:rPr>
        <w:t>节 规划范围</w:t>
      </w:r>
      <w:bookmarkEnd w:id="32"/>
      <w:bookmarkEnd w:id="33"/>
      <w:bookmarkEnd w:id="34"/>
      <w:bookmarkEnd w:id="35"/>
      <w:bookmarkEnd w:id="36"/>
      <w:bookmarkEnd w:id="37"/>
    </w:p>
    <w:p w14:paraId="42BF6350">
      <w:pPr>
        <w:pStyle w:val="6"/>
        <w:numPr>
          <w:ilvl w:val="0"/>
          <w:numId w:val="1"/>
        </w:numPr>
        <w:spacing w:before="217" w:after="217"/>
      </w:pPr>
      <w:r>
        <w:t>规划范围</w:t>
      </w:r>
    </w:p>
    <w:p w14:paraId="4351CC1A">
      <w:pPr>
        <w:ind w:firstLine="640"/>
        <w:rPr>
          <w:rFonts w:ascii="Times New Roman" w:hAnsi="Times New Roman"/>
          <w:szCs w:val="32"/>
        </w:rPr>
      </w:pPr>
      <w:r>
        <w:rPr>
          <w:rFonts w:ascii="Times New Roman" w:hAnsi="Times New Roman"/>
          <w:szCs w:val="32"/>
        </w:rPr>
        <w:t>规划范围为桦川县四马架镇行政辖区内全部国土空间。</w:t>
      </w:r>
    </w:p>
    <w:p w14:paraId="340FEBB2">
      <w:pPr>
        <w:ind w:firstLine="640"/>
        <w:rPr>
          <w:rFonts w:ascii="Times New Roman" w:hAnsi="Times New Roman"/>
          <w:szCs w:val="32"/>
        </w:rPr>
      </w:pPr>
      <w:r>
        <w:rPr>
          <w:rFonts w:ascii="Times New Roman" w:hAnsi="Times New Roman"/>
          <w:szCs w:val="32"/>
        </w:rPr>
        <w:t>本次规划分镇域和镇政府驻地两个层次。其空间范围如下：</w:t>
      </w:r>
    </w:p>
    <w:p w14:paraId="61D1D4DE">
      <w:pPr>
        <w:ind w:firstLine="640"/>
        <w:rPr>
          <w:rFonts w:ascii="Times New Roman" w:hAnsi="Times New Roman"/>
          <w:szCs w:val="32"/>
          <w:u w:val="none"/>
        </w:rPr>
      </w:pPr>
      <w:r>
        <w:rPr>
          <w:rFonts w:ascii="Times New Roman" w:hAnsi="Times New Roman"/>
          <w:szCs w:val="32"/>
          <w:u w:val="none"/>
        </w:rPr>
        <w:t>镇域规划范围为桦川县四马架镇行政辖区范围内全部国土空间</w:t>
      </w:r>
      <w:r>
        <w:rPr>
          <w:rFonts w:hint="eastAsia" w:ascii="Times New Roman" w:hAnsi="Times New Roman"/>
          <w:szCs w:val="32"/>
          <w:u w:val="none"/>
        </w:rPr>
        <w:t>（</w:t>
      </w:r>
      <w:r>
        <w:rPr>
          <w:rFonts w:ascii="Times New Roman" w:hAnsi="Times New Roman"/>
          <w:szCs w:val="32"/>
          <w:u w:val="none"/>
        </w:rPr>
        <w:t>包括17个行政村</w:t>
      </w:r>
      <w:r>
        <w:rPr>
          <w:rFonts w:hint="eastAsia" w:ascii="Times New Roman" w:hAnsi="Times New Roman"/>
          <w:szCs w:val="32"/>
          <w:u w:val="none"/>
        </w:rPr>
        <w:t>）</w:t>
      </w:r>
      <w:r>
        <w:rPr>
          <w:rFonts w:ascii="Times New Roman" w:hAnsi="Times New Roman"/>
          <w:szCs w:val="32"/>
          <w:u w:val="none"/>
        </w:rPr>
        <w:t xml:space="preserve">。 </w:t>
      </w:r>
    </w:p>
    <w:p w14:paraId="49E0343F">
      <w:pPr>
        <w:ind w:firstLine="640"/>
        <w:rPr>
          <w:rFonts w:ascii="Times New Roman" w:hAnsi="Times New Roman"/>
          <w:szCs w:val="32"/>
          <w:u w:val="none"/>
        </w:rPr>
      </w:pPr>
      <w:r>
        <w:rPr>
          <w:rFonts w:ascii="Times New Roman" w:hAnsi="Times New Roman"/>
          <w:szCs w:val="32"/>
          <w:u w:val="none"/>
        </w:rPr>
        <w:t>镇政府驻地规划范围为镇政府驻地所在地集中连片的城镇开发边界范围。</w:t>
      </w:r>
    </w:p>
    <w:p w14:paraId="3941286F">
      <w:pPr>
        <w:pStyle w:val="5"/>
        <w:numPr>
          <w:ilvl w:val="1"/>
          <w:numId w:val="0"/>
        </w:numPr>
        <w:spacing w:before="217" w:after="217"/>
        <w:rPr>
          <w:b/>
          <w:bCs w:val="0"/>
          <w:kern w:val="0"/>
        </w:rPr>
      </w:pPr>
      <w:bookmarkStart w:id="38" w:name="_Toc183863482"/>
      <w:bookmarkStart w:id="39" w:name="_Toc183863124"/>
      <w:bookmarkStart w:id="40" w:name="_Toc183862508"/>
      <w:bookmarkStart w:id="41" w:name="_Toc10342"/>
      <w:r>
        <w:rPr>
          <w:bCs w:val="0"/>
          <w:kern w:val="0"/>
        </w:rPr>
        <w:t>第</w:t>
      </w:r>
      <w:r>
        <w:rPr>
          <w:rFonts w:hint="eastAsia"/>
          <w:bCs w:val="0"/>
          <w:kern w:val="0"/>
        </w:rPr>
        <w:t>六</w:t>
      </w:r>
      <w:r>
        <w:rPr>
          <w:bCs w:val="0"/>
          <w:kern w:val="0"/>
        </w:rPr>
        <w:t>节 规划期限</w:t>
      </w:r>
      <w:bookmarkEnd w:id="38"/>
      <w:bookmarkEnd w:id="39"/>
      <w:bookmarkEnd w:id="40"/>
      <w:bookmarkEnd w:id="41"/>
    </w:p>
    <w:p w14:paraId="13B8F21C">
      <w:pPr>
        <w:pStyle w:val="6"/>
        <w:numPr>
          <w:ilvl w:val="0"/>
          <w:numId w:val="1"/>
        </w:numPr>
        <w:spacing w:before="217" w:after="217"/>
      </w:pPr>
      <w:r>
        <w:t>规划期限</w:t>
      </w:r>
    </w:p>
    <w:p w14:paraId="392CD019">
      <w:pPr>
        <w:ind w:firstLine="640"/>
        <w:rPr>
          <w:rFonts w:ascii="Times New Roman" w:hAnsi="Times New Roman"/>
          <w:szCs w:val="32"/>
        </w:rPr>
      </w:pPr>
      <w:r>
        <w:rPr>
          <w:rFonts w:hint="eastAsia" w:ascii="Times New Roman" w:hAnsi="Times New Roman"/>
          <w:szCs w:val="32"/>
        </w:rPr>
        <w:t>本次规划基期年为2020年，规划期限为2021—2035年，规划近期年为2025年，规划目标年为2035年，远景展望至2050年。</w:t>
      </w:r>
    </w:p>
    <w:p w14:paraId="07382434">
      <w:pPr>
        <w:pStyle w:val="5"/>
        <w:numPr>
          <w:ilvl w:val="1"/>
          <w:numId w:val="0"/>
        </w:numPr>
        <w:spacing w:before="217" w:after="217"/>
        <w:rPr>
          <w:b/>
          <w:bCs w:val="0"/>
          <w:kern w:val="0"/>
        </w:rPr>
      </w:pPr>
      <w:bookmarkStart w:id="42" w:name="_Toc183863483"/>
      <w:bookmarkStart w:id="43" w:name="_Toc183862509"/>
      <w:bookmarkStart w:id="44" w:name="_Toc183863125"/>
      <w:bookmarkStart w:id="45" w:name="_Toc28013"/>
      <w:r>
        <w:rPr>
          <w:bCs w:val="0"/>
          <w:kern w:val="0"/>
        </w:rPr>
        <w:t>第</w:t>
      </w:r>
      <w:r>
        <w:rPr>
          <w:rFonts w:hint="eastAsia"/>
          <w:bCs w:val="0"/>
          <w:kern w:val="0"/>
        </w:rPr>
        <w:t>七</w:t>
      </w:r>
      <w:r>
        <w:rPr>
          <w:bCs w:val="0"/>
          <w:kern w:val="0"/>
        </w:rPr>
        <w:t>节 规划依据</w:t>
      </w:r>
      <w:bookmarkEnd w:id="42"/>
      <w:bookmarkEnd w:id="43"/>
      <w:bookmarkEnd w:id="44"/>
      <w:bookmarkEnd w:id="45"/>
    </w:p>
    <w:p w14:paraId="0FD19F8F">
      <w:pPr>
        <w:pStyle w:val="6"/>
        <w:numPr>
          <w:ilvl w:val="0"/>
          <w:numId w:val="1"/>
        </w:numPr>
        <w:spacing w:before="217" w:after="217"/>
      </w:pPr>
      <w:r>
        <w:t>规划依据</w:t>
      </w:r>
    </w:p>
    <w:p w14:paraId="77E2DB0E">
      <w:pPr>
        <w:ind w:firstLine="640"/>
        <w:rPr>
          <w:rFonts w:ascii="Times New Roman" w:hAnsi="Times New Roman"/>
          <w:szCs w:val="32"/>
        </w:rPr>
      </w:pPr>
      <w:r>
        <w:rPr>
          <w:rFonts w:ascii="Times New Roman" w:hAnsi="Times New Roman"/>
          <w:szCs w:val="32"/>
        </w:rPr>
        <w:t>（1）《中华人民共和国城乡规划法》（2019年修订）；</w:t>
      </w:r>
    </w:p>
    <w:p w14:paraId="54FAAB6F">
      <w:pPr>
        <w:ind w:firstLine="640"/>
        <w:rPr>
          <w:rFonts w:ascii="Times New Roman" w:hAnsi="Times New Roman"/>
          <w:szCs w:val="32"/>
        </w:rPr>
      </w:pPr>
      <w:r>
        <w:rPr>
          <w:rFonts w:ascii="Times New Roman" w:hAnsi="Times New Roman"/>
          <w:szCs w:val="32"/>
        </w:rPr>
        <w:t>（2）《中华人民共和国土地管理法》（2019年修订）；</w:t>
      </w:r>
    </w:p>
    <w:p w14:paraId="2F8FAB33">
      <w:pPr>
        <w:ind w:firstLine="640"/>
        <w:rPr>
          <w:rFonts w:ascii="Times New Roman" w:hAnsi="Times New Roman"/>
          <w:szCs w:val="32"/>
        </w:rPr>
      </w:pPr>
      <w:r>
        <w:rPr>
          <w:rFonts w:ascii="Times New Roman" w:hAnsi="Times New Roman"/>
          <w:szCs w:val="32"/>
        </w:rPr>
        <w:t>（3）《中华人民共和国森林法》（2019年修订）；</w:t>
      </w:r>
    </w:p>
    <w:p w14:paraId="35A79041">
      <w:pPr>
        <w:ind w:firstLine="640"/>
        <w:rPr>
          <w:rFonts w:ascii="Times New Roman" w:hAnsi="Times New Roman"/>
          <w:szCs w:val="32"/>
        </w:rPr>
      </w:pPr>
      <w:r>
        <w:rPr>
          <w:rFonts w:hint="eastAsia" w:ascii="Times New Roman" w:hAnsi="Times New Roman"/>
          <w:szCs w:val="32"/>
        </w:rPr>
        <w:t>（4）</w:t>
      </w:r>
      <w:r>
        <w:rPr>
          <w:rFonts w:ascii="Times New Roman" w:hAnsi="Times New Roman"/>
          <w:szCs w:val="32"/>
        </w:rPr>
        <w:t>《中华人民共和国</w:t>
      </w:r>
      <w:r>
        <w:rPr>
          <w:rFonts w:hint="eastAsia" w:ascii="Times New Roman" w:hAnsi="Times New Roman"/>
          <w:szCs w:val="32"/>
        </w:rPr>
        <w:t>草原</w:t>
      </w:r>
      <w:r>
        <w:rPr>
          <w:rFonts w:ascii="Times New Roman" w:hAnsi="Times New Roman"/>
          <w:szCs w:val="32"/>
        </w:rPr>
        <w:t>法》（2021年修订）；</w:t>
      </w:r>
    </w:p>
    <w:p w14:paraId="7855E773">
      <w:pPr>
        <w:ind w:firstLine="640"/>
        <w:rPr>
          <w:rFonts w:ascii="Times New Roman" w:hAnsi="Times New Roman"/>
          <w:szCs w:val="32"/>
        </w:rPr>
      </w:pPr>
      <w:r>
        <w:rPr>
          <w:rFonts w:hint="eastAsia" w:ascii="Times New Roman" w:hAnsi="Times New Roman"/>
          <w:szCs w:val="32"/>
        </w:rPr>
        <w:t>（</w:t>
      </w:r>
      <w:r>
        <w:rPr>
          <w:rFonts w:ascii="Times New Roman" w:hAnsi="Times New Roman"/>
          <w:szCs w:val="32"/>
        </w:rPr>
        <w:t>5</w:t>
      </w:r>
      <w:r>
        <w:rPr>
          <w:rFonts w:hint="eastAsia" w:ascii="Times New Roman" w:hAnsi="Times New Roman"/>
          <w:szCs w:val="32"/>
        </w:rPr>
        <w:t>）</w:t>
      </w:r>
      <w:r>
        <w:rPr>
          <w:rFonts w:ascii="Times New Roman" w:hAnsi="Times New Roman"/>
          <w:szCs w:val="32"/>
        </w:rPr>
        <w:t>《中华人民共和国</w:t>
      </w:r>
      <w:r>
        <w:rPr>
          <w:rFonts w:hint="eastAsia" w:ascii="Times New Roman" w:hAnsi="Times New Roman"/>
          <w:szCs w:val="32"/>
        </w:rPr>
        <w:t>湿地保护</w:t>
      </w:r>
      <w:r>
        <w:rPr>
          <w:rFonts w:ascii="Times New Roman" w:hAnsi="Times New Roman"/>
          <w:szCs w:val="32"/>
        </w:rPr>
        <w:t>法》（2022年</w:t>
      </w:r>
      <w:r>
        <w:rPr>
          <w:rFonts w:hint="eastAsia" w:ascii="Times New Roman" w:hAnsi="Times New Roman"/>
          <w:szCs w:val="32"/>
        </w:rPr>
        <w:t>6月</w:t>
      </w:r>
      <w:r>
        <w:rPr>
          <w:rFonts w:ascii="Times New Roman" w:hAnsi="Times New Roman"/>
          <w:szCs w:val="32"/>
        </w:rPr>
        <w:t>）；</w:t>
      </w:r>
    </w:p>
    <w:p w14:paraId="129D1ED1">
      <w:pPr>
        <w:ind w:firstLine="640"/>
        <w:rPr>
          <w:rFonts w:ascii="Times New Roman" w:hAnsi="Times New Roman"/>
          <w:szCs w:val="32"/>
        </w:rPr>
      </w:pPr>
      <w:r>
        <w:rPr>
          <w:rFonts w:hint="eastAsia" w:ascii="Times New Roman" w:hAnsi="Times New Roman"/>
          <w:szCs w:val="32"/>
        </w:rPr>
        <w:t>（</w:t>
      </w:r>
      <w:r>
        <w:rPr>
          <w:rFonts w:ascii="Times New Roman" w:hAnsi="Times New Roman"/>
          <w:szCs w:val="32"/>
        </w:rPr>
        <w:t>6</w:t>
      </w:r>
      <w:r>
        <w:rPr>
          <w:rFonts w:hint="eastAsia" w:ascii="Times New Roman" w:hAnsi="Times New Roman"/>
          <w:szCs w:val="32"/>
        </w:rPr>
        <w:t>）</w:t>
      </w:r>
      <w:r>
        <w:rPr>
          <w:rFonts w:ascii="Times New Roman" w:hAnsi="Times New Roman"/>
          <w:szCs w:val="32"/>
        </w:rPr>
        <w:t>《中华人民共和国</w:t>
      </w:r>
      <w:r>
        <w:rPr>
          <w:rFonts w:hint="eastAsia" w:ascii="Times New Roman" w:hAnsi="Times New Roman"/>
          <w:szCs w:val="32"/>
        </w:rPr>
        <w:t>自然保护区条例</w:t>
      </w:r>
      <w:r>
        <w:rPr>
          <w:rFonts w:ascii="Times New Roman" w:hAnsi="Times New Roman"/>
          <w:szCs w:val="32"/>
        </w:rPr>
        <w:t>》（2017</w:t>
      </w:r>
      <w:r>
        <w:rPr>
          <w:rFonts w:hint="eastAsia" w:ascii="Times New Roman" w:hAnsi="Times New Roman"/>
          <w:szCs w:val="32"/>
        </w:rPr>
        <w:t>年修订</w:t>
      </w:r>
      <w:r>
        <w:rPr>
          <w:rFonts w:ascii="Times New Roman" w:hAnsi="Times New Roman"/>
          <w:szCs w:val="32"/>
        </w:rPr>
        <w:t>）；</w:t>
      </w:r>
    </w:p>
    <w:p w14:paraId="30B3EB1A">
      <w:pPr>
        <w:ind w:firstLine="640"/>
        <w:rPr>
          <w:rFonts w:ascii="Times New Roman" w:hAnsi="Times New Roman"/>
          <w:szCs w:val="32"/>
        </w:rPr>
      </w:pPr>
      <w:r>
        <w:rPr>
          <w:rFonts w:hint="eastAsia" w:ascii="Times New Roman" w:hAnsi="Times New Roman"/>
          <w:szCs w:val="32"/>
        </w:rPr>
        <w:t>（</w:t>
      </w:r>
      <w:r>
        <w:rPr>
          <w:rFonts w:ascii="Times New Roman" w:hAnsi="Times New Roman"/>
          <w:szCs w:val="32"/>
        </w:rPr>
        <w:t>7</w:t>
      </w:r>
      <w:r>
        <w:rPr>
          <w:rFonts w:hint="eastAsia" w:ascii="Times New Roman" w:hAnsi="Times New Roman"/>
          <w:szCs w:val="32"/>
        </w:rPr>
        <w:t>）</w:t>
      </w:r>
      <w:r>
        <w:rPr>
          <w:rFonts w:ascii="Times New Roman" w:hAnsi="Times New Roman"/>
          <w:szCs w:val="32"/>
        </w:rPr>
        <w:t>《自然资源部</w:t>
      </w:r>
      <w:r>
        <w:rPr>
          <w:rFonts w:hint="eastAsia" w:ascii="Times New Roman" w:hAnsi="Times New Roman"/>
          <w:szCs w:val="32"/>
        </w:rPr>
        <w:t xml:space="preserve"> 生态环境部 国家林业和草原局</w:t>
      </w:r>
      <w:r>
        <w:rPr>
          <w:rFonts w:ascii="Times New Roman" w:hAnsi="Times New Roman"/>
          <w:szCs w:val="32"/>
        </w:rPr>
        <w:t>关于</w:t>
      </w:r>
      <w:r>
        <w:rPr>
          <w:rFonts w:hint="eastAsia" w:ascii="Times New Roman" w:hAnsi="Times New Roman"/>
          <w:szCs w:val="32"/>
        </w:rPr>
        <w:t>加强生态保护红线管理的通知（试行）</w:t>
      </w:r>
      <w:r>
        <w:rPr>
          <w:rFonts w:ascii="Times New Roman" w:hAnsi="Times New Roman"/>
          <w:szCs w:val="32"/>
        </w:rPr>
        <w:t>》（自然资发〔2022〕142号）</w:t>
      </w:r>
      <w:r>
        <w:rPr>
          <w:rFonts w:hint="eastAsia" w:ascii="Times New Roman" w:hAnsi="Times New Roman"/>
          <w:szCs w:val="32"/>
        </w:rPr>
        <w:t>；</w:t>
      </w:r>
    </w:p>
    <w:p w14:paraId="014F209C">
      <w:pPr>
        <w:ind w:firstLine="640"/>
        <w:rPr>
          <w:rFonts w:ascii="Times New Roman" w:hAnsi="Times New Roman"/>
          <w:szCs w:val="32"/>
        </w:rPr>
      </w:pPr>
      <w:r>
        <w:rPr>
          <w:rFonts w:ascii="Times New Roman" w:hAnsi="Times New Roman"/>
          <w:szCs w:val="32"/>
        </w:rPr>
        <w:t>（8）《</w:t>
      </w:r>
      <w:r>
        <w:rPr>
          <w:rFonts w:hint="eastAsia" w:ascii="Times New Roman" w:hAnsi="Times New Roman"/>
          <w:szCs w:val="32"/>
        </w:rPr>
        <w:t>中华人民共和国</w:t>
      </w:r>
      <w:r>
        <w:rPr>
          <w:rFonts w:ascii="Times New Roman" w:hAnsi="Times New Roman"/>
          <w:szCs w:val="32"/>
        </w:rPr>
        <w:t>土地管理法实施条例》（2021年修订）；</w:t>
      </w:r>
    </w:p>
    <w:p w14:paraId="53A2C42E">
      <w:pPr>
        <w:ind w:firstLine="640"/>
        <w:rPr>
          <w:rFonts w:ascii="Times New Roman" w:hAnsi="Times New Roman"/>
          <w:szCs w:val="32"/>
        </w:rPr>
      </w:pPr>
      <w:r>
        <w:rPr>
          <w:rFonts w:ascii="Times New Roman" w:hAnsi="Times New Roman"/>
          <w:szCs w:val="32"/>
        </w:rPr>
        <w:t>（9）《中共中央 国务院关于建立国土空间规划体系并监督实施的若干意见》（中发〔2019〕18号）；</w:t>
      </w:r>
    </w:p>
    <w:p w14:paraId="264D0BCE">
      <w:pPr>
        <w:ind w:firstLine="640"/>
        <w:rPr>
          <w:rFonts w:ascii="Times New Roman" w:hAnsi="Times New Roman"/>
          <w:szCs w:val="32"/>
        </w:rPr>
      </w:pPr>
      <w:r>
        <w:rPr>
          <w:rFonts w:ascii="Times New Roman" w:hAnsi="Times New Roman"/>
          <w:szCs w:val="32"/>
        </w:rPr>
        <w:t>（10）《中共中央办公厅 国务院办公厅</w:t>
      </w:r>
      <w:r>
        <w:rPr>
          <w:rFonts w:hint="eastAsia" w:ascii="Times New Roman" w:hAnsi="Times New Roman"/>
          <w:szCs w:val="32"/>
        </w:rPr>
        <w:t>〈</w:t>
      </w:r>
      <w:r>
        <w:rPr>
          <w:rFonts w:ascii="Times New Roman" w:hAnsi="Times New Roman"/>
          <w:szCs w:val="32"/>
        </w:rPr>
        <w:t>关于在国土空间规划中统筹划定落实三条控制线的指导意见</w:t>
      </w:r>
      <w:r>
        <w:rPr>
          <w:rFonts w:hint="eastAsia" w:ascii="Times New Roman" w:hAnsi="Times New Roman"/>
          <w:szCs w:val="32"/>
        </w:rPr>
        <w:t>〉</w:t>
      </w:r>
      <w:r>
        <w:rPr>
          <w:rFonts w:ascii="Times New Roman" w:hAnsi="Times New Roman"/>
          <w:szCs w:val="32"/>
        </w:rPr>
        <w:t>的通知》（厅字〔2019〕48号）；</w:t>
      </w:r>
    </w:p>
    <w:p w14:paraId="74CA9CC6">
      <w:pPr>
        <w:ind w:firstLine="640"/>
        <w:rPr>
          <w:rFonts w:ascii="Times New Roman" w:hAnsi="Times New Roman"/>
          <w:szCs w:val="32"/>
        </w:rPr>
      </w:pPr>
      <w:r>
        <w:rPr>
          <w:rFonts w:ascii="Times New Roman" w:hAnsi="Times New Roman"/>
          <w:szCs w:val="32"/>
        </w:rPr>
        <w:t>（11）《中共中央办公厅 国务院办公厅印发</w:t>
      </w:r>
      <w:r>
        <w:rPr>
          <w:rFonts w:hint="eastAsia" w:ascii="Times New Roman" w:hAnsi="Times New Roman"/>
          <w:szCs w:val="32"/>
        </w:rPr>
        <w:t>〈</w:t>
      </w:r>
      <w:r>
        <w:rPr>
          <w:rFonts w:ascii="Times New Roman" w:hAnsi="Times New Roman"/>
          <w:szCs w:val="32"/>
        </w:rPr>
        <w:t>关于建立以国家公园为主体的自然保护地体系的指导意见</w:t>
      </w:r>
      <w:r>
        <w:rPr>
          <w:rFonts w:hint="eastAsia" w:ascii="Times New Roman" w:hAnsi="Times New Roman"/>
          <w:szCs w:val="32"/>
        </w:rPr>
        <w:t>〉</w:t>
      </w:r>
      <w:r>
        <w:rPr>
          <w:rFonts w:ascii="Times New Roman" w:hAnsi="Times New Roman"/>
          <w:szCs w:val="32"/>
        </w:rPr>
        <w:t>的通知》（中办发〔2019〕42号）；</w:t>
      </w:r>
    </w:p>
    <w:p w14:paraId="1BED47F3">
      <w:pPr>
        <w:ind w:firstLine="640"/>
        <w:rPr>
          <w:rFonts w:ascii="Times New Roman" w:hAnsi="Times New Roman"/>
          <w:szCs w:val="32"/>
        </w:rPr>
      </w:pPr>
      <w:r>
        <w:rPr>
          <w:rFonts w:ascii="Times New Roman" w:hAnsi="Times New Roman"/>
          <w:szCs w:val="32"/>
        </w:rPr>
        <w:t>（12）《自然资源部关于全面开展国土空间规划工作的通知》（自然资源发〔2019〕87号）；</w:t>
      </w:r>
    </w:p>
    <w:p w14:paraId="78EDFE08">
      <w:pPr>
        <w:ind w:firstLine="640"/>
        <w:rPr>
          <w:rFonts w:ascii="Times New Roman" w:hAnsi="Times New Roman"/>
          <w:szCs w:val="32"/>
        </w:rPr>
      </w:pPr>
      <w:r>
        <w:rPr>
          <w:rFonts w:ascii="Times New Roman" w:hAnsi="Times New Roman"/>
          <w:szCs w:val="32"/>
        </w:rPr>
        <w:t>（13）《自然资源部办公厅关于加强村庄规划促进乡村振兴的通知》（自然资办发〔2019〕35号）；</w:t>
      </w:r>
    </w:p>
    <w:p w14:paraId="5D37610E">
      <w:pPr>
        <w:ind w:firstLine="640"/>
        <w:rPr>
          <w:rFonts w:ascii="Times New Roman" w:hAnsi="Times New Roman"/>
          <w:szCs w:val="32"/>
        </w:rPr>
      </w:pPr>
      <w:r>
        <w:rPr>
          <w:rFonts w:ascii="Times New Roman" w:hAnsi="Times New Roman"/>
          <w:szCs w:val="32"/>
        </w:rPr>
        <w:t>（14）《自然资源部 农业农村部关于加强和改进永久基本农田保护工作的通知》（自然资规〔2019〕1号）；</w:t>
      </w:r>
    </w:p>
    <w:p w14:paraId="30934282">
      <w:pPr>
        <w:ind w:firstLine="640"/>
        <w:rPr>
          <w:rFonts w:ascii="Times New Roman" w:hAnsi="Times New Roman"/>
          <w:szCs w:val="32"/>
        </w:rPr>
      </w:pPr>
      <w:r>
        <w:rPr>
          <w:rFonts w:ascii="Times New Roman" w:hAnsi="Times New Roman"/>
          <w:szCs w:val="32"/>
        </w:rPr>
        <w:t>（15）《自然资源部中央农村工作领导小组办公室关于学习运用“千万工程”和经验提高村庄规划编制质量和实效的通知》（自然资发〔2024〕1号）；</w:t>
      </w:r>
    </w:p>
    <w:p w14:paraId="1C6B48B3">
      <w:pPr>
        <w:ind w:firstLine="640"/>
        <w:rPr>
          <w:rFonts w:ascii="Times New Roman" w:hAnsi="Times New Roman"/>
          <w:szCs w:val="32"/>
        </w:rPr>
      </w:pPr>
      <w:r>
        <w:rPr>
          <w:rFonts w:ascii="Times New Roman" w:hAnsi="Times New Roman"/>
          <w:szCs w:val="32"/>
        </w:rPr>
        <w:t>（16）《中共黑龙江省委 黑龙江省人民政府关于建立全省国土空间规划体系并监督实施的意见》（黑发〔2020〕5号）；</w:t>
      </w:r>
    </w:p>
    <w:p w14:paraId="5AD0BBD7">
      <w:pPr>
        <w:ind w:firstLine="640"/>
        <w:rPr>
          <w:rFonts w:ascii="Times New Roman" w:hAnsi="Times New Roman"/>
          <w:szCs w:val="32"/>
        </w:rPr>
      </w:pPr>
      <w:r>
        <w:rPr>
          <w:rFonts w:ascii="Times New Roman" w:hAnsi="Times New Roman"/>
          <w:szCs w:val="32"/>
        </w:rPr>
        <w:t>（17）《中共黑龙江省委办公厅 黑龙江省人民政府办公厅印发</w:t>
      </w:r>
      <w:r>
        <w:rPr>
          <w:rFonts w:hint="eastAsia" w:ascii="Times New Roman" w:hAnsi="Times New Roman"/>
          <w:szCs w:val="32"/>
        </w:rPr>
        <w:t>〈</w:t>
      </w:r>
      <w:r>
        <w:rPr>
          <w:rFonts w:ascii="Times New Roman" w:hAnsi="Times New Roman"/>
          <w:szCs w:val="32"/>
        </w:rPr>
        <w:t>关于在全省国土空间规划中统筹划定落实三条控制线的实施意见</w:t>
      </w:r>
      <w:r>
        <w:rPr>
          <w:rFonts w:hint="eastAsia" w:ascii="Times New Roman" w:hAnsi="Times New Roman"/>
          <w:szCs w:val="32"/>
        </w:rPr>
        <w:t>〉</w:t>
      </w:r>
      <w:r>
        <w:rPr>
          <w:rFonts w:ascii="Times New Roman" w:hAnsi="Times New Roman"/>
          <w:szCs w:val="32"/>
        </w:rPr>
        <w:t>的通知》；</w:t>
      </w:r>
    </w:p>
    <w:p w14:paraId="14C30585">
      <w:pPr>
        <w:ind w:firstLine="640"/>
        <w:rPr>
          <w:rFonts w:ascii="Times New Roman" w:hAnsi="Times New Roman"/>
          <w:szCs w:val="32"/>
        </w:rPr>
      </w:pPr>
      <w:r>
        <w:rPr>
          <w:rFonts w:ascii="Times New Roman" w:hAnsi="Times New Roman"/>
          <w:szCs w:val="32"/>
        </w:rPr>
        <w:t>（18）《黑龙江省自然资源厅关于全面开展全省国土空间规划工作的通知》（黑自然资函〔2019〕291号）；</w:t>
      </w:r>
    </w:p>
    <w:p w14:paraId="18B76DB3">
      <w:pPr>
        <w:ind w:firstLine="640"/>
        <w:rPr>
          <w:rFonts w:ascii="Times New Roman" w:hAnsi="Times New Roman"/>
          <w:szCs w:val="32"/>
        </w:rPr>
      </w:pPr>
      <w:r>
        <w:rPr>
          <w:rFonts w:ascii="Times New Roman" w:hAnsi="Times New Roman"/>
          <w:szCs w:val="32"/>
        </w:rPr>
        <w:t>（19）《黑龙江省自然资源厅关于印发〈黑龙江省市县级国土空间总体规划成果审查报批工作办法（试行）〉的通知》（黑自然资发〔2023〕5号）</w:t>
      </w:r>
    </w:p>
    <w:p w14:paraId="04FB7FE9">
      <w:pPr>
        <w:ind w:firstLine="640"/>
        <w:rPr>
          <w:rFonts w:ascii="Times New Roman" w:hAnsi="Times New Roman"/>
          <w:szCs w:val="32"/>
        </w:rPr>
      </w:pPr>
      <w:r>
        <w:rPr>
          <w:rFonts w:ascii="Times New Roman" w:hAnsi="Times New Roman"/>
          <w:szCs w:val="32"/>
        </w:rPr>
        <w:t>（20）《黑土地保护利用条例》（2024年）</w:t>
      </w:r>
    </w:p>
    <w:p w14:paraId="4FF83036">
      <w:pPr>
        <w:ind w:firstLine="640"/>
        <w:rPr>
          <w:rFonts w:ascii="Times New Roman" w:hAnsi="Times New Roman"/>
          <w:szCs w:val="32"/>
        </w:rPr>
      </w:pPr>
      <w:r>
        <w:rPr>
          <w:rFonts w:ascii="Times New Roman" w:hAnsi="Times New Roman"/>
          <w:szCs w:val="32"/>
        </w:rPr>
        <w:t>（21）《国土空间调查、规划、用途管制用地用海分类指南》（自然资发〔2023〕234号）；</w:t>
      </w:r>
    </w:p>
    <w:p w14:paraId="7F5E6CB1">
      <w:pPr>
        <w:ind w:firstLine="640"/>
        <w:rPr>
          <w:rFonts w:ascii="Times New Roman" w:hAnsi="Times New Roman"/>
          <w:szCs w:val="32"/>
        </w:rPr>
      </w:pPr>
      <w:r>
        <w:rPr>
          <w:rFonts w:ascii="Times New Roman" w:hAnsi="Times New Roman"/>
          <w:szCs w:val="32"/>
        </w:rPr>
        <w:t>（22）《省级国土空间规划编制技术规程（GB/T43214-2023）》；</w:t>
      </w:r>
    </w:p>
    <w:p w14:paraId="647CC3C6">
      <w:pPr>
        <w:ind w:firstLine="640"/>
        <w:rPr>
          <w:rFonts w:ascii="Times New Roman" w:hAnsi="Times New Roman"/>
          <w:szCs w:val="32"/>
        </w:rPr>
      </w:pPr>
      <w:r>
        <w:rPr>
          <w:rFonts w:ascii="Times New Roman" w:hAnsi="Times New Roman"/>
          <w:szCs w:val="32"/>
        </w:rPr>
        <w:t>（23）《市级国土空间总体规划编制指南（试行）》；</w:t>
      </w:r>
    </w:p>
    <w:p w14:paraId="216F7E57">
      <w:pPr>
        <w:ind w:firstLine="640"/>
        <w:rPr>
          <w:rFonts w:ascii="Times New Roman" w:hAnsi="Times New Roman"/>
          <w:szCs w:val="32"/>
        </w:rPr>
      </w:pPr>
      <w:r>
        <w:rPr>
          <w:rFonts w:ascii="Times New Roman" w:hAnsi="Times New Roman"/>
          <w:szCs w:val="32"/>
        </w:rPr>
        <w:t>（24）《黑龙江省县级国土空间总体规划编制指南</w:t>
      </w:r>
      <w:bookmarkStart w:id="46" w:name="_Toc25334595"/>
      <w:bookmarkStart w:id="47" w:name="_Toc2735"/>
      <w:bookmarkStart w:id="48" w:name="_Toc19177"/>
      <w:bookmarkStart w:id="49" w:name="_Toc23855780"/>
      <w:bookmarkStart w:id="50" w:name="_Toc25333591"/>
      <w:bookmarkStart w:id="51" w:name="_Toc470795965"/>
      <w:bookmarkStart w:id="52" w:name="_Toc24476477"/>
      <w:bookmarkStart w:id="53" w:name="_Toc470783041"/>
      <w:bookmarkStart w:id="54" w:name="_Toc22804"/>
      <w:bookmarkStart w:id="55" w:name="_Toc481936462"/>
      <w:bookmarkStart w:id="56" w:name="_Toc24478972"/>
      <w:bookmarkStart w:id="57" w:name="_Toc24550754"/>
      <w:r>
        <w:rPr>
          <w:rFonts w:ascii="Times New Roman" w:hAnsi="Times New Roman"/>
          <w:szCs w:val="32"/>
        </w:rPr>
        <w:t>（试行）</w:t>
      </w:r>
      <w:bookmarkEnd w:id="46"/>
      <w:bookmarkEnd w:id="47"/>
      <w:bookmarkEnd w:id="48"/>
      <w:bookmarkEnd w:id="49"/>
      <w:bookmarkEnd w:id="50"/>
      <w:bookmarkEnd w:id="51"/>
      <w:bookmarkEnd w:id="52"/>
      <w:bookmarkEnd w:id="53"/>
      <w:bookmarkEnd w:id="54"/>
      <w:bookmarkEnd w:id="55"/>
      <w:bookmarkEnd w:id="56"/>
      <w:bookmarkEnd w:id="57"/>
      <w:r>
        <w:rPr>
          <w:rFonts w:ascii="Times New Roman" w:hAnsi="Times New Roman"/>
          <w:szCs w:val="32"/>
        </w:rPr>
        <w:t>》；</w:t>
      </w:r>
    </w:p>
    <w:p w14:paraId="4D4E894D">
      <w:pPr>
        <w:ind w:firstLine="640"/>
        <w:rPr>
          <w:rFonts w:ascii="Times New Roman" w:hAnsi="Times New Roman"/>
          <w:szCs w:val="32"/>
        </w:rPr>
      </w:pPr>
      <w:r>
        <w:rPr>
          <w:rFonts w:ascii="Times New Roman" w:hAnsi="Times New Roman"/>
          <w:szCs w:val="32"/>
        </w:rPr>
        <w:t>（25）《黑龙江省乡镇级国土空间总体规划编制指南（试行）》；</w:t>
      </w:r>
    </w:p>
    <w:p w14:paraId="58F62391">
      <w:pPr>
        <w:ind w:firstLine="640"/>
        <w:rPr>
          <w:rFonts w:ascii="Times New Roman" w:hAnsi="Times New Roman"/>
          <w:szCs w:val="32"/>
        </w:rPr>
      </w:pPr>
      <w:r>
        <w:rPr>
          <w:rFonts w:ascii="Times New Roman" w:hAnsi="Times New Roman"/>
          <w:szCs w:val="32"/>
        </w:rPr>
        <w:t>（26）《黑龙江省村庄规划编制技术指引（试行）》</w:t>
      </w:r>
    </w:p>
    <w:p w14:paraId="75BF4E49">
      <w:pPr>
        <w:ind w:firstLine="640"/>
        <w:rPr>
          <w:rFonts w:ascii="Times New Roman" w:hAnsi="Times New Roman"/>
          <w:szCs w:val="32"/>
        </w:rPr>
      </w:pPr>
      <w:r>
        <w:rPr>
          <w:rFonts w:ascii="Times New Roman" w:hAnsi="Times New Roman"/>
          <w:szCs w:val="32"/>
        </w:rPr>
        <w:t>（27）《市级国土空间总体规划制图规范（试行）》；</w:t>
      </w:r>
    </w:p>
    <w:p w14:paraId="472B33D7">
      <w:pPr>
        <w:ind w:firstLine="640"/>
        <w:rPr>
          <w:rFonts w:ascii="Times New Roman" w:hAnsi="Times New Roman"/>
          <w:szCs w:val="32"/>
        </w:rPr>
      </w:pPr>
      <w:r>
        <w:rPr>
          <w:rFonts w:ascii="Times New Roman" w:hAnsi="Times New Roman"/>
          <w:szCs w:val="32"/>
        </w:rPr>
        <w:t>（28）《乡镇级国土空间规划数据库规范（试行）》；</w:t>
      </w:r>
    </w:p>
    <w:p w14:paraId="39A94CCF">
      <w:pPr>
        <w:ind w:firstLine="640"/>
        <w:rPr>
          <w:rFonts w:ascii="Times New Roman" w:hAnsi="Times New Roman"/>
          <w:szCs w:val="32"/>
        </w:rPr>
      </w:pPr>
      <w:r>
        <w:rPr>
          <w:rFonts w:ascii="Times New Roman" w:hAnsi="Times New Roman"/>
          <w:szCs w:val="32"/>
        </w:rPr>
        <w:t>（29）《佳木斯市国土空间总体规划（2021-2035年）》、</w:t>
      </w:r>
    </w:p>
    <w:p w14:paraId="5F70998B">
      <w:pPr>
        <w:ind w:firstLine="640"/>
        <w:rPr>
          <w:rFonts w:ascii="Times New Roman" w:hAnsi="Times New Roman"/>
          <w:szCs w:val="32"/>
        </w:rPr>
      </w:pPr>
      <w:r>
        <w:rPr>
          <w:rFonts w:ascii="Times New Roman" w:hAnsi="Times New Roman"/>
          <w:szCs w:val="32"/>
        </w:rPr>
        <w:t>（30）《桦川县国土空间总体规划（2021</w:t>
      </w:r>
      <w:r>
        <w:rPr>
          <w:rFonts w:hint="eastAsia" w:ascii="Times New Roman" w:hAnsi="Times New Roman"/>
          <w:szCs w:val="32"/>
        </w:rPr>
        <w:t>—</w:t>
      </w:r>
      <w:r>
        <w:rPr>
          <w:rFonts w:ascii="Times New Roman" w:hAnsi="Times New Roman"/>
          <w:szCs w:val="32"/>
        </w:rPr>
        <w:t>2035年）》；</w:t>
      </w:r>
    </w:p>
    <w:p w14:paraId="7DBF4C8C">
      <w:pPr>
        <w:ind w:firstLine="640"/>
        <w:rPr>
          <w:rFonts w:ascii="Times New Roman" w:hAnsi="Times New Roman"/>
          <w:szCs w:val="32"/>
        </w:rPr>
      </w:pPr>
      <w:r>
        <w:rPr>
          <w:rFonts w:ascii="Times New Roman" w:hAnsi="Times New Roman"/>
          <w:szCs w:val="32"/>
        </w:rPr>
        <w:t>（31）《桦川县国民经济和社会发展第十四个五年规划和2035年远景目标纲要》；</w:t>
      </w:r>
    </w:p>
    <w:p w14:paraId="2EE89C02">
      <w:pPr>
        <w:ind w:firstLine="640"/>
        <w:rPr>
          <w:rFonts w:ascii="Times New Roman" w:hAnsi="Times New Roman"/>
          <w:szCs w:val="32"/>
        </w:rPr>
      </w:pPr>
      <w:bookmarkStart w:id="58" w:name="_Toc23837"/>
      <w:r>
        <w:rPr>
          <w:rFonts w:ascii="Times New Roman" w:hAnsi="Times New Roman"/>
          <w:szCs w:val="32"/>
        </w:rPr>
        <w:t>（32）国家、省、行业主管部门颁布的其他相关文件及标准规范。</w:t>
      </w:r>
      <w:bookmarkEnd w:id="58"/>
    </w:p>
    <w:p w14:paraId="2CB5CA06">
      <w:pPr>
        <w:pStyle w:val="5"/>
        <w:numPr>
          <w:ilvl w:val="1"/>
          <w:numId w:val="0"/>
        </w:numPr>
        <w:spacing w:before="217" w:after="217" w:line="456" w:lineRule="auto"/>
        <w:rPr>
          <w:b/>
          <w:bCs w:val="0"/>
          <w:kern w:val="0"/>
        </w:rPr>
      </w:pPr>
      <w:bookmarkStart w:id="59" w:name="_Toc183863126"/>
      <w:bookmarkStart w:id="60" w:name="_Toc183862510"/>
      <w:bookmarkStart w:id="61" w:name="_Toc183863484"/>
      <w:bookmarkStart w:id="62" w:name="_Toc14836"/>
      <w:r>
        <w:rPr>
          <w:bCs w:val="0"/>
          <w:kern w:val="0"/>
        </w:rPr>
        <w:t>第</w:t>
      </w:r>
      <w:r>
        <w:rPr>
          <w:rFonts w:hint="eastAsia"/>
          <w:bCs w:val="0"/>
          <w:kern w:val="0"/>
        </w:rPr>
        <w:t>八</w:t>
      </w:r>
      <w:r>
        <w:rPr>
          <w:bCs w:val="0"/>
          <w:kern w:val="0"/>
        </w:rPr>
        <w:t xml:space="preserve">节 </w:t>
      </w:r>
      <w:r>
        <w:rPr>
          <w:rFonts w:hint="eastAsia"/>
          <w:bCs w:val="0"/>
          <w:kern w:val="0"/>
        </w:rPr>
        <w:t>强制性内容</w:t>
      </w:r>
      <w:bookmarkEnd w:id="59"/>
      <w:bookmarkEnd w:id="60"/>
      <w:bookmarkEnd w:id="61"/>
      <w:bookmarkEnd w:id="62"/>
    </w:p>
    <w:p w14:paraId="55142517">
      <w:pPr>
        <w:pStyle w:val="6"/>
        <w:numPr>
          <w:ilvl w:val="0"/>
          <w:numId w:val="1"/>
        </w:numPr>
        <w:spacing w:before="217" w:after="217"/>
      </w:pPr>
      <w:r>
        <w:t>强制性内容</w:t>
      </w:r>
    </w:p>
    <w:p w14:paraId="00DFC631">
      <w:pPr>
        <w:ind w:firstLine="640"/>
        <w:rPr>
          <w:rFonts w:ascii="Times New Roman" w:hAnsi="Times New Roman"/>
          <w:szCs w:val="32"/>
        </w:rPr>
      </w:pPr>
      <w:r>
        <w:rPr>
          <w:rFonts w:ascii="Times New Roman" w:hAnsi="Times New Roman"/>
          <w:szCs w:val="32"/>
        </w:rPr>
        <w:t>强制性内容是对国土空间规划实施监督检查的基本依据，文本中加下划线内容为强制性条文。</w:t>
      </w:r>
    </w:p>
    <w:p w14:paraId="7308AC93">
      <w:pPr>
        <w:pStyle w:val="4"/>
        <w:spacing w:before="217" w:after="217"/>
        <w:ind w:firstLine="640"/>
      </w:pPr>
      <w:r>
        <w:rPr>
          <w:rFonts w:eastAsia="仿宋"/>
          <w:sz w:val="28"/>
          <w:szCs w:val="28"/>
        </w:rPr>
        <w:br w:type="page"/>
      </w:r>
      <w:bookmarkStart w:id="63" w:name="_Toc183863130"/>
      <w:bookmarkStart w:id="64" w:name="_Toc183862514"/>
      <w:bookmarkStart w:id="65" w:name="_Toc183863384"/>
      <w:bookmarkStart w:id="66" w:name="_Toc20349"/>
      <w:r>
        <w:t>第三章 目标定位与空间策略</w:t>
      </w:r>
      <w:bookmarkEnd w:id="63"/>
      <w:bookmarkEnd w:id="64"/>
      <w:bookmarkEnd w:id="65"/>
      <w:bookmarkEnd w:id="66"/>
    </w:p>
    <w:p w14:paraId="2ED17A9D">
      <w:pPr>
        <w:pStyle w:val="5"/>
        <w:numPr>
          <w:ilvl w:val="1"/>
          <w:numId w:val="0"/>
        </w:numPr>
        <w:spacing w:before="217" w:after="217"/>
        <w:rPr>
          <w:b/>
          <w:bCs w:val="0"/>
          <w:kern w:val="0"/>
        </w:rPr>
      </w:pPr>
      <w:bookmarkStart w:id="67" w:name="_Toc183863131"/>
      <w:bookmarkStart w:id="68" w:name="_Toc183862515"/>
      <w:bookmarkStart w:id="69" w:name="_Toc29620"/>
      <w:r>
        <w:rPr>
          <w:bCs w:val="0"/>
          <w:kern w:val="0"/>
        </w:rPr>
        <w:t>第一节 发展定位</w:t>
      </w:r>
      <w:bookmarkEnd w:id="67"/>
      <w:bookmarkEnd w:id="68"/>
      <w:bookmarkEnd w:id="69"/>
    </w:p>
    <w:p w14:paraId="3559B293">
      <w:pPr>
        <w:pStyle w:val="6"/>
        <w:numPr>
          <w:ilvl w:val="0"/>
          <w:numId w:val="1"/>
        </w:numPr>
        <w:spacing w:before="217" w:after="217"/>
      </w:pPr>
      <w:r>
        <w:rPr>
          <w:rFonts w:hint="eastAsia"/>
        </w:rPr>
        <w:t>发展</w:t>
      </w:r>
      <w:r>
        <w:t>定位</w:t>
      </w:r>
    </w:p>
    <w:p w14:paraId="4D248D90">
      <w:pPr>
        <w:ind w:firstLine="640"/>
        <w:rPr>
          <w:rFonts w:ascii="Times New Roman" w:hAnsi="Times New Roman"/>
          <w:szCs w:val="32"/>
        </w:rPr>
      </w:pPr>
      <w:r>
        <w:rPr>
          <w:rFonts w:hint="eastAsia" w:ascii="Times New Roman" w:hAnsi="Times New Roman"/>
          <w:szCs w:val="32"/>
        </w:rPr>
        <w:t>落实上位规划，</w:t>
      </w:r>
      <w:r>
        <w:rPr>
          <w:rFonts w:ascii="Times New Roman" w:hAnsi="Times New Roman"/>
          <w:szCs w:val="32"/>
        </w:rPr>
        <w:t>四马架镇为佳木斯市东部节点城镇，是以商贸物流业、化工建材、农副产品加工业为主导，生态宜居的工贸型城镇。</w:t>
      </w:r>
    </w:p>
    <w:p w14:paraId="0E57B731">
      <w:pPr>
        <w:pStyle w:val="5"/>
        <w:numPr>
          <w:ilvl w:val="1"/>
          <w:numId w:val="0"/>
        </w:numPr>
        <w:spacing w:before="217" w:after="217"/>
        <w:rPr>
          <w:b/>
          <w:bCs w:val="0"/>
          <w:kern w:val="0"/>
        </w:rPr>
      </w:pPr>
      <w:bookmarkStart w:id="70" w:name="_Toc183863132"/>
      <w:bookmarkStart w:id="71" w:name="_Toc183862516"/>
      <w:bookmarkStart w:id="72" w:name="_Toc5644"/>
      <w:r>
        <w:rPr>
          <w:bCs w:val="0"/>
          <w:kern w:val="0"/>
        </w:rPr>
        <w:t>第二节 空间</w:t>
      </w:r>
      <w:r>
        <w:rPr>
          <w:rFonts w:hint="eastAsia"/>
          <w:bCs w:val="0"/>
          <w:kern w:val="0"/>
        </w:rPr>
        <w:t>策</w:t>
      </w:r>
      <w:r>
        <w:rPr>
          <w:bCs w:val="0"/>
          <w:kern w:val="0"/>
        </w:rPr>
        <w:t>略</w:t>
      </w:r>
      <w:bookmarkEnd w:id="70"/>
      <w:bookmarkEnd w:id="71"/>
      <w:bookmarkEnd w:id="72"/>
    </w:p>
    <w:p w14:paraId="561B792A">
      <w:pPr>
        <w:pStyle w:val="6"/>
        <w:numPr>
          <w:ilvl w:val="0"/>
          <w:numId w:val="1"/>
        </w:numPr>
        <w:spacing w:before="217" w:after="217"/>
      </w:pPr>
      <w:r>
        <w:t>发展</w:t>
      </w:r>
      <w:r>
        <w:rPr>
          <w:rFonts w:hint="eastAsia"/>
        </w:rPr>
        <w:t>策</w:t>
      </w:r>
      <w:r>
        <w:t>略</w:t>
      </w:r>
    </w:p>
    <w:p w14:paraId="736A02C0">
      <w:pPr>
        <w:ind w:firstLine="640"/>
        <w:rPr>
          <w:rFonts w:ascii="Times New Roman" w:hAnsi="Times New Roman"/>
          <w:szCs w:val="32"/>
        </w:rPr>
      </w:pPr>
      <w:r>
        <w:rPr>
          <w:rFonts w:hint="eastAsia" w:ascii="Times New Roman" w:hAnsi="Times New Roman" w:eastAsia="楷体_GB2312"/>
          <w:bCs/>
          <w:szCs w:val="32"/>
        </w:rPr>
        <w:t>全生命周期的产业空间组织。</w:t>
      </w:r>
      <w:r>
        <w:rPr>
          <w:rFonts w:ascii="Times New Roman" w:hAnsi="Times New Roman"/>
          <w:szCs w:val="32"/>
        </w:rPr>
        <w:t>在现有种植业基础上，快速推进水稻种植的合作化经营；交通优势是四马架镇的优势资源，发展仓储物流业是规划期内四马架镇产业结构调整的重要方向之一；发展乡村旅游业及旅游服务业，</w:t>
      </w:r>
      <w:r>
        <w:rPr>
          <w:rFonts w:hint="eastAsia" w:ascii="Times New Roman" w:hAnsi="Times New Roman"/>
          <w:szCs w:val="32"/>
        </w:rPr>
        <w:t>形</w:t>
      </w:r>
      <w:r>
        <w:rPr>
          <w:rFonts w:ascii="Times New Roman" w:hAnsi="Times New Roman"/>
          <w:szCs w:val="32"/>
        </w:rPr>
        <w:t>成多元化发展经济。</w:t>
      </w:r>
    </w:p>
    <w:p w14:paraId="0C4605E8">
      <w:pPr>
        <w:ind w:firstLine="640"/>
        <w:rPr>
          <w:rFonts w:ascii="Times New Roman" w:hAnsi="Times New Roman"/>
          <w:szCs w:val="32"/>
        </w:rPr>
      </w:pPr>
      <w:r>
        <w:rPr>
          <w:rFonts w:hint="eastAsia" w:ascii="Times New Roman" w:hAnsi="Times New Roman" w:eastAsia="楷体_GB2312"/>
          <w:bCs/>
          <w:szCs w:val="32"/>
        </w:rPr>
        <w:t>全方位宜居的城镇空间建设。</w:t>
      </w:r>
      <w:r>
        <w:rPr>
          <w:rFonts w:ascii="Times New Roman" w:hAnsi="Times New Roman"/>
          <w:szCs w:val="32"/>
        </w:rPr>
        <w:t>高品质生活建设：通过生活服务，公共服务，基础设施，产业现代化，用地混合等方法，提升居民归属感和自豪感，营造宜居城镇的生活空间。</w:t>
      </w:r>
    </w:p>
    <w:p w14:paraId="1A2F8473">
      <w:pPr>
        <w:ind w:firstLine="640"/>
        <w:rPr>
          <w:rFonts w:ascii="Times New Roman" w:hAnsi="Times New Roman"/>
          <w:szCs w:val="32"/>
        </w:rPr>
      </w:pPr>
      <w:r>
        <w:rPr>
          <w:rFonts w:hint="eastAsia" w:ascii="Times New Roman" w:hAnsi="Times New Roman" w:eastAsia="楷体_GB2312"/>
          <w:bCs/>
          <w:szCs w:val="32"/>
        </w:rPr>
        <w:t>全自然保护的生态空间格局。</w:t>
      </w:r>
      <w:r>
        <w:rPr>
          <w:rFonts w:ascii="Times New Roman" w:hAnsi="Times New Roman"/>
          <w:szCs w:val="32"/>
        </w:rPr>
        <w:t>协调生态空间：加强水、田一体的大地景观塑造，优化垃圾污水治理，营造城镇的协调景象；</w:t>
      </w:r>
    </w:p>
    <w:p w14:paraId="2BF8E3B4">
      <w:pPr>
        <w:ind w:firstLine="640"/>
        <w:rPr>
          <w:rFonts w:ascii="Times New Roman" w:hAnsi="Times New Roman"/>
          <w:szCs w:val="32"/>
        </w:rPr>
      </w:pPr>
      <w:r>
        <w:rPr>
          <w:rFonts w:ascii="Times New Roman" w:hAnsi="Times New Roman"/>
          <w:szCs w:val="32"/>
        </w:rPr>
        <w:t>保障城镇生态特色：重</w:t>
      </w:r>
      <w:r>
        <w:rPr>
          <w:rFonts w:hint="eastAsia" w:ascii="Times New Roman" w:hAnsi="Times New Roman"/>
          <w:szCs w:val="32"/>
        </w:rPr>
        <w:t>视</w:t>
      </w:r>
      <w:r>
        <w:rPr>
          <w:rFonts w:ascii="Times New Roman" w:hAnsi="Times New Roman"/>
          <w:szCs w:val="32"/>
        </w:rPr>
        <w:t>植被养护、岸线防护，慎砍树、少拆房，不改变河道流向，充分体现具有平原地域特色的自然风貌。</w:t>
      </w:r>
    </w:p>
    <w:p w14:paraId="06444583">
      <w:pPr>
        <w:pStyle w:val="5"/>
        <w:numPr>
          <w:ilvl w:val="1"/>
          <w:numId w:val="0"/>
        </w:numPr>
        <w:spacing w:before="217" w:after="217"/>
        <w:rPr>
          <w:b/>
          <w:bCs w:val="0"/>
          <w:kern w:val="0"/>
        </w:rPr>
      </w:pPr>
      <w:bookmarkStart w:id="73" w:name="_Toc183862517"/>
      <w:bookmarkStart w:id="74" w:name="_Toc183863133"/>
      <w:bookmarkStart w:id="75" w:name="_Toc2490"/>
      <w:r>
        <w:rPr>
          <w:bCs w:val="0"/>
          <w:kern w:val="0"/>
        </w:rPr>
        <w:t>第三节 规划目标</w:t>
      </w:r>
      <w:bookmarkEnd w:id="73"/>
      <w:bookmarkEnd w:id="74"/>
      <w:bookmarkEnd w:id="75"/>
    </w:p>
    <w:p w14:paraId="042B7342">
      <w:pPr>
        <w:pStyle w:val="6"/>
        <w:numPr>
          <w:ilvl w:val="0"/>
          <w:numId w:val="1"/>
        </w:numPr>
        <w:spacing w:before="217" w:after="217"/>
      </w:pPr>
      <w:r>
        <w:rPr>
          <w:rFonts w:hint="eastAsia"/>
        </w:rPr>
        <w:t>总体</w:t>
      </w:r>
      <w:r>
        <w:t>目标</w:t>
      </w:r>
    </w:p>
    <w:p w14:paraId="11F15517">
      <w:pPr>
        <w:spacing w:line="546" w:lineRule="exact"/>
        <w:ind w:firstLine="640"/>
        <w:rPr>
          <w:rFonts w:ascii="Times New Roman" w:hAnsi="Times New Roman"/>
          <w:szCs w:val="32"/>
        </w:rPr>
      </w:pPr>
      <w:r>
        <w:rPr>
          <w:rFonts w:ascii="Times New Roman" w:hAnsi="Times New Roman"/>
          <w:szCs w:val="32"/>
        </w:rPr>
        <w:t>牢固树立和贯彻落实创新、协调、绿色、</w:t>
      </w:r>
      <w:r>
        <w:rPr>
          <w:rFonts w:hint="eastAsia" w:ascii="Times New Roman" w:hAnsi="Times New Roman"/>
          <w:szCs w:val="32"/>
        </w:rPr>
        <w:t>开放</w:t>
      </w:r>
      <w:r>
        <w:rPr>
          <w:rFonts w:ascii="Times New Roman" w:hAnsi="Times New Roman"/>
          <w:szCs w:val="32"/>
        </w:rPr>
        <w:t>、共享的发展理念，在资源环境承载能力和国土空间开发适宜性评价的基础上，从推进生态文明建设、加快转变国土开发利用方式、全面提高国土开发质量和效率出发，做优增量、盘活存量，注重内涵提升、开发提质，保证四马架镇的镇村经济持续稳步的快速发展，促进小城镇建设的发展，明确职能分工，确定规模结构和空间布局，充分认清全域优势和制约因素，统筹安排综合协调人口、资源和环境关系。</w:t>
      </w:r>
    </w:p>
    <w:p w14:paraId="725A09FA">
      <w:pPr>
        <w:pStyle w:val="6"/>
        <w:numPr>
          <w:ilvl w:val="0"/>
          <w:numId w:val="1"/>
        </w:numPr>
        <w:spacing w:before="217" w:after="217" w:line="546" w:lineRule="exact"/>
      </w:pPr>
      <w:r>
        <w:rPr>
          <w:rFonts w:hint="eastAsia"/>
        </w:rPr>
        <w:t>阶段</w:t>
      </w:r>
      <w:r>
        <w:t>目标</w:t>
      </w:r>
    </w:p>
    <w:p w14:paraId="033DA5A0">
      <w:pPr>
        <w:ind w:firstLine="640"/>
        <w:rPr>
          <w:rFonts w:ascii="Times New Roman" w:hAnsi="Times New Roman"/>
          <w:szCs w:val="32"/>
        </w:rPr>
      </w:pPr>
      <w:r>
        <w:rPr>
          <w:rFonts w:ascii="Times New Roman" w:hAnsi="Times New Roman"/>
          <w:szCs w:val="32"/>
        </w:rPr>
        <w:t>到2025年，以经济发展为主线，</w:t>
      </w:r>
      <w:r>
        <w:t>区域协同发展布局、城乡融合发展、民生补短板工程、重点基础设施建设取得积极成效，</w:t>
      </w:r>
      <w:r>
        <w:rPr>
          <w:rFonts w:ascii="Times New Roman" w:hAnsi="Times New Roman"/>
          <w:szCs w:val="32"/>
        </w:rPr>
        <w:t>全力固“底板”、补“短板”、拉“长板”，超常突破、追赶前进，建设更具实力、活力、竞争力的四马架镇。</w:t>
      </w:r>
    </w:p>
    <w:p w14:paraId="6F078A84">
      <w:pPr>
        <w:tabs>
          <w:tab w:val="left" w:pos="7433"/>
        </w:tabs>
        <w:ind w:firstLine="640"/>
        <w:rPr>
          <w:rFonts w:ascii="Times New Roman" w:hAnsi="Times New Roman"/>
          <w:szCs w:val="32"/>
        </w:rPr>
      </w:pPr>
      <w:r>
        <w:rPr>
          <w:rFonts w:ascii="Times New Roman" w:hAnsi="Times New Roman"/>
          <w:szCs w:val="32"/>
        </w:rPr>
        <w:t>到2035年，全面建成小康社会，基本实现经济振兴，成为桦川县发展新引擎，建成绿色低碳、信息智能、宜居宜业、具有较强竞争力和影响力、人与自然和谐共生的现代化镇政府驻地。</w:t>
      </w:r>
    </w:p>
    <w:p w14:paraId="0F59EE48">
      <w:pPr>
        <w:pStyle w:val="6"/>
        <w:numPr>
          <w:ilvl w:val="0"/>
          <w:numId w:val="1"/>
        </w:numPr>
        <w:spacing w:before="217" w:after="217" w:line="546" w:lineRule="exact"/>
      </w:pPr>
      <w:r>
        <w:t>产业发展导向</w:t>
      </w:r>
    </w:p>
    <w:p w14:paraId="0817022C">
      <w:pPr>
        <w:spacing w:line="546" w:lineRule="exact"/>
        <w:ind w:firstLine="640"/>
        <w:rPr>
          <w:rFonts w:ascii="Times New Roman" w:hAnsi="Times New Roman"/>
          <w:szCs w:val="32"/>
        </w:rPr>
      </w:pPr>
      <w:r>
        <w:rPr>
          <w:rFonts w:ascii="Times New Roman" w:hAnsi="Times New Roman"/>
          <w:szCs w:val="32"/>
        </w:rPr>
        <w:t>根据四马架镇资源储备及产业结构调整战略，规划将四马架镇产业发展定位为以水稻、玉米种植业为基础，依托现有产业，不断探索农业农村现代化经营模式，建设现代农业产业</w:t>
      </w:r>
      <w:r>
        <w:rPr>
          <w:rFonts w:hint="eastAsia" w:ascii="Times New Roman" w:hAnsi="Times New Roman"/>
          <w:szCs w:val="32"/>
        </w:rPr>
        <w:t>园</w:t>
      </w:r>
      <w:r>
        <w:rPr>
          <w:rFonts w:ascii="Times New Roman" w:hAnsi="Times New Roman"/>
          <w:szCs w:val="32"/>
        </w:rPr>
        <w:t>区；依托会龙村的红色旅游资源，发展旅游业及旅游服务业。三产业融合发展，稳步推进乡村振兴，加快城乡融合，建设新型城镇化示范区。</w:t>
      </w:r>
    </w:p>
    <w:p w14:paraId="10346150">
      <w:pPr>
        <w:pStyle w:val="4"/>
        <w:numPr>
          <w:ilvl w:val="0"/>
          <w:numId w:val="2"/>
        </w:numPr>
        <w:tabs>
          <w:tab w:val="left" w:pos="0"/>
        </w:tabs>
        <w:spacing w:before="217" w:after="217"/>
        <w:rPr>
          <w:b/>
          <w:bCs w:val="0"/>
          <w:kern w:val="2"/>
          <w:szCs w:val="36"/>
        </w:rPr>
      </w:pPr>
      <w:r>
        <w:rPr>
          <w:sz w:val="32"/>
          <w:szCs w:val="32"/>
        </w:rPr>
        <w:br w:type="page"/>
      </w:r>
      <w:bookmarkStart w:id="76" w:name="_Toc183862518"/>
      <w:bookmarkStart w:id="77" w:name="_Toc183863385"/>
      <w:bookmarkStart w:id="78" w:name="_Toc183863134"/>
      <w:bookmarkStart w:id="79" w:name="_Toc18304"/>
      <w:r>
        <w:rPr>
          <w:bCs w:val="0"/>
          <w:kern w:val="2"/>
          <w:szCs w:val="36"/>
        </w:rPr>
        <w:t>第四章 国土空间格局</w:t>
      </w:r>
      <w:bookmarkEnd w:id="76"/>
      <w:bookmarkEnd w:id="77"/>
      <w:bookmarkEnd w:id="78"/>
      <w:bookmarkEnd w:id="79"/>
    </w:p>
    <w:p w14:paraId="4485EA04">
      <w:pPr>
        <w:pStyle w:val="5"/>
        <w:numPr>
          <w:ilvl w:val="1"/>
          <w:numId w:val="0"/>
        </w:numPr>
        <w:spacing w:before="217" w:after="217"/>
        <w:rPr>
          <w:b/>
          <w:bCs w:val="0"/>
          <w:kern w:val="0"/>
        </w:rPr>
      </w:pPr>
      <w:bookmarkStart w:id="80" w:name="_Toc183862519"/>
      <w:bookmarkStart w:id="81" w:name="_Toc183863135"/>
      <w:bookmarkStart w:id="82" w:name="_Toc2288"/>
      <w:r>
        <w:rPr>
          <w:bCs w:val="0"/>
          <w:kern w:val="0"/>
        </w:rPr>
        <w:t xml:space="preserve">第一节 </w:t>
      </w:r>
      <w:r>
        <w:rPr>
          <w:rFonts w:hint="eastAsia"/>
          <w:bCs w:val="0"/>
          <w:kern w:val="0"/>
        </w:rPr>
        <w:t>区域协同发展</w:t>
      </w:r>
      <w:bookmarkEnd w:id="80"/>
      <w:bookmarkEnd w:id="81"/>
      <w:bookmarkEnd w:id="82"/>
    </w:p>
    <w:p w14:paraId="606F7EE2">
      <w:pPr>
        <w:ind w:firstLine="640"/>
      </w:pPr>
      <w:r>
        <w:rPr>
          <w:rFonts w:hint="eastAsia"/>
        </w:rPr>
        <w:t>落实佳木斯市、桦川县国土空间总体规划中的总体布局要求，衔接国民经济和社会发展规划，加强与横头山镇、星火朝鲜乡、苏家店镇、长发镇、太平镇等区域在自然资源保护利用、生态环境治理、产业互补协作、基础设施联通、公共服务配置、交通网络衔接、城乡协同规划建设等方面的协调，统筹协调平衡跨行政区域的空间布局安排。</w:t>
      </w:r>
    </w:p>
    <w:p w14:paraId="29A11332">
      <w:pPr>
        <w:pStyle w:val="5"/>
        <w:numPr>
          <w:ilvl w:val="1"/>
          <w:numId w:val="0"/>
        </w:numPr>
        <w:spacing w:before="217" w:after="217"/>
        <w:rPr>
          <w:b/>
          <w:bCs w:val="0"/>
          <w:kern w:val="0"/>
        </w:rPr>
      </w:pPr>
      <w:bookmarkStart w:id="83" w:name="_Toc183863137"/>
      <w:bookmarkStart w:id="84" w:name="_Toc183862521"/>
      <w:bookmarkStart w:id="85" w:name="_Toc17611"/>
      <w:r>
        <w:rPr>
          <w:bCs w:val="0"/>
          <w:kern w:val="0"/>
        </w:rPr>
        <w:t>第</w:t>
      </w:r>
      <w:r>
        <w:rPr>
          <w:rFonts w:hint="eastAsia"/>
          <w:bCs w:val="0"/>
          <w:kern w:val="0"/>
          <w:lang w:val="en-US" w:eastAsia="zh-CN"/>
        </w:rPr>
        <w:t>二</w:t>
      </w:r>
      <w:r>
        <w:rPr>
          <w:bCs w:val="0"/>
          <w:kern w:val="0"/>
        </w:rPr>
        <w:t>节 主体功能区传导</w:t>
      </w:r>
      <w:bookmarkEnd w:id="83"/>
      <w:bookmarkEnd w:id="84"/>
      <w:bookmarkEnd w:id="85"/>
    </w:p>
    <w:p w14:paraId="236A33C4">
      <w:pPr>
        <w:pStyle w:val="6"/>
        <w:numPr>
          <w:ilvl w:val="0"/>
          <w:numId w:val="1"/>
        </w:numPr>
        <w:spacing w:before="217" w:after="217"/>
      </w:pPr>
      <w:r>
        <w:t>主体功能区传导</w:t>
      </w:r>
    </w:p>
    <w:p w14:paraId="3C50AE6F">
      <w:pPr>
        <w:ind w:firstLine="640"/>
        <w:rPr>
          <w:rFonts w:ascii="Times New Roman" w:hAnsi="Times New Roman"/>
          <w:szCs w:val="32"/>
        </w:rPr>
      </w:pPr>
      <w:r>
        <w:rPr>
          <w:rFonts w:ascii="Times New Roman" w:hAnsi="Times New Roman"/>
          <w:szCs w:val="32"/>
        </w:rPr>
        <w:t>落实佳木斯市、桦川县主体功能区战略格局，确定四马架镇为农产品主产区，加大财政转移支付资金支持力度，重点布局现代农业和生态农业，完善土壤和水环境等监测机制，重点考核农业发展、民生改善方面的指标。</w:t>
      </w:r>
    </w:p>
    <w:p w14:paraId="7E40B60E">
      <w:pPr>
        <w:pStyle w:val="5"/>
        <w:numPr>
          <w:ilvl w:val="1"/>
          <w:numId w:val="0"/>
        </w:numPr>
        <w:spacing w:before="217" w:after="217"/>
        <w:rPr>
          <w:b/>
          <w:bCs w:val="0"/>
          <w:kern w:val="0"/>
        </w:rPr>
      </w:pPr>
      <w:bookmarkStart w:id="86" w:name="_Toc183862522"/>
      <w:bookmarkStart w:id="87" w:name="_Toc183863138"/>
      <w:bookmarkStart w:id="88" w:name="_Toc32615"/>
      <w:r>
        <w:rPr>
          <w:bCs w:val="0"/>
          <w:kern w:val="0"/>
        </w:rPr>
        <w:t>第</w:t>
      </w:r>
      <w:r>
        <w:rPr>
          <w:rFonts w:hint="eastAsia"/>
          <w:bCs w:val="0"/>
          <w:kern w:val="0"/>
          <w:lang w:val="en-US" w:eastAsia="zh-CN"/>
        </w:rPr>
        <w:t>三</w:t>
      </w:r>
      <w:r>
        <w:rPr>
          <w:bCs w:val="0"/>
          <w:kern w:val="0"/>
        </w:rPr>
        <w:t>节 总体空间格局</w:t>
      </w:r>
      <w:bookmarkEnd w:id="86"/>
      <w:bookmarkEnd w:id="87"/>
      <w:bookmarkEnd w:id="88"/>
    </w:p>
    <w:p w14:paraId="13954035">
      <w:pPr>
        <w:pStyle w:val="6"/>
        <w:numPr>
          <w:ilvl w:val="0"/>
          <w:numId w:val="1"/>
        </w:numPr>
        <w:spacing w:before="217" w:after="217"/>
      </w:pPr>
      <w:r>
        <w:t>空间总体格局</w:t>
      </w:r>
    </w:p>
    <w:p w14:paraId="5FCCF450">
      <w:pPr>
        <w:ind w:firstLine="640"/>
        <w:rPr>
          <w:rFonts w:ascii="Times New Roman" w:hAnsi="Times New Roman"/>
          <w:szCs w:val="32"/>
        </w:rPr>
      </w:pPr>
      <w:r>
        <w:rPr>
          <w:rFonts w:ascii="Times New Roman" w:hAnsi="Times New Roman"/>
          <w:szCs w:val="32"/>
        </w:rPr>
        <w:t>规划构建全域“一轴</w:t>
      </w:r>
      <w:r>
        <w:rPr>
          <w:rFonts w:hint="eastAsia" w:ascii="Times New Roman" w:hAnsi="Times New Roman"/>
          <w:szCs w:val="32"/>
        </w:rPr>
        <w:t>、</w:t>
      </w:r>
      <w:r>
        <w:rPr>
          <w:rFonts w:ascii="Times New Roman" w:hAnsi="Times New Roman"/>
          <w:szCs w:val="32"/>
        </w:rPr>
        <w:t>一廊</w:t>
      </w:r>
      <w:r>
        <w:rPr>
          <w:rFonts w:hint="eastAsia" w:ascii="Times New Roman" w:hAnsi="Times New Roman"/>
          <w:szCs w:val="32"/>
        </w:rPr>
        <w:t>、</w:t>
      </w:r>
      <w:r>
        <w:rPr>
          <w:rFonts w:ascii="Times New Roman" w:hAnsi="Times New Roman"/>
          <w:szCs w:val="32"/>
        </w:rPr>
        <w:t>三区</w:t>
      </w:r>
      <w:r>
        <w:rPr>
          <w:rFonts w:hint="eastAsia" w:ascii="Times New Roman" w:hAnsi="Times New Roman"/>
          <w:szCs w:val="32"/>
        </w:rPr>
        <w:t>、</w:t>
      </w:r>
      <w:r>
        <w:rPr>
          <w:rFonts w:ascii="Times New Roman" w:hAnsi="Times New Roman"/>
          <w:szCs w:val="32"/>
        </w:rPr>
        <w:t>多点”的国土空间开发保护总体格局。</w:t>
      </w:r>
    </w:p>
    <w:p w14:paraId="54C590B4">
      <w:pPr>
        <w:ind w:firstLine="640"/>
        <w:rPr>
          <w:rFonts w:ascii="Times New Roman" w:hAnsi="Times New Roman"/>
          <w:szCs w:val="32"/>
        </w:rPr>
      </w:pPr>
      <w:r>
        <w:rPr>
          <w:rFonts w:ascii="Times New Roman" w:hAnsi="Times New Roman"/>
          <w:szCs w:val="32"/>
        </w:rPr>
        <w:t>一轴：指贯穿全域东西方向的城乡统筹发展轴；</w:t>
      </w:r>
    </w:p>
    <w:p w14:paraId="3A4D3BF5">
      <w:pPr>
        <w:ind w:firstLine="640"/>
        <w:rPr>
          <w:rFonts w:ascii="Times New Roman" w:hAnsi="Times New Roman"/>
          <w:szCs w:val="32"/>
        </w:rPr>
      </w:pPr>
      <w:r>
        <w:rPr>
          <w:rFonts w:ascii="Times New Roman" w:hAnsi="Times New Roman"/>
          <w:szCs w:val="32"/>
        </w:rPr>
        <w:t>一廊：指穿过全域南北方向的音达木河景观生态廊道；</w:t>
      </w:r>
    </w:p>
    <w:p w14:paraId="4001F56E">
      <w:pPr>
        <w:ind w:firstLine="640"/>
        <w:rPr>
          <w:rFonts w:ascii="Times New Roman" w:hAnsi="Times New Roman"/>
          <w:szCs w:val="32"/>
        </w:rPr>
      </w:pPr>
      <w:r>
        <w:rPr>
          <w:rFonts w:ascii="Times New Roman" w:hAnsi="Times New Roman"/>
          <w:szCs w:val="32"/>
        </w:rPr>
        <w:t>三区：指城市工业发展区、农业种植区和综合服务区；</w:t>
      </w:r>
    </w:p>
    <w:p w14:paraId="2631451E">
      <w:pPr>
        <w:ind w:firstLine="640"/>
        <w:rPr>
          <w:rFonts w:ascii="Times New Roman" w:hAnsi="Times New Roman"/>
          <w:szCs w:val="32"/>
        </w:rPr>
      </w:pPr>
      <w:r>
        <w:rPr>
          <w:rFonts w:ascii="Times New Roman" w:hAnsi="Times New Roman"/>
          <w:szCs w:val="32"/>
        </w:rPr>
        <w:t>多点：发挥各村庄优质种植和养殖产业优势，综合考虑交通联系、现状基础及农村居民点的集聚等因素，部分自然屯人口向镇政府驻地和各行政村的中心村聚集。</w:t>
      </w:r>
    </w:p>
    <w:p w14:paraId="4B3566AA">
      <w:pPr>
        <w:pStyle w:val="5"/>
        <w:numPr>
          <w:ilvl w:val="1"/>
          <w:numId w:val="0"/>
        </w:numPr>
        <w:spacing w:before="217" w:after="217"/>
        <w:rPr>
          <w:b/>
          <w:bCs w:val="0"/>
          <w:kern w:val="0"/>
        </w:rPr>
      </w:pPr>
      <w:bookmarkStart w:id="89" w:name="_Toc183863139"/>
      <w:bookmarkStart w:id="90" w:name="_Toc183862523"/>
      <w:bookmarkStart w:id="91" w:name="_Toc30974"/>
      <w:r>
        <w:rPr>
          <w:bCs w:val="0"/>
          <w:kern w:val="0"/>
        </w:rPr>
        <w:t>第</w:t>
      </w:r>
      <w:r>
        <w:rPr>
          <w:rFonts w:hint="eastAsia"/>
          <w:bCs w:val="0"/>
          <w:kern w:val="0"/>
          <w:lang w:val="en-US" w:eastAsia="zh-CN"/>
        </w:rPr>
        <w:t>四</w:t>
      </w:r>
      <w:r>
        <w:rPr>
          <w:bCs w:val="0"/>
          <w:kern w:val="0"/>
        </w:rPr>
        <w:t>节 规划分区</w:t>
      </w:r>
      <w:bookmarkEnd w:id="89"/>
      <w:bookmarkEnd w:id="90"/>
      <w:bookmarkEnd w:id="91"/>
    </w:p>
    <w:p w14:paraId="5AB06EA2">
      <w:pPr>
        <w:pStyle w:val="6"/>
        <w:numPr>
          <w:ilvl w:val="0"/>
          <w:numId w:val="1"/>
        </w:numPr>
        <w:spacing w:before="217" w:after="217"/>
      </w:pPr>
      <w:r>
        <w:t>国土空间规划分区</w:t>
      </w:r>
    </w:p>
    <w:p w14:paraId="3D9125C0">
      <w:pPr>
        <w:ind w:firstLine="640"/>
        <w:rPr>
          <w:rFonts w:ascii="Times New Roman" w:hAnsi="Times New Roman"/>
          <w:szCs w:val="32"/>
        </w:rPr>
      </w:pPr>
      <w:r>
        <w:rPr>
          <w:rFonts w:ascii="Times New Roman" w:hAnsi="Times New Roman"/>
          <w:szCs w:val="32"/>
        </w:rPr>
        <w:t>在县域国土空间规划分区的基础上，将四马架镇全域划分一级规划分区4个，分别为农田保护区、城镇发展区、乡村发展区和矿产能源发展区；二级规划分区1</w:t>
      </w:r>
      <w:r>
        <w:rPr>
          <w:rFonts w:hint="eastAsia" w:ascii="Times New Roman" w:hAnsi="Times New Roman"/>
          <w:szCs w:val="32"/>
        </w:rPr>
        <w:t>1</w:t>
      </w:r>
      <w:r>
        <w:rPr>
          <w:rFonts w:ascii="Times New Roman" w:hAnsi="Times New Roman"/>
          <w:szCs w:val="32"/>
        </w:rPr>
        <w:t>个。</w:t>
      </w:r>
    </w:p>
    <w:tbl>
      <w:tblPr>
        <w:tblStyle w:val="27"/>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00"/>
        <w:gridCol w:w="6722"/>
      </w:tblGrid>
      <w:tr w14:paraId="7A8AED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8522" w:type="dxa"/>
            <w:gridSpan w:val="2"/>
          </w:tcPr>
          <w:p w14:paraId="42D82EDF">
            <w:pPr>
              <w:pStyle w:val="16"/>
              <w:keepLines/>
              <w:adjustRightInd w:val="0"/>
              <w:snapToGrid w:val="0"/>
              <w:spacing w:after="0" w:line="240" w:lineRule="auto"/>
              <w:ind w:left="0" w:leftChars="0" w:firstLine="600"/>
              <w:jc w:val="center"/>
            </w:pPr>
            <w:r>
              <w:rPr>
                <w:rFonts w:hint="eastAsia" w:eastAsia="黑体" w:cs="黑体"/>
                <w:sz w:val="30"/>
                <w:szCs w:val="30"/>
                <w:lang w:bidi="ar"/>
              </w:rPr>
              <w:t>专栏</w:t>
            </w:r>
            <w:r>
              <w:rPr>
                <w:rFonts w:hint="eastAsia" w:eastAsia="黑体" w:cs="黑体"/>
                <w:sz w:val="30"/>
                <w:szCs w:val="30"/>
                <w:lang w:val="en-US" w:eastAsia="zh-CN" w:bidi="ar"/>
              </w:rPr>
              <w:t>1</w:t>
            </w:r>
            <w:r>
              <w:rPr>
                <w:rFonts w:hint="eastAsia" w:eastAsia="黑体" w:cs="黑体"/>
                <w:sz w:val="30"/>
                <w:szCs w:val="30"/>
                <w:lang w:bidi="ar"/>
              </w:rPr>
              <w:t>：规划分区及管控要求一览表</w:t>
            </w:r>
          </w:p>
        </w:tc>
      </w:tr>
      <w:tr w14:paraId="0AADEE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0" w:type="dxa"/>
          </w:tcPr>
          <w:p w14:paraId="3ED2255F">
            <w:pPr>
              <w:pStyle w:val="36"/>
              <w:spacing w:line="240" w:lineRule="auto"/>
              <w:ind w:firstLine="0" w:firstLineChars="0"/>
              <w:jc w:val="center"/>
              <w:rPr>
                <w:rFonts w:ascii="Times New Roman" w:hAnsi="Times New Roman"/>
                <w:sz w:val="24"/>
                <w:szCs w:val="32"/>
              </w:rPr>
            </w:pPr>
            <w:r>
              <w:rPr>
                <w:rFonts w:ascii="Times New Roman" w:hAnsi="Times New Roman"/>
                <w:sz w:val="24"/>
                <w:szCs w:val="32"/>
              </w:rPr>
              <w:t>规划分区</w:t>
            </w:r>
          </w:p>
        </w:tc>
        <w:tc>
          <w:tcPr>
            <w:tcW w:w="6722" w:type="dxa"/>
          </w:tcPr>
          <w:p w14:paraId="1EF07B11">
            <w:pPr>
              <w:pStyle w:val="36"/>
              <w:spacing w:line="240" w:lineRule="auto"/>
              <w:ind w:firstLine="0" w:firstLineChars="0"/>
              <w:jc w:val="center"/>
              <w:rPr>
                <w:rFonts w:ascii="Times New Roman" w:hAnsi="Times New Roman"/>
                <w:sz w:val="24"/>
                <w:szCs w:val="32"/>
              </w:rPr>
            </w:pPr>
            <w:r>
              <w:rPr>
                <w:rFonts w:ascii="Times New Roman" w:hAnsi="Times New Roman"/>
                <w:sz w:val="24"/>
                <w:szCs w:val="32"/>
              </w:rPr>
              <w:t>管制要求</w:t>
            </w:r>
          </w:p>
        </w:tc>
      </w:tr>
      <w:tr w14:paraId="1E6B06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0" w:type="dxa"/>
            <w:vAlign w:val="center"/>
          </w:tcPr>
          <w:p w14:paraId="1D187EAC">
            <w:pPr>
              <w:pStyle w:val="36"/>
              <w:spacing w:line="240" w:lineRule="auto"/>
              <w:ind w:firstLine="0" w:firstLineChars="0"/>
              <w:jc w:val="center"/>
              <w:rPr>
                <w:rFonts w:ascii="Times New Roman" w:hAnsi="Times New Roman"/>
                <w:sz w:val="24"/>
                <w:szCs w:val="32"/>
              </w:rPr>
            </w:pPr>
            <w:r>
              <w:rPr>
                <w:rFonts w:ascii="Times New Roman" w:hAnsi="Times New Roman"/>
                <w:sz w:val="24"/>
                <w:szCs w:val="32"/>
              </w:rPr>
              <w:t>农田保护区</w:t>
            </w:r>
          </w:p>
        </w:tc>
        <w:tc>
          <w:tcPr>
            <w:tcW w:w="6722" w:type="dxa"/>
          </w:tcPr>
          <w:p w14:paraId="4FC046DA">
            <w:pPr>
              <w:pStyle w:val="36"/>
              <w:spacing w:line="240" w:lineRule="auto"/>
              <w:ind w:firstLine="480"/>
              <w:rPr>
                <w:rFonts w:ascii="Times New Roman" w:hAnsi="Times New Roman"/>
                <w:sz w:val="24"/>
                <w:szCs w:val="32"/>
              </w:rPr>
            </w:pPr>
            <w:r>
              <w:rPr>
                <w:rFonts w:ascii="Times New Roman" w:hAnsi="Times New Roman"/>
                <w:sz w:val="24"/>
                <w:szCs w:val="32"/>
              </w:rPr>
              <w:t>永久基本农田严格按照《中华人民共和国农业法》《中华人民共和国土地管理法》《基本农田保护条例》等相关规定进行管理，严控非农建设占用永久基本农田，鼓励开展高标准农田建设和土地整治，提高永久基本农田质量。区内的一般耕地，应参照永久基本农田管制政策进行管护。</w:t>
            </w:r>
          </w:p>
        </w:tc>
      </w:tr>
      <w:tr w14:paraId="0191E6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0" w:type="dxa"/>
            <w:vAlign w:val="center"/>
          </w:tcPr>
          <w:p w14:paraId="0AD770F8">
            <w:pPr>
              <w:pStyle w:val="36"/>
              <w:spacing w:line="240" w:lineRule="auto"/>
              <w:ind w:firstLine="0" w:firstLineChars="0"/>
              <w:jc w:val="center"/>
              <w:rPr>
                <w:rFonts w:ascii="Times New Roman" w:hAnsi="Times New Roman"/>
                <w:sz w:val="24"/>
                <w:szCs w:val="32"/>
              </w:rPr>
            </w:pPr>
            <w:r>
              <w:rPr>
                <w:rFonts w:ascii="Times New Roman" w:hAnsi="Times New Roman"/>
                <w:sz w:val="24"/>
                <w:szCs w:val="32"/>
              </w:rPr>
              <w:t>城镇发展区</w:t>
            </w:r>
          </w:p>
        </w:tc>
        <w:tc>
          <w:tcPr>
            <w:tcW w:w="6722" w:type="dxa"/>
          </w:tcPr>
          <w:p w14:paraId="06157E10">
            <w:pPr>
              <w:pStyle w:val="36"/>
              <w:spacing w:line="240" w:lineRule="auto"/>
              <w:ind w:firstLine="480"/>
              <w:rPr>
                <w:rFonts w:ascii="Times New Roman" w:hAnsi="Times New Roman"/>
                <w:sz w:val="24"/>
                <w:szCs w:val="32"/>
              </w:rPr>
            </w:pPr>
            <w:r>
              <w:rPr>
                <w:rFonts w:ascii="Times New Roman" w:hAnsi="Times New Roman"/>
                <w:sz w:val="24"/>
                <w:szCs w:val="32"/>
              </w:rPr>
              <w:t>城镇发展区严格执行开发边界管控要求，对城镇集中建设区提出总体指标控制要求，对各类城镇建设土地用途和城镇建设行为提出准入要求。城镇集中建设区执行详细规划+规划许可的形式，划定“五线”管控和城镇建设用地用途管控。</w:t>
            </w:r>
          </w:p>
        </w:tc>
      </w:tr>
      <w:tr w14:paraId="13148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0" w:type="dxa"/>
            <w:vAlign w:val="center"/>
          </w:tcPr>
          <w:p w14:paraId="5543DF23">
            <w:pPr>
              <w:pStyle w:val="36"/>
              <w:spacing w:line="240" w:lineRule="auto"/>
              <w:ind w:firstLine="0" w:firstLineChars="0"/>
              <w:jc w:val="center"/>
              <w:rPr>
                <w:rFonts w:ascii="Times New Roman" w:hAnsi="Times New Roman"/>
                <w:sz w:val="24"/>
                <w:szCs w:val="32"/>
              </w:rPr>
            </w:pPr>
            <w:r>
              <w:rPr>
                <w:rFonts w:ascii="Times New Roman" w:hAnsi="Times New Roman"/>
                <w:sz w:val="24"/>
                <w:szCs w:val="32"/>
              </w:rPr>
              <w:t>乡村发展区</w:t>
            </w:r>
          </w:p>
        </w:tc>
        <w:tc>
          <w:tcPr>
            <w:tcW w:w="6722" w:type="dxa"/>
          </w:tcPr>
          <w:p w14:paraId="27D4357B">
            <w:pPr>
              <w:pStyle w:val="36"/>
              <w:spacing w:line="240" w:lineRule="auto"/>
              <w:ind w:firstLine="480"/>
              <w:rPr>
                <w:rFonts w:ascii="Times New Roman" w:hAnsi="Times New Roman"/>
                <w:sz w:val="24"/>
                <w:szCs w:val="32"/>
              </w:rPr>
            </w:pPr>
            <w:r>
              <w:rPr>
                <w:rFonts w:ascii="Times New Roman" w:hAnsi="Times New Roman"/>
                <w:sz w:val="24"/>
                <w:szCs w:val="32"/>
              </w:rPr>
              <w:t>乡村发展区执行“规划许可+约束指标+分区准入”，禁止连片的城镇开发建设，在充分的可行性和必要性研究基础上，在不影响安全、不破坏功能的前提下允许建设区域性基础设施廊道，并需做好相应补偿措施；实行占用耕地补偿制度，严格控制耕地转为非耕地，禁止闲置、荒芜耕地，禁止擅自在耕地建房、建坟、挖砂、采石、采矿、取土、堆放固体废弃物等毁坏种植条件的开发活动。有序推进空心村整治和村庄整合，合理安排农村生活用地，优先满足农村基本公共服务设施用地需求。适度允许区域性基础设施建设、生态环境保护工程配套、生态旅游开发及特殊用地建设，提升村庄建设特色和民族风情引导。</w:t>
            </w:r>
          </w:p>
        </w:tc>
      </w:tr>
      <w:tr w14:paraId="7253F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0" w:type="dxa"/>
            <w:vAlign w:val="center"/>
          </w:tcPr>
          <w:p w14:paraId="158AEFC0">
            <w:pPr>
              <w:pStyle w:val="36"/>
              <w:spacing w:line="240" w:lineRule="auto"/>
              <w:ind w:firstLine="0" w:firstLineChars="0"/>
              <w:jc w:val="center"/>
              <w:rPr>
                <w:rFonts w:ascii="Times New Roman" w:hAnsi="Times New Roman"/>
                <w:sz w:val="24"/>
                <w:szCs w:val="32"/>
              </w:rPr>
            </w:pPr>
            <w:r>
              <w:rPr>
                <w:rFonts w:ascii="Times New Roman" w:hAnsi="Times New Roman"/>
                <w:sz w:val="24"/>
                <w:szCs w:val="32"/>
              </w:rPr>
              <w:t>矿产能源发展区</w:t>
            </w:r>
          </w:p>
        </w:tc>
        <w:tc>
          <w:tcPr>
            <w:tcW w:w="6722" w:type="dxa"/>
          </w:tcPr>
          <w:p w14:paraId="0E1C64CE">
            <w:pPr>
              <w:pStyle w:val="36"/>
              <w:spacing w:line="240" w:lineRule="auto"/>
              <w:ind w:firstLine="480"/>
              <w:rPr>
                <w:rFonts w:ascii="Times New Roman" w:hAnsi="Times New Roman"/>
                <w:sz w:val="24"/>
                <w:szCs w:val="32"/>
              </w:rPr>
            </w:pPr>
            <w:r>
              <w:rPr>
                <w:rFonts w:ascii="Times New Roman" w:hAnsi="Times New Roman"/>
                <w:sz w:val="24"/>
                <w:szCs w:val="32"/>
              </w:rPr>
              <w:t>重点矿区要按照省级及以上绿色矿山建设标准，加快各矿山绿色矿山建设，积极争取纳入国家级绿色矿山管理名录。储备区内，非主矿种的其他矿山严格设置准入，确需设置的，须经严格论证，在不影响主矿种的情况下且经省级自然资源管理部门批准，方能设立。完善监测管理系统，实现矿山地质环境保护与治理的动态管理，所有生产矿山必须制定环境保护方案，并合理使用矿山地质环境治理恢复基金，切实保护生态环境，同时严格执行矿山地质环境破坏的处罚制度，从严从重处罚破坏矿山地质环境的活动。</w:t>
            </w:r>
          </w:p>
        </w:tc>
      </w:tr>
    </w:tbl>
    <w:p w14:paraId="19D0E48E">
      <w:pPr>
        <w:pStyle w:val="5"/>
        <w:numPr>
          <w:ilvl w:val="1"/>
          <w:numId w:val="0"/>
        </w:numPr>
        <w:spacing w:before="217" w:after="217"/>
        <w:rPr>
          <w:b/>
          <w:bCs w:val="0"/>
          <w:kern w:val="0"/>
        </w:rPr>
      </w:pPr>
      <w:bookmarkStart w:id="92" w:name="_Toc183862524"/>
      <w:bookmarkStart w:id="93" w:name="_Toc183863140"/>
      <w:bookmarkStart w:id="94" w:name="_Toc19445"/>
      <w:bookmarkStart w:id="95" w:name="_Toc20243"/>
      <w:bookmarkStart w:id="96" w:name="_Toc29734"/>
      <w:r>
        <w:rPr>
          <w:bCs w:val="0"/>
          <w:kern w:val="0"/>
        </w:rPr>
        <w:t>第</w:t>
      </w:r>
      <w:r>
        <w:rPr>
          <w:rFonts w:hint="eastAsia"/>
          <w:bCs w:val="0"/>
          <w:kern w:val="0"/>
          <w:lang w:val="en-US" w:eastAsia="zh-CN"/>
        </w:rPr>
        <w:t>五</w:t>
      </w:r>
      <w:r>
        <w:rPr>
          <w:bCs w:val="0"/>
          <w:kern w:val="0"/>
        </w:rPr>
        <w:t>节 国土空间用地用途和结构调整</w:t>
      </w:r>
      <w:bookmarkEnd w:id="92"/>
      <w:bookmarkEnd w:id="93"/>
      <w:bookmarkEnd w:id="94"/>
      <w:bookmarkEnd w:id="95"/>
      <w:bookmarkEnd w:id="96"/>
    </w:p>
    <w:p w14:paraId="704141E7">
      <w:pPr>
        <w:pStyle w:val="6"/>
        <w:numPr>
          <w:ilvl w:val="0"/>
          <w:numId w:val="1"/>
        </w:numPr>
        <w:spacing w:before="217" w:after="217"/>
      </w:pPr>
      <w:r>
        <w:t>建设用地节约集约利用</w:t>
      </w:r>
    </w:p>
    <w:p w14:paraId="128A1CC7">
      <w:pPr>
        <w:pStyle w:val="36"/>
        <w:ind w:firstLine="640"/>
        <w:rPr>
          <w:rFonts w:ascii="Times New Roman" w:hAnsi="Times New Roman"/>
          <w:szCs w:val="32"/>
        </w:rPr>
      </w:pPr>
      <w:r>
        <w:rPr>
          <w:rFonts w:ascii="Times New Roman" w:hAnsi="Times New Roman"/>
          <w:szCs w:val="32"/>
          <w:u w:val="single"/>
        </w:rPr>
        <w:t>严格控制建设用地总量。严格按照上级划定的建设边界范围和建设用地指标要求进行开发建设。凡不符合国土空间规划、国家区域政策、产业政策和供地政策的建设项目，不得安排土地利用年度计划指标。</w:t>
      </w:r>
      <w:r>
        <w:rPr>
          <w:rFonts w:ascii="Times New Roman" w:hAnsi="Times New Roman"/>
          <w:szCs w:val="32"/>
        </w:rPr>
        <w:t>做好现状建设用地中闲置和空闲土地调查，在用地安排上以存量土地为主。</w:t>
      </w:r>
    </w:p>
    <w:p w14:paraId="577EBA76">
      <w:pPr>
        <w:pStyle w:val="36"/>
        <w:ind w:firstLine="640"/>
        <w:rPr>
          <w:rFonts w:ascii="Times New Roman" w:hAnsi="Times New Roman"/>
          <w:szCs w:val="32"/>
        </w:rPr>
      </w:pPr>
      <w:r>
        <w:rPr>
          <w:rFonts w:ascii="Times New Roman" w:hAnsi="Times New Roman"/>
          <w:szCs w:val="32"/>
        </w:rPr>
        <w:t>新建设项目先利用已有建设用地，大力推行强化节约和集约用地政策，鼓励各地节约集约用地，通过分配机制鼓励地方盘活存量土地。以内部挖潜为主，搞好旧区改造，提高建筑密度和建筑容积率，通过合理调整用地结构，按照控制总量、合理布局、保护耕地原则，统筹安排居民点建设用地。</w:t>
      </w:r>
    </w:p>
    <w:p w14:paraId="33C4153D">
      <w:pPr>
        <w:pStyle w:val="4"/>
        <w:numPr>
          <w:ilvl w:val="0"/>
          <w:numId w:val="2"/>
        </w:numPr>
        <w:tabs>
          <w:tab w:val="left" w:pos="0"/>
        </w:tabs>
        <w:spacing w:before="217" w:after="217"/>
        <w:rPr>
          <w:b/>
          <w:bCs w:val="0"/>
          <w:kern w:val="2"/>
          <w:szCs w:val="36"/>
        </w:rPr>
      </w:pPr>
      <w:r>
        <w:rPr>
          <w:sz w:val="32"/>
          <w:szCs w:val="32"/>
        </w:rPr>
        <w:br w:type="page"/>
      </w:r>
      <w:bookmarkStart w:id="97" w:name="_Toc183863141"/>
      <w:bookmarkStart w:id="98" w:name="_Toc183863386"/>
      <w:bookmarkStart w:id="99" w:name="_Toc183862525"/>
      <w:bookmarkStart w:id="100" w:name="_Toc24149"/>
      <w:r>
        <w:rPr>
          <w:bCs w:val="0"/>
          <w:kern w:val="2"/>
          <w:szCs w:val="36"/>
        </w:rPr>
        <w:t>第五章 空间布局优化</w:t>
      </w:r>
      <w:bookmarkEnd w:id="97"/>
      <w:bookmarkEnd w:id="98"/>
      <w:bookmarkEnd w:id="99"/>
      <w:bookmarkEnd w:id="100"/>
    </w:p>
    <w:p w14:paraId="046F8CDF">
      <w:pPr>
        <w:pStyle w:val="5"/>
        <w:numPr>
          <w:ilvl w:val="1"/>
          <w:numId w:val="0"/>
        </w:numPr>
        <w:spacing w:before="217" w:after="217"/>
        <w:rPr>
          <w:b/>
          <w:bCs w:val="0"/>
          <w:kern w:val="0"/>
        </w:rPr>
      </w:pPr>
      <w:bookmarkStart w:id="101" w:name="_Toc183862526"/>
      <w:bookmarkStart w:id="102" w:name="_Toc183863142"/>
      <w:bookmarkStart w:id="103" w:name="_Toc4742"/>
      <w:r>
        <w:rPr>
          <w:bCs w:val="0"/>
          <w:kern w:val="0"/>
        </w:rPr>
        <w:t>第一节 农业生产空间</w:t>
      </w:r>
      <w:bookmarkEnd w:id="101"/>
      <w:bookmarkEnd w:id="102"/>
      <w:bookmarkEnd w:id="103"/>
    </w:p>
    <w:p w14:paraId="467BF3F8">
      <w:pPr>
        <w:pStyle w:val="6"/>
        <w:numPr>
          <w:ilvl w:val="0"/>
          <w:numId w:val="1"/>
        </w:numPr>
        <w:spacing w:before="217" w:after="217"/>
      </w:pPr>
      <w:r>
        <w:t>耕地数量</w:t>
      </w:r>
    </w:p>
    <w:p w14:paraId="1C4B4A56">
      <w:pPr>
        <w:pStyle w:val="36"/>
        <w:ind w:firstLine="640"/>
        <w:rPr>
          <w:rFonts w:ascii="Times New Roman" w:hAnsi="Times New Roman"/>
          <w:szCs w:val="32"/>
        </w:rPr>
      </w:pPr>
      <w:r>
        <w:rPr>
          <w:rFonts w:ascii="Times New Roman" w:hAnsi="Times New Roman"/>
          <w:szCs w:val="32"/>
        </w:rPr>
        <w:t>签订耕地保护责任书，压实耕地保护主体责任。对耕地保护责任目标完成情况定期考核，实行耕地保护</w:t>
      </w:r>
      <w:r>
        <w:rPr>
          <w:rFonts w:hint="eastAsia" w:ascii="Times New Roman" w:hAnsi="Times New Roman"/>
          <w:szCs w:val="32"/>
        </w:rPr>
        <w:t>“</w:t>
      </w:r>
      <w:r>
        <w:rPr>
          <w:rFonts w:ascii="Times New Roman" w:hAnsi="Times New Roman"/>
          <w:szCs w:val="32"/>
        </w:rPr>
        <w:t>党政同责</w:t>
      </w:r>
      <w:r>
        <w:rPr>
          <w:rFonts w:hint="eastAsia" w:ascii="Times New Roman" w:hAnsi="Times New Roman"/>
          <w:szCs w:val="32"/>
        </w:rPr>
        <w:t>”</w:t>
      </w:r>
      <w:r>
        <w:rPr>
          <w:rFonts w:ascii="Times New Roman" w:hAnsi="Times New Roman"/>
          <w:szCs w:val="32"/>
        </w:rPr>
        <w:t>，终身追责。</w:t>
      </w:r>
    </w:p>
    <w:p w14:paraId="0F6F8589">
      <w:pPr>
        <w:pStyle w:val="36"/>
        <w:ind w:firstLine="640"/>
        <w:rPr>
          <w:rFonts w:ascii="Times New Roman" w:hAnsi="Times New Roman"/>
          <w:szCs w:val="32"/>
        </w:rPr>
      </w:pPr>
      <w:r>
        <w:rPr>
          <w:rFonts w:ascii="Times New Roman" w:hAnsi="Times New Roman"/>
          <w:szCs w:val="32"/>
        </w:rPr>
        <w:t>（一）严格耕地占补平衡</w:t>
      </w:r>
    </w:p>
    <w:p w14:paraId="44628667">
      <w:pPr>
        <w:pStyle w:val="36"/>
        <w:ind w:firstLine="640"/>
        <w:rPr>
          <w:rFonts w:ascii="Times New Roman" w:hAnsi="Times New Roman"/>
          <w:szCs w:val="32"/>
          <w:u w:val="single"/>
        </w:rPr>
      </w:pPr>
      <w:r>
        <w:rPr>
          <w:rFonts w:ascii="Times New Roman" w:hAnsi="Times New Roman"/>
          <w:szCs w:val="32"/>
          <w:u w:val="single"/>
        </w:rPr>
        <w:t>各类非农业建设项目选址布局尽量不占或少占耕地，特别是永久基本农田。确需占用的，按照“以补定占”原则，合理安排建设用地计划，严格落实耕地占补平衡责任，落实“数量相等、质量相当、产能不降”要求，严禁占优补劣、占水田补旱地，并按照相关规定对占用耕地耕作层土壤进行剥离再利用。对未纳入耕地保护目标的耕地，同等严格落实占补平衡。</w:t>
      </w:r>
    </w:p>
    <w:p w14:paraId="12CAE8A6">
      <w:pPr>
        <w:pStyle w:val="36"/>
        <w:ind w:firstLine="640"/>
        <w:rPr>
          <w:rFonts w:ascii="Times New Roman" w:hAnsi="Times New Roman"/>
          <w:szCs w:val="32"/>
        </w:rPr>
      </w:pPr>
      <w:r>
        <w:rPr>
          <w:rFonts w:ascii="Times New Roman" w:hAnsi="Times New Roman"/>
          <w:szCs w:val="32"/>
        </w:rPr>
        <w:t>（二）实施耕地占补平衡</w:t>
      </w:r>
    </w:p>
    <w:p w14:paraId="0D4BE9DF">
      <w:pPr>
        <w:pStyle w:val="36"/>
        <w:ind w:firstLine="640"/>
        <w:rPr>
          <w:rFonts w:ascii="Times New Roman" w:hAnsi="Times New Roman"/>
          <w:szCs w:val="32"/>
          <w:u w:val="single"/>
        </w:rPr>
      </w:pPr>
      <w:r>
        <w:rPr>
          <w:rFonts w:ascii="Times New Roman" w:hAnsi="Times New Roman"/>
          <w:szCs w:val="32"/>
          <w:u w:val="single"/>
        </w:rPr>
        <w:t>严格控制耕地转为其他农用地。以年度国土变更调查为基础，除国家安排</w:t>
      </w:r>
      <w:r>
        <w:rPr>
          <w:rFonts w:hint="eastAsia" w:ascii="Times New Roman" w:hAnsi="Times New Roman"/>
          <w:szCs w:val="32"/>
          <w:u w:val="single"/>
        </w:rPr>
        <w:t>的</w:t>
      </w:r>
      <w:r>
        <w:rPr>
          <w:rFonts w:ascii="Times New Roman" w:hAnsi="Times New Roman"/>
          <w:szCs w:val="32"/>
          <w:u w:val="single"/>
        </w:rPr>
        <w:t>生态退耕、自然灾害损毁难以复耕、河湖水面自然扩大造成耕地永久淹没等特殊情况外，对耕地转为林地、草地、园地等其他农用地及农业设施建设用地的，应当补足同等数量</w:t>
      </w:r>
      <w:r>
        <w:rPr>
          <w:rFonts w:hint="eastAsia" w:ascii="Times New Roman" w:hAnsi="Times New Roman"/>
          <w:szCs w:val="32"/>
          <w:u w:val="single"/>
        </w:rPr>
        <w:t>、高</w:t>
      </w:r>
      <w:r>
        <w:rPr>
          <w:rFonts w:ascii="Times New Roman" w:hAnsi="Times New Roman"/>
          <w:szCs w:val="32"/>
          <w:u w:val="single"/>
        </w:rPr>
        <w:t>质量的可长期稳定利用的耕地，落实年度耕地占补平衡。建设项目确需占用耕地，后期应编制表土剥离方案。</w:t>
      </w:r>
    </w:p>
    <w:p w14:paraId="3457C104">
      <w:pPr>
        <w:pStyle w:val="36"/>
        <w:ind w:firstLine="640"/>
        <w:rPr>
          <w:rFonts w:ascii="Times New Roman" w:hAnsi="Times New Roman"/>
          <w:szCs w:val="32"/>
        </w:rPr>
      </w:pPr>
      <w:r>
        <w:rPr>
          <w:rFonts w:ascii="Times New Roman" w:hAnsi="Times New Roman"/>
          <w:szCs w:val="32"/>
        </w:rPr>
        <w:t>在确保耕地总量不减少的前提下，逐步调整不符合自然地理条件的土地利用方式，引导在陡坡山地上种植苗木、林木、草坪，将平原耕地种植苗木、林木、草坪的逐步恢复为耕地，用山上换山下，实现区域置换。严格管控占补平衡的耕地质量，将难以或不宜长期稳定利用耕地逐步置换为可长期稳定利用耕地，总体提升耕地质量。</w:t>
      </w:r>
    </w:p>
    <w:p w14:paraId="2594885A">
      <w:pPr>
        <w:pStyle w:val="36"/>
        <w:ind w:firstLine="640"/>
        <w:rPr>
          <w:rFonts w:ascii="Times New Roman" w:hAnsi="Times New Roman"/>
          <w:szCs w:val="32"/>
        </w:rPr>
      </w:pPr>
      <w:r>
        <w:rPr>
          <w:rFonts w:ascii="Times New Roman" w:hAnsi="Times New Roman"/>
          <w:szCs w:val="32"/>
        </w:rPr>
        <w:t>（三）实施耕地种植用途管控</w:t>
      </w:r>
    </w:p>
    <w:p w14:paraId="4E3FACA0">
      <w:pPr>
        <w:pStyle w:val="36"/>
        <w:ind w:firstLine="640"/>
        <w:rPr>
          <w:rFonts w:ascii="Times New Roman" w:hAnsi="Times New Roman"/>
          <w:szCs w:val="32"/>
        </w:rPr>
      </w:pPr>
      <w:r>
        <w:rPr>
          <w:rFonts w:ascii="Times New Roman" w:hAnsi="Times New Roman"/>
          <w:szCs w:val="32"/>
          <w:u w:val="single"/>
        </w:rPr>
        <w:t>依法落实耕地利用优先</w:t>
      </w:r>
      <w:r>
        <w:rPr>
          <w:rFonts w:hint="eastAsia" w:ascii="Times New Roman" w:hAnsi="Times New Roman"/>
          <w:szCs w:val="32"/>
          <w:u w:val="single"/>
        </w:rPr>
        <w:t>原则</w:t>
      </w:r>
      <w:r>
        <w:rPr>
          <w:rFonts w:ascii="Times New Roman" w:hAnsi="Times New Roman"/>
          <w:szCs w:val="32"/>
          <w:u w:val="single"/>
        </w:rPr>
        <w:t>，耕地主要用于粮食和棉、油、糖、蔬菜等农产品及饲草饲料生产，永久基本农田重点用于粮食生产，高标准农田原则上全部用于粮食生产。</w:t>
      </w:r>
      <w:r>
        <w:rPr>
          <w:rFonts w:ascii="Times New Roman" w:hAnsi="Times New Roman"/>
          <w:szCs w:val="32"/>
        </w:rPr>
        <w:t>扩大有机水稻、优质玉米、高蛋白大豆等作物种植面积，引进新品种，普及推广新技术，提高单产和总量，加快与市场衔接，培育优势绿色有机农产品，形成食品级优质玉米核心种植区、优质大豆核心种植区和绿色水稻核心种植区。利用信息化手段监测耕地种植动态变化，开展日常巡查和核查，对耕地种植用途改变做到早发现、早制止，严格防止耕地非粮化。</w:t>
      </w:r>
    </w:p>
    <w:p w14:paraId="7BCE5E59">
      <w:pPr>
        <w:pStyle w:val="36"/>
        <w:ind w:firstLine="640"/>
        <w:rPr>
          <w:rFonts w:ascii="Times New Roman" w:hAnsi="Times New Roman"/>
          <w:szCs w:val="32"/>
        </w:rPr>
      </w:pPr>
      <w:r>
        <w:rPr>
          <w:rFonts w:ascii="Times New Roman" w:hAnsi="Times New Roman"/>
          <w:szCs w:val="32"/>
        </w:rPr>
        <w:t>（四）加强永久基本农田保护和建设</w:t>
      </w:r>
    </w:p>
    <w:p w14:paraId="37066F93">
      <w:pPr>
        <w:pStyle w:val="36"/>
        <w:ind w:firstLine="640"/>
        <w:rPr>
          <w:rFonts w:ascii="Times New Roman" w:hAnsi="Times New Roman"/>
          <w:szCs w:val="32"/>
        </w:rPr>
      </w:pPr>
      <w:r>
        <w:rPr>
          <w:rFonts w:ascii="Times New Roman" w:hAnsi="Times New Roman"/>
          <w:szCs w:val="32"/>
        </w:rPr>
        <w:t>以永久基本农田为基础，优先在粮食生产功能区、重要农产品保护区建设高标准农田，逐步把永久基本农田全部建成旱涝保收的高标准农田。</w:t>
      </w:r>
      <w:r>
        <w:rPr>
          <w:rFonts w:ascii="Times New Roman" w:hAnsi="Times New Roman"/>
          <w:szCs w:val="32"/>
          <w:u w:val="single"/>
        </w:rPr>
        <w:t>经依法批准确需占用的，应先补建后占用。</w:t>
      </w:r>
      <w:r>
        <w:rPr>
          <w:rFonts w:ascii="Times New Roman" w:hAnsi="Times New Roman"/>
          <w:szCs w:val="32"/>
        </w:rPr>
        <w:t>完善永久基本农田储备区制度，土地整治和新建高标准农田增加的优质耕地应优先补划为永久基本农田。在永久基本农田集中分布地区，不得规划新建可能造成污染的建设项目。</w:t>
      </w:r>
    </w:p>
    <w:p w14:paraId="0CF31BF8">
      <w:pPr>
        <w:pStyle w:val="6"/>
        <w:numPr>
          <w:ilvl w:val="0"/>
          <w:numId w:val="1"/>
        </w:numPr>
        <w:spacing w:before="217" w:after="217"/>
      </w:pPr>
      <w:r>
        <w:t>耕地质量</w:t>
      </w:r>
    </w:p>
    <w:p w14:paraId="6584AA18">
      <w:pPr>
        <w:pStyle w:val="36"/>
        <w:ind w:firstLine="640"/>
        <w:rPr>
          <w:rFonts w:ascii="Times New Roman" w:hAnsi="Times New Roman"/>
          <w:szCs w:val="32"/>
        </w:rPr>
      </w:pPr>
      <w:r>
        <w:rPr>
          <w:rFonts w:ascii="Times New Roman" w:hAnsi="Times New Roman"/>
          <w:szCs w:val="32"/>
        </w:rPr>
        <w:t>提高耕地质量。坚持耕地数量和质量保护并重，落实国家“藏粮于地、藏粮于技”战略，积极推进土地综合整治，因地制宜开展农用地整治，加强高标准农田建设，不断提高耕地和永久基本农田的质量。</w:t>
      </w:r>
    </w:p>
    <w:p w14:paraId="2D7E52FB">
      <w:pPr>
        <w:pStyle w:val="6"/>
        <w:numPr>
          <w:ilvl w:val="0"/>
          <w:numId w:val="1"/>
        </w:numPr>
        <w:spacing w:before="217" w:after="217"/>
      </w:pPr>
      <w:r>
        <w:t>耕地生态</w:t>
      </w:r>
    </w:p>
    <w:p w14:paraId="62422F1D">
      <w:pPr>
        <w:pStyle w:val="36"/>
        <w:ind w:firstLine="640"/>
        <w:rPr>
          <w:rFonts w:ascii="Times New Roman" w:hAnsi="Times New Roman"/>
          <w:szCs w:val="32"/>
        </w:rPr>
      </w:pPr>
      <w:r>
        <w:rPr>
          <w:rFonts w:ascii="Times New Roman" w:hAnsi="Times New Roman"/>
          <w:szCs w:val="32"/>
        </w:rPr>
        <w:t>推动用地与养地相结合，积极落实农业轮作制度，推广玉米、大豆、水稻、杂粮、经济作物轮作等绿色、高产、高质、综合配套技术模式；稳步推进不适宜耕种土地的退耕还林，实行保护性耕作，加快耕地退化治理；深入实施土壤污染防治行动计划，科学合理施肥施药，推广土壤污染防治与修复技术的应用。</w:t>
      </w:r>
    </w:p>
    <w:p w14:paraId="201653C3">
      <w:pPr>
        <w:pStyle w:val="6"/>
        <w:numPr>
          <w:ilvl w:val="0"/>
          <w:numId w:val="1"/>
        </w:numPr>
        <w:spacing w:before="217" w:after="217"/>
      </w:pPr>
      <w:r>
        <w:t>黑土地保护</w:t>
      </w:r>
    </w:p>
    <w:p w14:paraId="13982CB8">
      <w:pPr>
        <w:pStyle w:val="36"/>
        <w:ind w:firstLine="640"/>
        <w:rPr>
          <w:rFonts w:ascii="Times New Roman" w:hAnsi="Times New Roman"/>
          <w:szCs w:val="32"/>
        </w:rPr>
      </w:pPr>
      <w:r>
        <w:rPr>
          <w:rFonts w:ascii="Times New Roman" w:hAnsi="Times New Roman" w:eastAsia="楷体_GB2312"/>
          <w:szCs w:val="32"/>
        </w:rPr>
        <w:t>坚持生态优先、用养结合，对黑土耕地实行战略性保护。</w:t>
      </w:r>
      <w:r>
        <w:rPr>
          <w:rFonts w:ascii="Times New Roman" w:hAnsi="Times New Roman"/>
          <w:szCs w:val="32"/>
        </w:rPr>
        <w:t>坚持高位推动，用规划引领黑土地保护；坚持工程、农艺、生物措施综合施策，提升黑土地耕地质量，采用玉米秸秆翻埋还田，深耕改善土壤物理性状，增强土壤保水保肥能力；堆沤有机肥施用技术，提升土壤肥力，遏制黑土地退化；推行米豆轮作深松养分调控，固氮肥田；利用水稻秸秆翻压还田，增加土壤有机质；强化监管，健全黑土地保护长效机制，恢复黑土区田间生物群落，坚决保护好黑土地这一“耕地中的大熊猫”。</w:t>
      </w:r>
    </w:p>
    <w:p w14:paraId="40CDEC47">
      <w:pPr>
        <w:pStyle w:val="5"/>
        <w:numPr>
          <w:ilvl w:val="1"/>
          <w:numId w:val="0"/>
        </w:numPr>
        <w:spacing w:before="217" w:after="217"/>
        <w:rPr>
          <w:b/>
          <w:bCs w:val="0"/>
          <w:kern w:val="0"/>
        </w:rPr>
      </w:pPr>
      <w:bookmarkStart w:id="104" w:name="_Toc1994"/>
      <w:bookmarkStart w:id="105" w:name="_Toc183863143"/>
      <w:bookmarkStart w:id="106" w:name="_Toc183862527"/>
      <w:bookmarkStart w:id="107" w:name="_Toc20732"/>
      <w:bookmarkStart w:id="108" w:name="_Toc19622"/>
      <w:r>
        <w:rPr>
          <w:bCs w:val="0"/>
          <w:kern w:val="0"/>
        </w:rPr>
        <w:t>第二节 生态功能空间</w:t>
      </w:r>
      <w:bookmarkEnd w:id="104"/>
      <w:bookmarkEnd w:id="105"/>
      <w:bookmarkEnd w:id="106"/>
      <w:bookmarkEnd w:id="107"/>
      <w:bookmarkEnd w:id="108"/>
    </w:p>
    <w:p w14:paraId="36EE2F84">
      <w:pPr>
        <w:pStyle w:val="6"/>
        <w:numPr>
          <w:ilvl w:val="0"/>
          <w:numId w:val="1"/>
        </w:numPr>
        <w:spacing w:before="217" w:after="217"/>
      </w:pPr>
      <w:r>
        <w:t>自然保护地体系</w:t>
      </w:r>
    </w:p>
    <w:p w14:paraId="6AA1BEFB">
      <w:pPr>
        <w:pStyle w:val="36"/>
        <w:ind w:firstLine="640"/>
        <w:rPr>
          <w:rFonts w:ascii="Times New Roman" w:hAnsi="Times New Roman"/>
          <w:szCs w:val="32"/>
        </w:rPr>
      </w:pPr>
      <w:r>
        <w:rPr>
          <w:rFonts w:ascii="Times New Roman" w:hAnsi="Times New Roman"/>
          <w:szCs w:val="32"/>
        </w:rPr>
        <w:t>保护全域自然保护地，确保重要自然生态系统、自然遗迹、自然景观和生物多样性得到系统性保护，提升生态产品供给能力。</w:t>
      </w:r>
      <w:r>
        <w:rPr>
          <w:rFonts w:hint="eastAsia" w:ascii="Times New Roman" w:hAnsi="Times New Roman"/>
          <w:szCs w:val="32"/>
        </w:rPr>
        <w:t>四马架镇镇域范围内无自然保护地。</w:t>
      </w:r>
    </w:p>
    <w:p w14:paraId="5A288FD4">
      <w:pPr>
        <w:pStyle w:val="6"/>
        <w:numPr>
          <w:ilvl w:val="0"/>
          <w:numId w:val="1"/>
        </w:numPr>
        <w:spacing w:before="217" w:after="217"/>
      </w:pPr>
      <w:r>
        <w:t>保护生物多样性</w:t>
      </w:r>
    </w:p>
    <w:p w14:paraId="6122A064">
      <w:pPr>
        <w:pStyle w:val="36"/>
        <w:ind w:firstLine="640"/>
        <w:rPr>
          <w:rFonts w:ascii="Times New Roman" w:hAnsi="Times New Roman"/>
          <w:szCs w:val="32"/>
        </w:rPr>
      </w:pPr>
      <w:r>
        <w:rPr>
          <w:rFonts w:ascii="Times New Roman" w:hAnsi="Times New Roman"/>
          <w:szCs w:val="32"/>
        </w:rPr>
        <w:t>加强野生动植物保护，保护野生动物栖息地和繁殖地，为珍稀濒危物种生存繁衍提供空间保障。对候鸟重要栖息地和迁飞通道实施空间管控。风力发电等设施布局建设应避让重要栖息地和迁飞节点。</w:t>
      </w:r>
    </w:p>
    <w:p w14:paraId="086FF725">
      <w:pPr>
        <w:pStyle w:val="6"/>
        <w:numPr>
          <w:ilvl w:val="0"/>
          <w:numId w:val="1"/>
        </w:numPr>
        <w:spacing w:before="217" w:after="217"/>
      </w:pPr>
      <w:r>
        <w:t>国土绿化行动目标</w:t>
      </w:r>
    </w:p>
    <w:p w14:paraId="4A68FF9D">
      <w:pPr>
        <w:pStyle w:val="36"/>
        <w:ind w:firstLine="640"/>
        <w:rPr>
          <w:rFonts w:ascii="Times New Roman" w:hAnsi="Times New Roman"/>
          <w:szCs w:val="32"/>
        </w:rPr>
      </w:pPr>
      <w:r>
        <w:rPr>
          <w:rFonts w:ascii="Times New Roman" w:hAnsi="Times New Roman"/>
          <w:szCs w:val="32"/>
        </w:rPr>
        <w:t>通过造林绿化空间适宜性评估，清晰掌握林草资源本底，科学安排造林用地，带位置落实绿化任务，落实国土空间总体规划中的造林绿化空间。加强森林保育和质量精准提升、科学实施造林绿化、加快乡村美化绿化、合理优化防护林体系、强化沙化土地治理。</w:t>
      </w:r>
    </w:p>
    <w:p w14:paraId="3922F437">
      <w:pPr>
        <w:pStyle w:val="6"/>
        <w:numPr>
          <w:ilvl w:val="0"/>
          <w:numId w:val="1"/>
        </w:numPr>
        <w:spacing w:before="217" w:after="217"/>
      </w:pPr>
      <w:r>
        <w:t>国土绿化行动总体要求</w:t>
      </w:r>
    </w:p>
    <w:p w14:paraId="0CFFB514">
      <w:pPr>
        <w:pStyle w:val="36"/>
        <w:ind w:firstLine="640"/>
        <w:rPr>
          <w:rFonts w:ascii="Times New Roman" w:hAnsi="Times New Roman"/>
          <w:szCs w:val="32"/>
        </w:rPr>
      </w:pPr>
      <w:r>
        <w:rPr>
          <w:rFonts w:ascii="Times New Roman" w:hAnsi="Times New Roman"/>
          <w:szCs w:val="32"/>
        </w:rPr>
        <w:t>科学开展国土绿化行动，坚持生态优先，生态、经济、社会三大效益兼顾原则；坚持因地制宜，遵循自然和经济规律，充分考虑“三区三线”等因素原则；坚持质量优先、速度与成效相统一</w:t>
      </w:r>
      <w:r>
        <w:rPr>
          <w:rFonts w:hint="eastAsia" w:ascii="Times New Roman" w:hAnsi="Times New Roman"/>
          <w:szCs w:val="32"/>
        </w:rPr>
        <w:t>的</w:t>
      </w:r>
      <w:r>
        <w:rPr>
          <w:rFonts w:ascii="Times New Roman" w:hAnsi="Times New Roman"/>
          <w:szCs w:val="32"/>
        </w:rPr>
        <w:t>原则；坚持与生物多样性保护、生态环境保护相结合，提倡多林种、多树种造林原则。</w:t>
      </w:r>
    </w:p>
    <w:p w14:paraId="48D2849A">
      <w:pPr>
        <w:pStyle w:val="6"/>
        <w:numPr>
          <w:ilvl w:val="0"/>
          <w:numId w:val="1"/>
        </w:numPr>
        <w:spacing w:before="217" w:after="217"/>
      </w:pPr>
      <w:r>
        <w:t>国土绿化重点举措</w:t>
      </w:r>
    </w:p>
    <w:p w14:paraId="4F35D499">
      <w:pPr>
        <w:pStyle w:val="36"/>
        <w:ind w:firstLine="640"/>
        <w:rPr>
          <w:rFonts w:ascii="Times New Roman" w:hAnsi="Times New Roman"/>
          <w:szCs w:val="32"/>
        </w:rPr>
      </w:pPr>
      <w:r>
        <w:rPr>
          <w:rFonts w:ascii="Times New Roman" w:hAnsi="Times New Roman"/>
          <w:szCs w:val="32"/>
        </w:rPr>
        <w:t>有序安排年度造林绿化任务，将适宜造林绿化土地统筹确定为规划造林绿化空间，并落实到国土空间规划“一张图”上。</w:t>
      </w:r>
      <w:r>
        <w:rPr>
          <w:rFonts w:ascii="Times New Roman" w:hAnsi="Times New Roman"/>
          <w:szCs w:val="32"/>
          <w:u w:val="single"/>
        </w:rPr>
        <w:t>到2035年，按照县级下达造林计划完成任务。</w:t>
      </w:r>
    </w:p>
    <w:p w14:paraId="5F29C473">
      <w:pPr>
        <w:pStyle w:val="6"/>
        <w:numPr>
          <w:ilvl w:val="0"/>
          <w:numId w:val="1"/>
        </w:numPr>
        <w:spacing w:before="217" w:after="217"/>
      </w:pPr>
      <w:r>
        <w:t>水资源保护与利用</w:t>
      </w:r>
    </w:p>
    <w:p w14:paraId="60626BEF">
      <w:pPr>
        <w:pStyle w:val="36"/>
        <w:ind w:firstLine="640"/>
        <w:rPr>
          <w:rFonts w:ascii="Times New Roman" w:hAnsi="Times New Roman"/>
          <w:szCs w:val="32"/>
          <w:u w:val="single"/>
        </w:rPr>
      </w:pPr>
      <w:r>
        <w:rPr>
          <w:rFonts w:ascii="Times New Roman" w:hAnsi="Times New Roman"/>
          <w:szCs w:val="32"/>
        </w:rPr>
        <w:t>坚持“以水定城、以水定地、以水定人、以水定产”，落实最严格的水资源管理制度，强化水资源总量控制、用水效率控制。结合全域水资源现状，推动工业节水减排、城镇节水降损和农业节水增效，大力发展节水产业。</w:t>
      </w:r>
      <w:r>
        <w:rPr>
          <w:rFonts w:ascii="Times New Roman" w:hAnsi="Times New Roman"/>
          <w:szCs w:val="32"/>
          <w:u w:val="single"/>
        </w:rPr>
        <w:t>到2035年，全域用水总量不超过上级下达指标。</w:t>
      </w:r>
    </w:p>
    <w:p w14:paraId="3AD388D7">
      <w:pPr>
        <w:pStyle w:val="6"/>
        <w:numPr>
          <w:ilvl w:val="0"/>
          <w:numId w:val="1"/>
        </w:numPr>
        <w:spacing w:before="217" w:after="217"/>
      </w:pPr>
      <w:r>
        <w:t>重要水空间保护</w:t>
      </w:r>
    </w:p>
    <w:p w14:paraId="603571DA">
      <w:pPr>
        <w:pStyle w:val="36"/>
        <w:ind w:firstLine="640"/>
        <w:rPr>
          <w:rFonts w:ascii="Times New Roman" w:hAnsi="Times New Roman"/>
          <w:szCs w:val="32"/>
        </w:rPr>
      </w:pPr>
      <w:r>
        <w:rPr>
          <w:rFonts w:ascii="Times New Roman" w:hAnsi="Times New Roman"/>
          <w:szCs w:val="32"/>
        </w:rPr>
        <w:t>加强</w:t>
      </w:r>
      <w:r>
        <w:rPr>
          <w:rFonts w:hint="eastAsia" w:ascii="Times New Roman" w:hAnsi="Times New Roman"/>
          <w:szCs w:val="32"/>
        </w:rPr>
        <w:t>音达</w:t>
      </w:r>
      <w:r>
        <w:rPr>
          <w:rFonts w:ascii="Times New Roman" w:hAnsi="Times New Roman"/>
          <w:szCs w:val="32"/>
        </w:rPr>
        <w:t>木河以及中小河流等水域保护与生态综合治理。积极开展水域生态综合治理、水域岸线管控、政府驻地及周边水体治理，实施水环境水生态保护与修复。</w:t>
      </w:r>
    </w:p>
    <w:p w14:paraId="0AB249B2">
      <w:pPr>
        <w:pStyle w:val="6"/>
        <w:numPr>
          <w:ilvl w:val="0"/>
          <w:numId w:val="1"/>
        </w:numPr>
        <w:spacing w:before="217" w:after="217"/>
      </w:pPr>
      <w:r>
        <w:t>湿地资源保护与利用</w:t>
      </w:r>
    </w:p>
    <w:p w14:paraId="74C1D780">
      <w:pPr>
        <w:pStyle w:val="36"/>
        <w:ind w:firstLine="640"/>
        <w:rPr>
          <w:rFonts w:ascii="Times New Roman" w:hAnsi="Times New Roman"/>
          <w:szCs w:val="32"/>
        </w:rPr>
      </w:pPr>
      <w:r>
        <w:rPr>
          <w:rFonts w:ascii="Times New Roman" w:hAnsi="Times New Roman"/>
          <w:szCs w:val="32"/>
        </w:rPr>
        <w:t>推进河流型、湖泊型、沼泽型、人工湿地的保护，保障湿地生态功能。严禁湿地开垦等破坏性活动。实施重点湿地保护与恢复工程，推进湿地保护、植被恢复、本底资源调查、科普宣教设施建设。实施退耕还湿、湿地生态效益补偿、湿地保护奖励措施，建立湿地生态修复机制，严格管控湿地保护红线。到2035年，湿地面积及湿地保护率不低于上级下达指标。</w:t>
      </w:r>
    </w:p>
    <w:p w14:paraId="4B753F49">
      <w:pPr>
        <w:pStyle w:val="6"/>
        <w:numPr>
          <w:ilvl w:val="0"/>
          <w:numId w:val="1"/>
        </w:numPr>
        <w:spacing w:before="217" w:after="217"/>
      </w:pPr>
      <w:r>
        <w:t>水生态治理</w:t>
      </w:r>
    </w:p>
    <w:p w14:paraId="6C09C209">
      <w:pPr>
        <w:pStyle w:val="36"/>
        <w:ind w:firstLine="640"/>
        <w:rPr>
          <w:rFonts w:ascii="Times New Roman" w:hAnsi="Times New Roman"/>
          <w:szCs w:val="32"/>
        </w:rPr>
      </w:pPr>
      <w:r>
        <w:rPr>
          <w:rFonts w:ascii="Times New Roman" w:hAnsi="Times New Roman"/>
          <w:szCs w:val="32"/>
        </w:rPr>
        <w:t>实施水污染综合治理工程，统筹治理黑臭水体、工业废水、农业退水、城乡污水，推进生态沟道、污水净塘、人工湿地、植物隔离条带等生态拦截净化工程，加强污水处置设施建设提标改造，逐年提升农村污水处理覆盖率，全面取缔工业直排口、非法入河排污口，清理整顿列入负面清单的产业和项目，从“末端治理”到“全流域治理”，建立“点源控制+面源消减”的污染治理体系，综合改善水环境质量。科学合理施肥施药，并通过生态农渠改造和生态湿地等有效减少入水污染量。</w:t>
      </w:r>
    </w:p>
    <w:p w14:paraId="4D65D066">
      <w:pPr>
        <w:pStyle w:val="6"/>
        <w:numPr>
          <w:ilvl w:val="0"/>
          <w:numId w:val="1"/>
        </w:numPr>
        <w:spacing w:before="217" w:after="217"/>
      </w:pPr>
      <w:r>
        <w:t>林地资源保护利用</w:t>
      </w:r>
    </w:p>
    <w:p w14:paraId="55F8C014">
      <w:pPr>
        <w:pStyle w:val="36"/>
        <w:ind w:firstLine="640"/>
        <w:rPr>
          <w:rFonts w:ascii="Times New Roman" w:hAnsi="Times New Roman"/>
          <w:szCs w:val="32"/>
          <w:u w:val="single"/>
        </w:rPr>
      </w:pPr>
      <w:r>
        <w:rPr>
          <w:rFonts w:ascii="Times New Roman" w:hAnsi="Times New Roman"/>
          <w:szCs w:val="32"/>
        </w:rPr>
        <w:t>综合考虑生态重要性和敏感性，在生态功能重要区域、生态敏感脆弱区域等重点布局和建设生态公益林，加强全域内“四旁”林（路旁、水旁、村旁、宅旁）建设，促进防护林建设。</w:t>
      </w:r>
      <w:r>
        <w:rPr>
          <w:rFonts w:ascii="Times New Roman" w:hAnsi="Times New Roman"/>
          <w:szCs w:val="32"/>
          <w:u w:val="single"/>
        </w:rPr>
        <w:t>规划到2035年，全域森林覆盖率不低于上级下达指标。</w:t>
      </w:r>
    </w:p>
    <w:p w14:paraId="42EDB61A">
      <w:pPr>
        <w:pStyle w:val="36"/>
        <w:ind w:firstLine="640"/>
        <w:rPr>
          <w:rFonts w:ascii="Times New Roman" w:hAnsi="Times New Roman"/>
          <w:szCs w:val="32"/>
        </w:rPr>
      </w:pPr>
      <w:r>
        <w:rPr>
          <w:rFonts w:ascii="Times New Roman" w:hAnsi="Times New Roman"/>
          <w:szCs w:val="32"/>
        </w:rPr>
        <w:t>强化天然林保护，加快建立全面保护、系统恢复、用途管控、权责明确的天然林保护修复制度体系；加强重点生态功能区和生态环境敏感脆弱区域的林地资源保护，禁止毁林开垦；加强中幼龄林抚育，保护幼苗幼树，提高林地培育质量，增加林地水源涵养、水土保持等方面功能。持续推进人工造林，促进沿主要交通干线、水域生态廊道、森林公园建设，构建生态网络体系。主要包括佳前公路、河流水系生态廊道建设、维护生态系统稳定，保护生物多样性。</w:t>
      </w:r>
    </w:p>
    <w:p w14:paraId="346FE06F">
      <w:pPr>
        <w:pStyle w:val="6"/>
        <w:numPr>
          <w:ilvl w:val="0"/>
          <w:numId w:val="1"/>
        </w:numPr>
        <w:spacing w:before="217" w:after="217"/>
      </w:pPr>
      <w:r>
        <w:t>实行森林分类经营</w:t>
      </w:r>
    </w:p>
    <w:p w14:paraId="4301C5C3">
      <w:pPr>
        <w:pStyle w:val="36"/>
        <w:ind w:firstLine="640"/>
        <w:rPr>
          <w:rFonts w:ascii="Times New Roman" w:hAnsi="Times New Roman"/>
          <w:szCs w:val="32"/>
        </w:rPr>
      </w:pPr>
      <w:r>
        <w:rPr>
          <w:rFonts w:ascii="Times New Roman" w:hAnsi="Times New Roman"/>
          <w:szCs w:val="32"/>
        </w:rPr>
        <w:t>国家级公益林，要以发挥生态效益为核心，落实专人管护，优先安排造林任务，全面禁止商品性采伐，林地内禁止矿产资源勘探与开发，尽快实现休养生息。商品林，要在保障生态功能的基础上，科学合理地进行经营，有效发挥经济效益。公益林和商品林中的天然林均不得采伐。</w:t>
      </w:r>
    </w:p>
    <w:p w14:paraId="360C8F99">
      <w:pPr>
        <w:pStyle w:val="6"/>
        <w:numPr>
          <w:ilvl w:val="0"/>
          <w:numId w:val="1"/>
        </w:numPr>
        <w:spacing w:before="217" w:after="217"/>
      </w:pPr>
      <w:r>
        <w:t>草地资源保护利用</w:t>
      </w:r>
    </w:p>
    <w:p w14:paraId="1AEDBE8B">
      <w:pPr>
        <w:pStyle w:val="36"/>
        <w:ind w:firstLine="640"/>
        <w:rPr>
          <w:rFonts w:ascii="Times New Roman" w:hAnsi="Times New Roman"/>
          <w:szCs w:val="32"/>
        </w:rPr>
      </w:pPr>
      <w:r>
        <w:rPr>
          <w:rFonts w:ascii="Times New Roman" w:hAnsi="Times New Roman"/>
          <w:szCs w:val="32"/>
        </w:rPr>
        <w:t>以现有草地为基础，结合国土空间适宜性评价和乡村特色产业发展需求，适度优化调整镇域草地布局和发展方向，发展特色产业经济，提高草地资源利用效益。规划到2035年，全域草地</w:t>
      </w:r>
      <w:r>
        <w:rPr>
          <w:rFonts w:hint="eastAsia" w:ascii="Times New Roman" w:hAnsi="Times New Roman"/>
          <w:szCs w:val="32"/>
        </w:rPr>
        <w:t>合理利用</w:t>
      </w:r>
      <w:r>
        <w:rPr>
          <w:rFonts w:ascii="Times New Roman" w:hAnsi="Times New Roman"/>
          <w:szCs w:val="32"/>
        </w:rPr>
        <w:t>。</w:t>
      </w:r>
    </w:p>
    <w:p w14:paraId="2DB3ABCB">
      <w:pPr>
        <w:pStyle w:val="36"/>
        <w:ind w:firstLine="640"/>
        <w:rPr>
          <w:rFonts w:ascii="Times New Roman" w:hAnsi="Times New Roman"/>
          <w:szCs w:val="32"/>
        </w:rPr>
      </w:pPr>
      <w:r>
        <w:rPr>
          <w:rFonts w:ascii="Times New Roman" w:hAnsi="Times New Roman"/>
          <w:szCs w:val="32"/>
        </w:rPr>
        <w:t>落实草原资源休养生息、生态空间用途管制、生态价值评估等制度，持续提升草原多种功能，推进草原分区分类治理。大力推进草原生态保护重点工程建设，依托草原生态保护修复项目，瞄准存在的主要问题，突出重点任务，科学选择重点修复区域进行集中规模修复治理，开展围栏封育、补播改良、典型区域治理等草原生态修复措施，遏制草原退化趋势。</w:t>
      </w:r>
    </w:p>
    <w:p w14:paraId="52793A2A">
      <w:pPr>
        <w:pStyle w:val="5"/>
        <w:numPr>
          <w:ilvl w:val="1"/>
          <w:numId w:val="0"/>
        </w:numPr>
        <w:spacing w:before="217" w:after="217"/>
        <w:rPr>
          <w:b/>
          <w:bCs w:val="0"/>
          <w:kern w:val="0"/>
        </w:rPr>
      </w:pPr>
      <w:bookmarkStart w:id="109" w:name="_Toc183863144"/>
      <w:bookmarkStart w:id="110" w:name="_Toc183862528"/>
      <w:bookmarkStart w:id="111" w:name="_Toc1027"/>
      <w:bookmarkStart w:id="112" w:name="_Toc31527"/>
      <w:bookmarkStart w:id="113" w:name="_Toc19805"/>
      <w:r>
        <w:rPr>
          <w:bCs w:val="0"/>
          <w:kern w:val="0"/>
        </w:rPr>
        <w:t>第三节 城乡建设空间</w:t>
      </w:r>
      <w:bookmarkEnd w:id="109"/>
      <w:bookmarkEnd w:id="110"/>
      <w:bookmarkEnd w:id="111"/>
      <w:bookmarkEnd w:id="112"/>
      <w:bookmarkEnd w:id="113"/>
    </w:p>
    <w:p w14:paraId="11C86B56">
      <w:pPr>
        <w:pStyle w:val="6"/>
        <w:numPr>
          <w:ilvl w:val="0"/>
          <w:numId w:val="1"/>
        </w:numPr>
        <w:spacing w:before="217" w:after="217"/>
      </w:pPr>
      <w:r>
        <w:t>人口和城镇化</w:t>
      </w:r>
    </w:p>
    <w:p w14:paraId="50CA7DA9">
      <w:pPr>
        <w:ind w:firstLine="640"/>
        <w:rPr>
          <w:rFonts w:ascii="Times New Roman" w:hAnsi="Times New Roman"/>
          <w:szCs w:val="32"/>
        </w:rPr>
      </w:pPr>
      <w:r>
        <w:rPr>
          <w:rFonts w:ascii="Times New Roman" w:hAnsi="Times New Roman"/>
          <w:szCs w:val="32"/>
        </w:rPr>
        <w:t>规划近期（2021</w:t>
      </w:r>
      <w:r>
        <w:rPr>
          <w:rFonts w:hint="eastAsia" w:ascii="Times New Roman" w:hAnsi="Times New Roman"/>
          <w:szCs w:val="32"/>
        </w:rPr>
        <w:t>—</w:t>
      </w:r>
      <w:r>
        <w:rPr>
          <w:rFonts w:ascii="Times New Roman" w:hAnsi="Times New Roman"/>
          <w:szCs w:val="32"/>
        </w:rPr>
        <w:t>2025年）全域户籍总人口为P</w:t>
      </w:r>
      <w:r>
        <w:rPr>
          <w:rFonts w:ascii="Times New Roman" w:hAnsi="Times New Roman"/>
          <w:szCs w:val="32"/>
          <w:vertAlign w:val="subscript"/>
        </w:rPr>
        <w:t>2025</w:t>
      </w:r>
      <w:r>
        <w:rPr>
          <w:rFonts w:ascii="Times New Roman" w:hAnsi="Times New Roman"/>
          <w:szCs w:val="32"/>
        </w:rPr>
        <w:t>=0.20万人，常住总人口为P</w:t>
      </w:r>
      <w:r>
        <w:rPr>
          <w:rFonts w:ascii="Times New Roman" w:hAnsi="Times New Roman"/>
          <w:szCs w:val="32"/>
          <w:vertAlign w:val="subscript"/>
        </w:rPr>
        <w:t>2025</w:t>
      </w:r>
      <w:r>
        <w:rPr>
          <w:rFonts w:ascii="Times New Roman" w:hAnsi="Times New Roman"/>
          <w:szCs w:val="32"/>
        </w:rPr>
        <w:t>=0.87万人；镇政府驻地户籍总人口为P</w:t>
      </w:r>
      <w:r>
        <w:rPr>
          <w:rFonts w:ascii="Times New Roman" w:hAnsi="Times New Roman"/>
          <w:szCs w:val="32"/>
          <w:vertAlign w:val="subscript"/>
        </w:rPr>
        <w:t>2025</w:t>
      </w:r>
      <w:r>
        <w:rPr>
          <w:rFonts w:ascii="Times New Roman" w:hAnsi="Times New Roman"/>
          <w:szCs w:val="32"/>
        </w:rPr>
        <w:t>=0.2万人，镇政府驻地常住总人口为P</w:t>
      </w:r>
      <w:r>
        <w:rPr>
          <w:rFonts w:ascii="Times New Roman" w:hAnsi="Times New Roman"/>
          <w:szCs w:val="32"/>
          <w:vertAlign w:val="subscript"/>
        </w:rPr>
        <w:t>2025</w:t>
      </w:r>
      <w:r>
        <w:rPr>
          <w:rFonts w:ascii="Times New Roman" w:hAnsi="Times New Roman"/>
          <w:szCs w:val="32"/>
        </w:rPr>
        <w:t>=0.16万人。</w:t>
      </w:r>
    </w:p>
    <w:p w14:paraId="034397D0">
      <w:pPr>
        <w:ind w:firstLine="640"/>
        <w:rPr>
          <w:rFonts w:ascii="Times New Roman" w:hAnsi="Times New Roman"/>
          <w:szCs w:val="32"/>
        </w:rPr>
      </w:pPr>
      <w:r>
        <w:rPr>
          <w:rFonts w:ascii="Times New Roman" w:hAnsi="Times New Roman"/>
          <w:szCs w:val="32"/>
        </w:rPr>
        <w:t>规划远期（2026</w:t>
      </w:r>
      <w:r>
        <w:rPr>
          <w:rFonts w:hint="eastAsia" w:ascii="Times New Roman" w:hAnsi="Times New Roman"/>
          <w:szCs w:val="32"/>
        </w:rPr>
        <w:t>—</w:t>
      </w:r>
      <w:r>
        <w:rPr>
          <w:rFonts w:ascii="Times New Roman" w:hAnsi="Times New Roman"/>
          <w:szCs w:val="32"/>
        </w:rPr>
        <w:t>2035年）全域户籍总人口为P</w:t>
      </w:r>
      <w:r>
        <w:rPr>
          <w:rFonts w:ascii="Times New Roman" w:hAnsi="Times New Roman"/>
          <w:szCs w:val="32"/>
          <w:vertAlign w:val="subscript"/>
        </w:rPr>
        <w:t>2025</w:t>
      </w:r>
      <w:r>
        <w:rPr>
          <w:rFonts w:ascii="Times New Roman" w:hAnsi="Times New Roman"/>
          <w:szCs w:val="32"/>
        </w:rPr>
        <w:t>=0.18万人，常住总人口为P</w:t>
      </w:r>
      <w:r>
        <w:rPr>
          <w:rFonts w:ascii="Times New Roman" w:hAnsi="Times New Roman"/>
          <w:szCs w:val="32"/>
          <w:vertAlign w:val="subscript"/>
        </w:rPr>
        <w:t>2035=</w:t>
      </w:r>
      <w:r>
        <w:rPr>
          <w:rFonts w:ascii="Times New Roman" w:hAnsi="Times New Roman"/>
          <w:szCs w:val="32"/>
        </w:rPr>
        <w:t>0.82万人，镇政府驻地户籍总人口为P</w:t>
      </w:r>
      <w:r>
        <w:rPr>
          <w:rFonts w:ascii="Times New Roman" w:hAnsi="Times New Roman"/>
          <w:szCs w:val="32"/>
          <w:vertAlign w:val="subscript"/>
        </w:rPr>
        <w:t>2025</w:t>
      </w:r>
      <w:r>
        <w:rPr>
          <w:rFonts w:ascii="Times New Roman" w:hAnsi="Times New Roman"/>
          <w:szCs w:val="32"/>
        </w:rPr>
        <w:t>=0.21万人，镇政府驻地常住总人口为P</w:t>
      </w:r>
      <w:r>
        <w:rPr>
          <w:rFonts w:ascii="Times New Roman" w:hAnsi="Times New Roman"/>
          <w:szCs w:val="32"/>
          <w:vertAlign w:val="subscript"/>
        </w:rPr>
        <w:t>2035</w:t>
      </w:r>
      <w:r>
        <w:rPr>
          <w:rFonts w:ascii="Times New Roman" w:hAnsi="Times New Roman"/>
          <w:szCs w:val="32"/>
        </w:rPr>
        <w:t>=0.18万人。</w:t>
      </w:r>
    </w:p>
    <w:p w14:paraId="5323AAC1">
      <w:pPr>
        <w:pStyle w:val="6"/>
        <w:numPr>
          <w:ilvl w:val="0"/>
          <w:numId w:val="1"/>
        </w:numPr>
        <w:spacing w:before="217" w:after="217"/>
      </w:pPr>
      <w:r>
        <w:t>等级规模结构</w:t>
      </w:r>
    </w:p>
    <w:p w14:paraId="1A5A7DB1">
      <w:pPr>
        <w:pStyle w:val="36"/>
        <w:ind w:firstLine="640"/>
        <w:rPr>
          <w:rFonts w:ascii="Times New Roman" w:hAnsi="Times New Roman"/>
          <w:szCs w:val="32"/>
        </w:rPr>
      </w:pPr>
      <w:r>
        <w:rPr>
          <w:rFonts w:ascii="Times New Roman" w:hAnsi="Times New Roman"/>
          <w:szCs w:val="32"/>
        </w:rPr>
        <w:t>四马架镇居民点等级规模结构分为：镇政府驻地—中心村—一般村三个层次。</w:t>
      </w:r>
    </w:p>
    <w:p w14:paraId="1C94B609">
      <w:pPr>
        <w:pStyle w:val="36"/>
        <w:ind w:firstLine="640"/>
        <w:rPr>
          <w:rFonts w:ascii="Times New Roman" w:hAnsi="Times New Roman"/>
          <w:szCs w:val="32"/>
        </w:rPr>
      </w:pPr>
      <w:r>
        <w:rPr>
          <w:rFonts w:ascii="Times New Roman" w:hAnsi="Times New Roman"/>
          <w:szCs w:val="32"/>
        </w:rPr>
        <w:t>一级：镇政府驻地（四马架村）；</w:t>
      </w:r>
    </w:p>
    <w:p w14:paraId="10183CBB">
      <w:pPr>
        <w:pStyle w:val="36"/>
        <w:ind w:firstLine="640"/>
        <w:rPr>
          <w:rFonts w:ascii="Times New Roman" w:hAnsi="Times New Roman"/>
          <w:szCs w:val="32"/>
        </w:rPr>
      </w:pPr>
      <w:r>
        <w:rPr>
          <w:rFonts w:ascii="Times New Roman" w:hAnsi="Times New Roman"/>
          <w:szCs w:val="32"/>
        </w:rPr>
        <w:t>二级：中心村为会龙村、民乐村、红星村、同乐村；</w:t>
      </w:r>
    </w:p>
    <w:p w14:paraId="0CDE9406">
      <w:pPr>
        <w:pStyle w:val="36"/>
        <w:ind w:firstLine="640"/>
        <w:rPr>
          <w:rFonts w:ascii="Times New Roman" w:hAnsi="Times New Roman"/>
          <w:szCs w:val="32"/>
        </w:rPr>
      </w:pPr>
      <w:r>
        <w:rPr>
          <w:rFonts w:ascii="Times New Roman" w:hAnsi="Times New Roman"/>
          <w:szCs w:val="32"/>
        </w:rPr>
        <w:t>三级：一般村为文化村、宝山村、朝阳村、长胜村、永胜村、新兴村、德庆村、山湾村、六合村、仁合村、光复村和东华村。</w:t>
      </w:r>
    </w:p>
    <w:p w14:paraId="51E16599">
      <w:pPr>
        <w:pStyle w:val="6"/>
        <w:numPr>
          <w:ilvl w:val="0"/>
          <w:numId w:val="1"/>
        </w:numPr>
        <w:spacing w:before="217" w:after="217"/>
      </w:pPr>
      <w:r>
        <w:t>居民点职能结构</w:t>
      </w:r>
    </w:p>
    <w:p w14:paraId="4F0379FE">
      <w:pPr>
        <w:pStyle w:val="36"/>
        <w:ind w:firstLine="640"/>
        <w:rPr>
          <w:rFonts w:ascii="Times New Roman" w:hAnsi="Times New Roman"/>
          <w:szCs w:val="32"/>
        </w:rPr>
      </w:pPr>
      <w:bookmarkStart w:id="114" w:name="_Toc24524"/>
      <w:r>
        <w:rPr>
          <w:rFonts w:ascii="Times New Roman" w:hAnsi="Times New Roman"/>
          <w:szCs w:val="32"/>
        </w:rPr>
        <w:t>规划至2035年，全域居民点体系的职能结构类型有4种：综合型、农旅型、农业型、农工型。其中，镇政府驻地（四马架村）为综合型；会龙村为农旅型；民乐村、宝山村、朝阳村、长胜村、永胜村、德庆村、山湾村、六合村、仁合村和光复村为农业型；红星村、同乐村、文化村、新兴村和东华村为农工型。</w:t>
      </w:r>
      <w:bookmarkEnd w:id="114"/>
    </w:p>
    <w:p w14:paraId="536BF631">
      <w:pPr>
        <w:pStyle w:val="6"/>
        <w:numPr>
          <w:ilvl w:val="0"/>
          <w:numId w:val="1"/>
        </w:numPr>
        <w:spacing w:before="217" w:after="217"/>
      </w:pPr>
      <w:r>
        <w:t>居民点分类</w:t>
      </w:r>
    </w:p>
    <w:p w14:paraId="6FD0855F">
      <w:pPr>
        <w:pStyle w:val="36"/>
        <w:ind w:firstLine="640"/>
        <w:rPr>
          <w:rFonts w:ascii="Times New Roman" w:hAnsi="Times New Roman"/>
          <w:szCs w:val="32"/>
        </w:rPr>
      </w:pPr>
      <w:r>
        <w:rPr>
          <w:rFonts w:ascii="Times New Roman" w:hAnsi="Times New Roman"/>
          <w:szCs w:val="32"/>
        </w:rPr>
        <w:t>依据《黑龙江省村庄规划编制技术指引（试行）》中规定，黑龙江省村庄规划分类分为集聚提升类、城郊融合类、特色保护类、边境巩固类和拆迁撤并类5大类型。本次规划村庄分类类型有3种。其中会龙村为特色保护类；东华村为拆迁撤并类，其余均为集聚提升类。</w:t>
      </w:r>
    </w:p>
    <w:p w14:paraId="45D01DE5">
      <w:pPr>
        <w:pStyle w:val="6"/>
        <w:numPr>
          <w:ilvl w:val="0"/>
          <w:numId w:val="1"/>
        </w:numPr>
        <w:spacing w:before="217" w:after="217"/>
      </w:pPr>
      <w:r>
        <w:t>产业发展空间布局</w:t>
      </w:r>
    </w:p>
    <w:p w14:paraId="5C17B7ED">
      <w:pPr>
        <w:ind w:firstLine="640"/>
        <w:rPr>
          <w:rFonts w:ascii="Times New Roman" w:hAnsi="Times New Roman"/>
          <w:szCs w:val="32"/>
        </w:rPr>
      </w:pPr>
      <w:r>
        <w:rPr>
          <w:rFonts w:ascii="Times New Roman" w:hAnsi="Times New Roman"/>
          <w:szCs w:val="32"/>
        </w:rPr>
        <w:t>规划四马架镇产业形成“一心、一轴、四片区”的产业空间格局。</w:t>
      </w:r>
    </w:p>
    <w:p w14:paraId="14F7E1DB">
      <w:pPr>
        <w:ind w:firstLine="640"/>
        <w:rPr>
          <w:rFonts w:ascii="Times New Roman" w:hAnsi="Times New Roman"/>
          <w:szCs w:val="32"/>
        </w:rPr>
      </w:pPr>
      <w:r>
        <w:rPr>
          <w:rFonts w:ascii="Times New Roman" w:hAnsi="Times New Roman"/>
          <w:szCs w:val="32"/>
        </w:rPr>
        <w:t>“一心”——沿镇政府驻地中心处形成发展中心。</w:t>
      </w:r>
    </w:p>
    <w:p w14:paraId="04A05179">
      <w:pPr>
        <w:ind w:firstLine="640"/>
        <w:rPr>
          <w:rFonts w:ascii="Times New Roman" w:hAnsi="Times New Roman"/>
          <w:szCs w:val="32"/>
        </w:rPr>
      </w:pPr>
      <w:r>
        <w:rPr>
          <w:rFonts w:ascii="Times New Roman" w:hAnsi="Times New Roman"/>
          <w:szCs w:val="32"/>
        </w:rPr>
        <w:t>“一轴”——沿全域内形成</w:t>
      </w:r>
      <w:r>
        <w:rPr>
          <w:rFonts w:hint="eastAsia" w:ascii="Times New Roman" w:hAnsi="Times New Roman"/>
          <w:szCs w:val="32"/>
        </w:rPr>
        <w:t>串联</w:t>
      </w:r>
      <w:r>
        <w:rPr>
          <w:rFonts w:ascii="Times New Roman" w:hAnsi="Times New Roman"/>
          <w:szCs w:val="32"/>
        </w:rPr>
        <w:t>各产业的发展轴。</w:t>
      </w:r>
    </w:p>
    <w:p w14:paraId="15624A4E">
      <w:pPr>
        <w:ind w:firstLine="640"/>
        <w:rPr>
          <w:rFonts w:ascii="Times New Roman" w:hAnsi="Times New Roman"/>
          <w:szCs w:val="32"/>
        </w:rPr>
      </w:pPr>
      <w:r>
        <w:rPr>
          <w:rFonts w:ascii="Times New Roman" w:hAnsi="Times New Roman"/>
          <w:szCs w:val="32"/>
        </w:rPr>
        <w:t>“四片区”——北部工业区、农作物种植生产区、红色旅游区、综合服务区。</w:t>
      </w:r>
    </w:p>
    <w:p w14:paraId="76C9406A">
      <w:pPr>
        <w:pStyle w:val="6"/>
        <w:numPr>
          <w:ilvl w:val="0"/>
          <w:numId w:val="1"/>
        </w:numPr>
        <w:spacing w:before="217" w:after="217"/>
      </w:pPr>
      <w:r>
        <w:t>构建现代产业体系</w:t>
      </w:r>
    </w:p>
    <w:p w14:paraId="21B9178C">
      <w:pPr>
        <w:pStyle w:val="36"/>
        <w:ind w:firstLine="640"/>
        <w:rPr>
          <w:rFonts w:ascii="Times New Roman" w:hAnsi="Times New Roman"/>
          <w:szCs w:val="32"/>
        </w:rPr>
      </w:pPr>
      <w:r>
        <w:rPr>
          <w:rFonts w:ascii="Times New Roman" w:hAnsi="Times New Roman"/>
          <w:szCs w:val="32"/>
        </w:rPr>
        <w:t>第一产业：强调生态农业、现代农业</w:t>
      </w:r>
    </w:p>
    <w:p w14:paraId="54C92535">
      <w:pPr>
        <w:pStyle w:val="36"/>
        <w:ind w:firstLine="640"/>
        <w:rPr>
          <w:rFonts w:ascii="Times New Roman" w:hAnsi="Times New Roman"/>
          <w:szCs w:val="32"/>
        </w:rPr>
      </w:pPr>
      <w:r>
        <w:rPr>
          <w:rFonts w:ascii="Times New Roman" w:hAnsi="Times New Roman"/>
          <w:szCs w:val="32"/>
        </w:rPr>
        <w:t>以水稻、玉米种植业为基础，依托现有产业，不断探索农业农村现代化经营模式，建设现代农业产业</w:t>
      </w:r>
      <w:r>
        <w:rPr>
          <w:rFonts w:hint="eastAsia" w:ascii="Times New Roman" w:hAnsi="Times New Roman"/>
          <w:szCs w:val="32"/>
        </w:rPr>
        <w:t>园</w:t>
      </w:r>
      <w:r>
        <w:rPr>
          <w:rFonts w:ascii="Times New Roman" w:hAnsi="Times New Roman"/>
          <w:szCs w:val="32"/>
        </w:rPr>
        <w:t>区。</w:t>
      </w:r>
    </w:p>
    <w:p w14:paraId="43A549CE">
      <w:pPr>
        <w:pStyle w:val="36"/>
        <w:ind w:firstLine="640"/>
        <w:rPr>
          <w:rFonts w:ascii="Times New Roman" w:hAnsi="Times New Roman"/>
          <w:szCs w:val="32"/>
        </w:rPr>
      </w:pPr>
      <w:r>
        <w:rPr>
          <w:rFonts w:ascii="Times New Roman" w:hAnsi="Times New Roman"/>
          <w:szCs w:val="32"/>
        </w:rPr>
        <w:t>第二产业：强化区域协作、深化农产品加工</w:t>
      </w:r>
    </w:p>
    <w:p w14:paraId="370D3EBA">
      <w:pPr>
        <w:pStyle w:val="36"/>
        <w:ind w:firstLine="640"/>
        <w:rPr>
          <w:rFonts w:ascii="Times New Roman" w:hAnsi="Times New Roman"/>
          <w:szCs w:val="32"/>
        </w:rPr>
      </w:pPr>
      <w:r>
        <w:rPr>
          <w:rFonts w:ascii="Times New Roman" w:hAnsi="Times New Roman"/>
          <w:szCs w:val="32"/>
        </w:rPr>
        <w:t>落实桦川县产业发展战略。结合自身农业基础发展特点强化区域协作，主要在东华村加快工业园区发展，工业园区</w:t>
      </w:r>
      <w:r>
        <w:rPr>
          <w:rFonts w:hint="eastAsia" w:ascii="Times New Roman" w:hAnsi="Times New Roman"/>
          <w:szCs w:val="32"/>
        </w:rPr>
        <w:t>主要为</w:t>
      </w:r>
      <w:r>
        <w:t>对俄进出口加工园区的核心区</w:t>
      </w:r>
      <w:r>
        <w:rPr>
          <w:rFonts w:hint="eastAsia"/>
        </w:rPr>
        <w:t>，工业园区</w:t>
      </w:r>
      <w:r>
        <w:t>以其毗邻俄罗斯的区位优势、丰富的资源优势、巨大的俄罗斯市场需求优势、良好的环境优势和产业基础优势，</w:t>
      </w:r>
      <w:r>
        <w:rPr>
          <w:rFonts w:hint="eastAsia"/>
        </w:rPr>
        <w:t>加强了国际交流，推进四马架镇整体第二产业发展，</w:t>
      </w:r>
      <w:r>
        <w:rPr>
          <w:rFonts w:ascii="Times New Roman" w:hAnsi="Times New Roman"/>
          <w:szCs w:val="32"/>
        </w:rPr>
        <w:t>镇政府驻地推进特色农产品加工和物流仓储等第二产业发展。</w:t>
      </w:r>
    </w:p>
    <w:p w14:paraId="122C25B6">
      <w:pPr>
        <w:pStyle w:val="36"/>
        <w:ind w:firstLine="640"/>
        <w:rPr>
          <w:rFonts w:ascii="Times New Roman" w:hAnsi="Times New Roman"/>
          <w:szCs w:val="32"/>
        </w:rPr>
      </w:pPr>
      <w:r>
        <w:rPr>
          <w:rFonts w:ascii="Times New Roman" w:hAnsi="Times New Roman"/>
          <w:szCs w:val="32"/>
        </w:rPr>
        <w:t>第三产业：强</w:t>
      </w:r>
      <w:r>
        <w:rPr>
          <w:rFonts w:hint="eastAsia" w:ascii="Times New Roman" w:hAnsi="Times New Roman"/>
          <w:szCs w:val="32"/>
        </w:rPr>
        <w:t>化</w:t>
      </w:r>
      <w:r>
        <w:rPr>
          <w:rFonts w:ascii="Times New Roman" w:hAnsi="Times New Roman"/>
          <w:szCs w:val="32"/>
        </w:rPr>
        <w:t>现代服务业，激活乡村旅游</w:t>
      </w:r>
    </w:p>
    <w:p w14:paraId="42AF7D2D">
      <w:pPr>
        <w:pStyle w:val="36"/>
        <w:ind w:firstLine="640"/>
        <w:rPr>
          <w:rFonts w:ascii="Times New Roman" w:hAnsi="Times New Roman"/>
          <w:szCs w:val="32"/>
        </w:rPr>
      </w:pPr>
      <w:r>
        <w:rPr>
          <w:rFonts w:ascii="Times New Roman" w:hAnsi="Times New Roman"/>
          <w:szCs w:val="32"/>
        </w:rPr>
        <w:t>发展产品集散、贸易物流产业，推动四马架镇农产品快速集中转运；推进“旅游+农业</w:t>
      </w:r>
      <w:r>
        <w:rPr>
          <w:rFonts w:hint="eastAsia" w:ascii="Times New Roman" w:hAnsi="Times New Roman"/>
          <w:szCs w:val="32"/>
        </w:rPr>
        <w:t>”、“</w:t>
      </w:r>
      <w:r>
        <w:rPr>
          <w:rFonts w:ascii="Times New Roman" w:hAnsi="Times New Roman"/>
          <w:szCs w:val="32"/>
        </w:rPr>
        <w:t>旅游+教育</w:t>
      </w:r>
      <w:r>
        <w:rPr>
          <w:rFonts w:hint="eastAsia" w:ascii="Times New Roman" w:hAnsi="Times New Roman"/>
          <w:szCs w:val="32"/>
        </w:rPr>
        <w:t>”、“</w:t>
      </w:r>
      <w:r>
        <w:rPr>
          <w:rFonts w:ascii="Times New Roman" w:hAnsi="Times New Roman"/>
          <w:szCs w:val="32"/>
        </w:rPr>
        <w:t>旅游+互联网”等；大力发展红色旅游、农事体验、田园观光、农品采摘等休闲农业和乡村旅游。</w:t>
      </w:r>
    </w:p>
    <w:p w14:paraId="6161FAD1">
      <w:pPr>
        <w:pStyle w:val="6"/>
        <w:numPr>
          <w:ilvl w:val="0"/>
          <w:numId w:val="1"/>
        </w:numPr>
        <w:spacing w:before="217" w:after="217"/>
      </w:pPr>
      <w:r>
        <w:t>促进文旅产业融合发展</w:t>
      </w:r>
    </w:p>
    <w:p w14:paraId="06E00B1B">
      <w:pPr>
        <w:pStyle w:val="36"/>
        <w:ind w:firstLine="640"/>
        <w:rPr>
          <w:rFonts w:ascii="Times New Roman" w:hAnsi="Times New Roman"/>
          <w:szCs w:val="32"/>
        </w:rPr>
      </w:pPr>
      <w:r>
        <w:rPr>
          <w:rFonts w:ascii="Times New Roman" w:hAnsi="Times New Roman"/>
          <w:szCs w:val="32"/>
        </w:rPr>
        <w:t>依托四马架镇丰厚的自然条件、休闲农业等资源，将四马架镇建设成为桦川县南部集红色旅游、休闲度假等功能于一体的宜养宜居小镇。</w:t>
      </w:r>
    </w:p>
    <w:p w14:paraId="5C16C2DB">
      <w:pPr>
        <w:pStyle w:val="5"/>
        <w:numPr>
          <w:ilvl w:val="1"/>
          <w:numId w:val="0"/>
        </w:numPr>
        <w:spacing w:before="217" w:after="217"/>
        <w:rPr>
          <w:b/>
          <w:bCs w:val="0"/>
          <w:kern w:val="0"/>
        </w:rPr>
      </w:pPr>
      <w:bookmarkStart w:id="115" w:name="_Toc183863145"/>
      <w:bookmarkStart w:id="116" w:name="_Toc183862529"/>
      <w:bookmarkStart w:id="117" w:name="_Toc25698"/>
      <w:r>
        <w:rPr>
          <w:bCs w:val="0"/>
          <w:kern w:val="0"/>
        </w:rPr>
        <w:t>第四节 地下空间</w:t>
      </w:r>
      <w:bookmarkEnd w:id="115"/>
      <w:bookmarkEnd w:id="116"/>
      <w:bookmarkEnd w:id="117"/>
    </w:p>
    <w:p w14:paraId="703E204D">
      <w:pPr>
        <w:pStyle w:val="6"/>
        <w:numPr>
          <w:ilvl w:val="0"/>
          <w:numId w:val="1"/>
        </w:numPr>
        <w:spacing w:before="217" w:after="217"/>
      </w:pPr>
      <w:r>
        <w:t>地下空间</w:t>
      </w:r>
    </w:p>
    <w:p w14:paraId="1A6A1486">
      <w:pPr>
        <w:pStyle w:val="36"/>
        <w:ind w:firstLine="640"/>
        <w:rPr>
          <w:rFonts w:ascii="Times New Roman" w:hAnsi="Times New Roman"/>
          <w:szCs w:val="32"/>
        </w:rPr>
      </w:pPr>
      <w:r>
        <w:rPr>
          <w:rFonts w:ascii="Times New Roman" w:hAnsi="Times New Roman"/>
          <w:szCs w:val="32"/>
        </w:rPr>
        <w:t>统筹地上地下空间资源保护开发及管理体系，统筹各类市政、人防、公服设施，矿产资源勘查开采与生态保护红线及永久基本农田等控制线的关系，完善各类地下设施的档案管理，促进地下空间资源综合开发利用。</w:t>
      </w:r>
    </w:p>
    <w:p w14:paraId="72A2178B">
      <w:pPr>
        <w:pStyle w:val="36"/>
        <w:ind w:firstLine="640"/>
        <w:rPr>
          <w:rFonts w:ascii="Times New Roman" w:hAnsi="Times New Roman"/>
          <w:szCs w:val="32"/>
        </w:rPr>
      </w:pPr>
    </w:p>
    <w:p w14:paraId="4F6E188C">
      <w:pPr>
        <w:pStyle w:val="4"/>
        <w:numPr>
          <w:ilvl w:val="0"/>
          <w:numId w:val="2"/>
        </w:numPr>
        <w:tabs>
          <w:tab w:val="left" w:pos="0"/>
        </w:tabs>
        <w:spacing w:before="217" w:after="217"/>
        <w:rPr>
          <w:b/>
          <w:bCs w:val="0"/>
          <w:kern w:val="2"/>
          <w:szCs w:val="36"/>
        </w:rPr>
      </w:pPr>
      <w:r>
        <w:rPr>
          <w:sz w:val="32"/>
          <w:szCs w:val="32"/>
        </w:rPr>
        <w:br w:type="page"/>
      </w:r>
      <w:bookmarkStart w:id="118" w:name="_Toc183863146"/>
      <w:bookmarkStart w:id="119" w:name="_Toc183862530"/>
      <w:bookmarkStart w:id="120" w:name="_Toc183863387"/>
      <w:bookmarkStart w:id="121" w:name="_Toc8322"/>
      <w:r>
        <w:rPr>
          <w:bCs w:val="0"/>
          <w:kern w:val="2"/>
          <w:szCs w:val="36"/>
        </w:rPr>
        <w:t>第六章 镇政府驻地用地布局</w:t>
      </w:r>
      <w:bookmarkEnd w:id="118"/>
      <w:bookmarkEnd w:id="119"/>
      <w:bookmarkEnd w:id="120"/>
      <w:bookmarkEnd w:id="121"/>
    </w:p>
    <w:p w14:paraId="4DB07FCF">
      <w:pPr>
        <w:pStyle w:val="5"/>
        <w:numPr>
          <w:ilvl w:val="1"/>
          <w:numId w:val="0"/>
        </w:numPr>
        <w:spacing w:before="217" w:after="217"/>
        <w:rPr>
          <w:b/>
          <w:bCs w:val="0"/>
          <w:kern w:val="0"/>
        </w:rPr>
      </w:pPr>
      <w:bookmarkStart w:id="122" w:name="_Toc183862531"/>
      <w:bookmarkStart w:id="123" w:name="_Toc183863147"/>
      <w:bookmarkStart w:id="124" w:name="_Toc17033"/>
      <w:r>
        <w:rPr>
          <w:bCs w:val="0"/>
          <w:kern w:val="0"/>
        </w:rPr>
        <w:t>第一节 用地结构和布局</w:t>
      </w:r>
      <w:bookmarkEnd w:id="122"/>
      <w:bookmarkEnd w:id="123"/>
      <w:bookmarkEnd w:id="124"/>
    </w:p>
    <w:p w14:paraId="072416F2">
      <w:pPr>
        <w:pStyle w:val="6"/>
        <w:numPr>
          <w:ilvl w:val="0"/>
          <w:numId w:val="1"/>
        </w:numPr>
        <w:spacing w:before="217" w:after="217"/>
      </w:pPr>
      <w:r>
        <w:t>镇政府驻地规模</w:t>
      </w:r>
    </w:p>
    <w:p w14:paraId="0E91073A">
      <w:pPr>
        <w:pStyle w:val="36"/>
        <w:ind w:firstLine="640"/>
        <w:rPr>
          <w:rFonts w:ascii="Times New Roman" w:hAnsi="Times New Roman"/>
          <w:szCs w:val="32"/>
        </w:rPr>
      </w:pPr>
      <w:r>
        <w:rPr>
          <w:rFonts w:ascii="Times New Roman" w:hAnsi="Times New Roman"/>
          <w:szCs w:val="32"/>
        </w:rPr>
        <w:t>根据四马架镇经济社会发展需求和自身资源条件，规划至2035年，四马架镇政府驻地为镇政府所在地集中连片的建设区域，面积为109.73公顷，镇政府驻地户籍人口0.21万人；常住人口0.18万人。</w:t>
      </w:r>
    </w:p>
    <w:p w14:paraId="59E27E5E">
      <w:pPr>
        <w:pStyle w:val="5"/>
        <w:numPr>
          <w:ilvl w:val="1"/>
          <w:numId w:val="0"/>
        </w:numPr>
        <w:spacing w:before="217" w:after="217"/>
        <w:rPr>
          <w:b/>
          <w:bCs w:val="0"/>
          <w:kern w:val="0"/>
        </w:rPr>
      </w:pPr>
      <w:bookmarkStart w:id="125" w:name="_Toc183862532"/>
      <w:bookmarkStart w:id="126" w:name="_Toc183863148"/>
      <w:bookmarkStart w:id="127" w:name="_Toc2928"/>
      <w:r>
        <w:rPr>
          <w:bCs w:val="0"/>
          <w:kern w:val="0"/>
        </w:rPr>
        <w:t>第二节 公共服务空间布局</w:t>
      </w:r>
      <w:bookmarkEnd w:id="125"/>
      <w:bookmarkEnd w:id="126"/>
      <w:bookmarkEnd w:id="127"/>
    </w:p>
    <w:p w14:paraId="6116B6E3">
      <w:pPr>
        <w:pStyle w:val="6"/>
        <w:numPr>
          <w:ilvl w:val="0"/>
          <w:numId w:val="1"/>
        </w:numPr>
        <w:spacing w:before="217" w:after="217"/>
      </w:pPr>
      <w:r>
        <w:t>公共服务中心规划</w:t>
      </w:r>
    </w:p>
    <w:p w14:paraId="3F72FB08">
      <w:pPr>
        <w:pStyle w:val="36"/>
        <w:ind w:firstLine="640"/>
        <w:rPr>
          <w:rFonts w:ascii="Times New Roman" w:hAnsi="Times New Roman"/>
          <w:szCs w:val="32"/>
        </w:rPr>
      </w:pPr>
      <w:r>
        <w:rPr>
          <w:rFonts w:ascii="Times New Roman" w:hAnsi="Times New Roman"/>
          <w:szCs w:val="32"/>
        </w:rPr>
        <w:t>按照乡镇层级社区生活圈服务要素配置各类公共服务设施，满足居民各项基本公共服务需求。结合居住组团、公园绿地及广场合理布局公共管理与公共设施用地，包括机关团体、文化体育、教育科研、医疗卫生设施。规划期末，镇政府驻地形成一个10分钟乡镇级社区生活圈。</w:t>
      </w:r>
    </w:p>
    <w:p w14:paraId="08553FAE">
      <w:pPr>
        <w:pStyle w:val="5"/>
        <w:numPr>
          <w:ilvl w:val="1"/>
          <w:numId w:val="0"/>
        </w:numPr>
        <w:spacing w:before="217" w:after="217"/>
        <w:rPr>
          <w:b/>
          <w:bCs w:val="0"/>
          <w:kern w:val="0"/>
        </w:rPr>
      </w:pPr>
      <w:bookmarkStart w:id="128" w:name="_Toc183862533"/>
      <w:bookmarkStart w:id="129" w:name="_Toc183863149"/>
      <w:bookmarkStart w:id="130" w:name="_Toc19769"/>
      <w:r>
        <w:rPr>
          <w:bCs w:val="0"/>
          <w:kern w:val="0"/>
        </w:rPr>
        <w:t>第三节 居住空间布局</w:t>
      </w:r>
      <w:bookmarkEnd w:id="128"/>
      <w:bookmarkEnd w:id="129"/>
      <w:bookmarkEnd w:id="130"/>
    </w:p>
    <w:p w14:paraId="4978B321">
      <w:pPr>
        <w:pStyle w:val="6"/>
        <w:numPr>
          <w:ilvl w:val="0"/>
          <w:numId w:val="1"/>
        </w:numPr>
        <w:spacing w:before="217" w:after="217"/>
      </w:pPr>
      <w:r>
        <w:t>居住用地结构和布局</w:t>
      </w:r>
    </w:p>
    <w:p w14:paraId="6BD0D648">
      <w:pPr>
        <w:pStyle w:val="36"/>
        <w:ind w:firstLine="640"/>
        <w:rPr>
          <w:rFonts w:ascii="Times New Roman" w:hAnsi="Times New Roman"/>
          <w:szCs w:val="32"/>
        </w:rPr>
      </w:pPr>
      <w:r>
        <w:rPr>
          <w:rFonts w:ascii="Times New Roman" w:hAnsi="Times New Roman"/>
          <w:szCs w:val="32"/>
        </w:rPr>
        <w:t>加强保障性安居工程建设，加快棚户区改造和老旧小区改造项目实施，到2025年，基本完成全部老旧小区改造。加强路网建设，打通外循环，连通内循环，打通断头路，提升交通综合承载能力。完善“三供一业”基础设施，推进供热设施改造、完善供水、供电基础设施，引入大物业管理模式。完善公共服务设施。合理布局汽车充电桩、自助停车场及智能投递系统</w:t>
      </w:r>
      <w:r>
        <w:rPr>
          <w:rFonts w:hint="eastAsia" w:ascii="Times New Roman" w:hAnsi="Times New Roman"/>
          <w:szCs w:val="32"/>
        </w:rPr>
        <w:t>等</w:t>
      </w:r>
      <w:r>
        <w:rPr>
          <w:rFonts w:ascii="Times New Roman" w:hAnsi="Times New Roman"/>
          <w:szCs w:val="32"/>
        </w:rPr>
        <w:t>设施。</w:t>
      </w:r>
    </w:p>
    <w:p w14:paraId="26A8FAE6">
      <w:pPr>
        <w:pStyle w:val="6"/>
        <w:numPr>
          <w:ilvl w:val="0"/>
          <w:numId w:val="1"/>
        </w:numPr>
        <w:spacing w:before="217" w:after="217"/>
      </w:pPr>
      <w:r>
        <w:t>城镇更新与人居环境整治</w:t>
      </w:r>
    </w:p>
    <w:p w14:paraId="3BAE01D4">
      <w:pPr>
        <w:pStyle w:val="36"/>
        <w:ind w:firstLine="640"/>
        <w:rPr>
          <w:rFonts w:ascii="Times New Roman" w:hAnsi="Times New Roman"/>
          <w:szCs w:val="32"/>
        </w:rPr>
      </w:pPr>
      <w:r>
        <w:rPr>
          <w:rFonts w:ascii="Times New Roman" w:hAnsi="Times New Roman"/>
          <w:szCs w:val="32"/>
        </w:rPr>
        <w:t>（一）更新目标</w:t>
      </w:r>
    </w:p>
    <w:p w14:paraId="1D88E54E">
      <w:pPr>
        <w:pStyle w:val="36"/>
        <w:ind w:firstLine="640"/>
        <w:rPr>
          <w:rFonts w:ascii="Times New Roman" w:hAnsi="Times New Roman"/>
          <w:szCs w:val="32"/>
        </w:rPr>
      </w:pPr>
      <w:r>
        <w:rPr>
          <w:rFonts w:ascii="Times New Roman" w:hAnsi="Times New Roman"/>
          <w:szCs w:val="32"/>
        </w:rPr>
        <w:t>健全四马架镇镇政府驻地存量空间利用机制，完善用地增减挂钩、增存挂钩倒逼机制；建立健全土地增值收益共享机制。规划至2035年乡镇结构、功能、布局进一步优化，开发建设方式全面转型，居住品质显著提升，治理体系和治理能力现代化基本实现，使乡镇成为人与人、人与自然和谐共处的美丽家园。</w:t>
      </w:r>
    </w:p>
    <w:p w14:paraId="27D19929">
      <w:pPr>
        <w:pStyle w:val="36"/>
        <w:ind w:firstLine="640"/>
        <w:rPr>
          <w:rFonts w:ascii="Times New Roman" w:hAnsi="Times New Roman"/>
          <w:szCs w:val="32"/>
        </w:rPr>
      </w:pPr>
      <w:r>
        <w:rPr>
          <w:rFonts w:ascii="Times New Roman" w:hAnsi="Times New Roman"/>
          <w:szCs w:val="32"/>
        </w:rPr>
        <w:t>（二）重点更新片区规划与指引</w:t>
      </w:r>
    </w:p>
    <w:p w14:paraId="2EED79BC">
      <w:pPr>
        <w:pStyle w:val="36"/>
        <w:ind w:firstLine="640"/>
        <w:rPr>
          <w:rFonts w:ascii="Times New Roman" w:hAnsi="Times New Roman"/>
          <w:szCs w:val="32"/>
        </w:rPr>
      </w:pPr>
      <w:r>
        <w:rPr>
          <w:rFonts w:ascii="Times New Roman" w:hAnsi="Times New Roman" w:eastAsia="楷体_GB2312"/>
          <w:szCs w:val="32"/>
        </w:rPr>
        <w:t>居住类更新策略。</w:t>
      </w:r>
      <w:r>
        <w:rPr>
          <w:rFonts w:ascii="Times New Roman" w:hAnsi="Times New Roman"/>
          <w:szCs w:val="32"/>
        </w:rPr>
        <w:t>老旧小区以微更新为主，以有机更新为主要手段对老旧小区进行选择性的保育、活化与复兴，提升街区品质。棚户区以区域整体改造、自由改造策略为主，对于规划整体定位不符合的村屯居民点及其周边用地的，进行整体改造，合理转型与再利用；对临近生态环境较好的村屯居民点，结合自然环境对其进行改造。</w:t>
      </w:r>
    </w:p>
    <w:p w14:paraId="6763F1D8">
      <w:pPr>
        <w:pStyle w:val="36"/>
        <w:ind w:firstLine="640"/>
        <w:rPr>
          <w:rFonts w:ascii="Times New Roman" w:hAnsi="Times New Roman"/>
          <w:szCs w:val="32"/>
        </w:rPr>
      </w:pPr>
      <w:r>
        <w:rPr>
          <w:rFonts w:ascii="Times New Roman" w:hAnsi="Times New Roman" w:eastAsia="楷体_GB2312"/>
          <w:szCs w:val="32"/>
        </w:rPr>
        <w:t>商住类更新策略。</w:t>
      </w:r>
      <w:r>
        <w:rPr>
          <w:rFonts w:ascii="Times New Roman" w:hAnsi="Times New Roman"/>
          <w:szCs w:val="32"/>
        </w:rPr>
        <w:t>以综合整治为主的渐进式的更新模式，优化沿街商业建筑的立面和内部使用空间，营造特色、美化店面。</w:t>
      </w:r>
    </w:p>
    <w:p w14:paraId="0041CF6D">
      <w:pPr>
        <w:pStyle w:val="36"/>
        <w:ind w:firstLine="640"/>
        <w:rPr>
          <w:rFonts w:ascii="Times New Roman" w:hAnsi="Times New Roman"/>
          <w:szCs w:val="32"/>
        </w:rPr>
      </w:pPr>
      <w:r>
        <w:rPr>
          <w:rFonts w:ascii="Times New Roman" w:hAnsi="Times New Roman" w:eastAsia="楷体_GB2312"/>
          <w:szCs w:val="32"/>
        </w:rPr>
        <w:t>综合类更新策略。</w:t>
      </w:r>
      <w:r>
        <w:rPr>
          <w:rFonts w:ascii="Times New Roman" w:hAnsi="Times New Roman"/>
          <w:szCs w:val="32"/>
        </w:rPr>
        <w:t>以综合整治为主的更新模式，针对性地开展建筑外观改善、公共空间改善、市政公用设施改善、公共配套设施改善和道路设施改善等工作。</w:t>
      </w:r>
    </w:p>
    <w:p w14:paraId="77BF47E9">
      <w:pPr>
        <w:pStyle w:val="36"/>
        <w:ind w:firstLine="640"/>
        <w:rPr>
          <w:rFonts w:ascii="Times New Roman" w:hAnsi="Times New Roman"/>
          <w:szCs w:val="32"/>
        </w:rPr>
      </w:pPr>
      <w:r>
        <w:rPr>
          <w:rFonts w:ascii="Times New Roman" w:hAnsi="Times New Roman" w:eastAsia="楷体_GB2312"/>
          <w:szCs w:val="32"/>
        </w:rPr>
        <w:t>公益类更新策略。</w:t>
      </w:r>
      <w:r>
        <w:rPr>
          <w:rFonts w:ascii="Times New Roman" w:hAnsi="Times New Roman"/>
          <w:szCs w:val="32"/>
        </w:rPr>
        <w:t>开发公共空间，增加广场、公共绿地面积，拆除违章建筑物，重新铺装人行道和广场的地面，提高旧区的居住环境。</w:t>
      </w:r>
    </w:p>
    <w:p w14:paraId="0036A225">
      <w:pPr>
        <w:pStyle w:val="5"/>
        <w:numPr>
          <w:ilvl w:val="1"/>
          <w:numId w:val="0"/>
        </w:numPr>
        <w:spacing w:before="217" w:after="217"/>
        <w:rPr>
          <w:b/>
          <w:bCs w:val="0"/>
          <w:kern w:val="0"/>
        </w:rPr>
      </w:pPr>
      <w:bookmarkStart w:id="131" w:name="_Toc183863150"/>
      <w:bookmarkStart w:id="132" w:name="_Toc183862534"/>
      <w:bookmarkStart w:id="133" w:name="_Toc30230"/>
      <w:r>
        <w:rPr>
          <w:bCs w:val="0"/>
          <w:kern w:val="0"/>
        </w:rPr>
        <w:t>第四节 绿地与开敞空间布局</w:t>
      </w:r>
      <w:bookmarkEnd w:id="131"/>
      <w:bookmarkEnd w:id="132"/>
      <w:bookmarkEnd w:id="133"/>
    </w:p>
    <w:p w14:paraId="4AF727E7">
      <w:pPr>
        <w:pStyle w:val="6"/>
        <w:numPr>
          <w:ilvl w:val="0"/>
          <w:numId w:val="1"/>
        </w:numPr>
        <w:spacing w:before="217" w:after="217"/>
      </w:pPr>
      <w:r>
        <w:t>绿地与开敞空间布局</w:t>
      </w:r>
    </w:p>
    <w:p w14:paraId="06C2A72F">
      <w:pPr>
        <w:pStyle w:val="36"/>
        <w:ind w:firstLine="640"/>
        <w:rPr>
          <w:rFonts w:ascii="Times New Roman" w:hAnsi="Times New Roman"/>
          <w:szCs w:val="32"/>
        </w:rPr>
      </w:pPr>
      <w:r>
        <w:rPr>
          <w:rFonts w:ascii="Times New Roman" w:hAnsi="Times New Roman"/>
          <w:szCs w:val="32"/>
        </w:rPr>
        <w:t>明确公园绿地、广场用地、水面等开敞空间的控制范围和管控要求，确定公园绿地与广场用地的总量、人均面积和覆盖率指标。网络化布局社区公园等开敞空间，构建尺度宜人、富有活力的公共空间体系。鼓励各类公共空间与公共设施、基础设施的共用共享，提高公共空间利用效率。</w:t>
      </w:r>
    </w:p>
    <w:p w14:paraId="7BEFDFE9">
      <w:pPr>
        <w:pStyle w:val="36"/>
        <w:ind w:firstLine="640"/>
        <w:rPr>
          <w:rFonts w:ascii="Times New Roman" w:hAnsi="Times New Roman"/>
          <w:szCs w:val="32"/>
          <w:u w:val="single"/>
        </w:rPr>
      </w:pPr>
      <w:r>
        <w:rPr>
          <w:rFonts w:ascii="Times New Roman" w:hAnsi="Times New Roman"/>
          <w:szCs w:val="32"/>
          <w:u w:val="single"/>
        </w:rPr>
        <w:t>规划新建广场1处。</w:t>
      </w:r>
      <w:r>
        <w:rPr>
          <w:rFonts w:ascii="Times New Roman" w:hAnsi="Times New Roman"/>
          <w:szCs w:val="32"/>
        </w:rPr>
        <w:t>加宽道路红线，沿城镇主干道大街两侧设置绿地与开敞空间，美化主要道路和塑造优美宜人的居住环境。</w:t>
      </w:r>
    </w:p>
    <w:p w14:paraId="66367877">
      <w:pPr>
        <w:pStyle w:val="5"/>
        <w:numPr>
          <w:ilvl w:val="1"/>
          <w:numId w:val="0"/>
        </w:numPr>
        <w:spacing w:before="217" w:after="217"/>
        <w:rPr>
          <w:b/>
          <w:bCs w:val="0"/>
          <w:kern w:val="0"/>
        </w:rPr>
      </w:pPr>
      <w:bookmarkStart w:id="134" w:name="_Toc183862537"/>
      <w:bookmarkStart w:id="135" w:name="_Toc183863153"/>
      <w:bookmarkStart w:id="136" w:name="_Toc4907"/>
      <w:bookmarkStart w:id="137" w:name="_Toc17932"/>
      <w:bookmarkStart w:id="138" w:name="_Toc9667"/>
      <w:r>
        <w:rPr>
          <w:bCs w:val="0"/>
          <w:kern w:val="0"/>
        </w:rPr>
        <w:t>第</w:t>
      </w:r>
      <w:r>
        <w:rPr>
          <w:rFonts w:hint="eastAsia"/>
          <w:bCs w:val="0"/>
          <w:kern w:val="0"/>
          <w:lang w:val="en-US" w:eastAsia="zh-CN"/>
        </w:rPr>
        <w:t>五</w:t>
      </w:r>
      <w:r>
        <w:rPr>
          <w:bCs w:val="0"/>
          <w:kern w:val="0"/>
        </w:rPr>
        <w:t>节 “四线管控”</w:t>
      </w:r>
      <w:bookmarkEnd w:id="134"/>
      <w:bookmarkEnd w:id="135"/>
      <w:bookmarkEnd w:id="136"/>
      <w:bookmarkEnd w:id="137"/>
      <w:bookmarkEnd w:id="138"/>
    </w:p>
    <w:p w14:paraId="52B856F4">
      <w:pPr>
        <w:pStyle w:val="6"/>
        <w:numPr>
          <w:ilvl w:val="0"/>
          <w:numId w:val="1"/>
        </w:numPr>
        <w:spacing w:before="217" w:after="217"/>
      </w:pPr>
      <w:r>
        <w:t>黄线管控</w:t>
      </w:r>
    </w:p>
    <w:p w14:paraId="07BA54D5">
      <w:pPr>
        <w:pStyle w:val="36"/>
        <w:ind w:firstLine="640"/>
        <w:rPr>
          <w:rFonts w:ascii="Times New Roman" w:hAnsi="Times New Roman"/>
          <w:szCs w:val="32"/>
          <w:u w:val="single"/>
        </w:rPr>
      </w:pPr>
      <w:r>
        <w:rPr>
          <w:rFonts w:ascii="Times New Roman" w:hAnsi="Times New Roman"/>
          <w:szCs w:val="32"/>
          <w:u w:val="single"/>
        </w:rPr>
        <w:t>黄线一经批准，不得擅自调整。需要调整黄线的，应当组织专家论证，依法调整镇总体规划，并相应调整黄线。</w:t>
      </w:r>
    </w:p>
    <w:p w14:paraId="125519F1">
      <w:pPr>
        <w:pStyle w:val="6"/>
        <w:numPr>
          <w:ilvl w:val="0"/>
          <w:numId w:val="1"/>
        </w:numPr>
        <w:spacing w:before="217" w:after="217"/>
      </w:pPr>
      <w:r>
        <w:t>绿线管控</w:t>
      </w:r>
    </w:p>
    <w:p w14:paraId="1B1260D6">
      <w:pPr>
        <w:pStyle w:val="36"/>
        <w:ind w:firstLine="640"/>
        <w:rPr>
          <w:rFonts w:ascii="Times New Roman" w:hAnsi="Times New Roman"/>
          <w:szCs w:val="32"/>
          <w:u w:val="single"/>
        </w:rPr>
      </w:pPr>
      <w:r>
        <w:rPr>
          <w:rFonts w:ascii="Times New Roman" w:hAnsi="Times New Roman"/>
          <w:szCs w:val="32"/>
          <w:u w:val="single"/>
        </w:rPr>
        <w:t>绿线内的用地，不得改作他用，不得违反法律法规、强制性标准以及批准的规划进行开发建设，因建设或者其他特殊情况，需要临时占用绿线内用地的，必须依法办理相关审批手续。</w:t>
      </w:r>
    </w:p>
    <w:p w14:paraId="2B19B9C0">
      <w:pPr>
        <w:pStyle w:val="4"/>
        <w:numPr>
          <w:ilvl w:val="0"/>
          <w:numId w:val="2"/>
        </w:numPr>
        <w:tabs>
          <w:tab w:val="left" w:pos="0"/>
        </w:tabs>
        <w:spacing w:before="217" w:after="217"/>
        <w:rPr>
          <w:b/>
          <w:bCs w:val="0"/>
          <w:kern w:val="2"/>
          <w:szCs w:val="36"/>
        </w:rPr>
      </w:pPr>
      <w:r>
        <w:rPr>
          <w:szCs w:val="32"/>
          <w:u w:val="single"/>
        </w:rPr>
        <w:br w:type="page"/>
      </w:r>
      <w:bookmarkStart w:id="139" w:name="_Toc183862538"/>
      <w:bookmarkStart w:id="140" w:name="_Toc183863154"/>
      <w:bookmarkStart w:id="141" w:name="_Toc183863388"/>
      <w:bookmarkStart w:id="142" w:name="_Toc31001"/>
      <w:r>
        <w:rPr>
          <w:bCs w:val="0"/>
          <w:kern w:val="2"/>
          <w:szCs w:val="36"/>
        </w:rPr>
        <w:t>第七章 基础保障体系</w:t>
      </w:r>
      <w:bookmarkEnd w:id="139"/>
      <w:bookmarkEnd w:id="140"/>
      <w:bookmarkEnd w:id="141"/>
      <w:bookmarkEnd w:id="142"/>
    </w:p>
    <w:p w14:paraId="14F7C395">
      <w:pPr>
        <w:pStyle w:val="5"/>
        <w:numPr>
          <w:ilvl w:val="1"/>
          <w:numId w:val="0"/>
        </w:numPr>
        <w:spacing w:before="217" w:after="217"/>
        <w:rPr>
          <w:b/>
          <w:bCs w:val="0"/>
          <w:kern w:val="0"/>
        </w:rPr>
      </w:pPr>
      <w:bookmarkStart w:id="143" w:name="_Toc183863155"/>
      <w:bookmarkStart w:id="144" w:name="_Toc183862539"/>
      <w:bookmarkStart w:id="145" w:name="_Toc29810"/>
      <w:r>
        <w:rPr>
          <w:bCs w:val="0"/>
          <w:kern w:val="0"/>
        </w:rPr>
        <w:t>第一节 综合交通</w:t>
      </w:r>
      <w:bookmarkEnd w:id="143"/>
      <w:bookmarkEnd w:id="144"/>
      <w:r>
        <w:rPr>
          <w:rFonts w:hint="eastAsia"/>
          <w:bCs w:val="0"/>
          <w:kern w:val="0"/>
        </w:rPr>
        <w:t>体系</w:t>
      </w:r>
      <w:bookmarkEnd w:id="145"/>
    </w:p>
    <w:p w14:paraId="0016F3E3">
      <w:pPr>
        <w:pStyle w:val="6"/>
        <w:numPr>
          <w:ilvl w:val="0"/>
          <w:numId w:val="1"/>
        </w:numPr>
        <w:spacing w:before="217" w:after="217"/>
      </w:pPr>
      <w:r>
        <w:t>全域道路交通结构</w:t>
      </w:r>
    </w:p>
    <w:p w14:paraId="0B970D41">
      <w:pPr>
        <w:pStyle w:val="36"/>
        <w:ind w:firstLine="640"/>
        <w:rPr>
          <w:rFonts w:ascii="Times New Roman" w:hAnsi="Times New Roman"/>
          <w:szCs w:val="32"/>
        </w:rPr>
      </w:pPr>
      <w:r>
        <w:rPr>
          <w:rFonts w:hint="eastAsia" w:ascii="Times New Roman" w:hAnsi="Times New Roman"/>
          <w:szCs w:val="32"/>
        </w:rPr>
        <w:t>四马架镇</w:t>
      </w:r>
      <w:r>
        <w:rPr>
          <w:rFonts w:ascii="Times New Roman" w:hAnsi="Times New Roman"/>
          <w:szCs w:val="32"/>
        </w:rPr>
        <w:t>全域形成“高速公路</w:t>
      </w:r>
      <w:r>
        <w:rPr>
          <w:rFonts w:hint="eastAsia" w:ascii="Times New Roman" w:hAnsi="Times New Roman"/>
          <w:szCs w:val="32"/>
        </w:rPr>
        <w:t>－</w:t>
      </w:r>
      <w:r>
        <w:rPr>
          <w:rFonts w:ascii="Times New Roman" w:hAnsi="Times New Roman"/>
          <w:szCs w:val="32"/>
        </w:rPr>
        <w:t>县道</w:t>
      </w:r>
      <w:r>
        <w:rPr>
          <w:rFonts w:hint="eastAsia" w:ascii="Times New Roman" w:hAnsi="Times New Roman"/>
          <w:szCs w:val="32"/>
        </w:rPr>
        <w:t>－</w:t>
      </w:r>
      <w:r>
        <w:rPr>
          <w:rFonts w:ascii="Times New Roman" w:hAnsi="Times New Roman"/>
          <w:szCs w:val="32"/>
        </w:rPr>
        <w:t>村庄道路”的三级道路交通结构，通过各级道路的建设，形成结构明晰的道路系统。</w:t>
      </w:r>
    </w:p>
    <w:p w14:paraId="3CE43C86">
      <w:pPr>
        <w:pStyle w:val="36"/>
        <w:ind w:firstLine="640"/>
        <w:rPr>
          <w:rFonts w:ascii="Times New Roman" w:hAnsi="Times New Roman"/>
          <w:szCs w:val="32"/>
        </w:rPr>
      </w:pPr>
      <w:r>
        <w:rPr>
          <w:rFonts w:hint="eastAsia" w:ascii="Times New Roman" w:hAnsi="Times New Roman"/>
          <w:szCs w:val="32"/>
        </w:rPr>
        <w:t>全域道路两侧建筑控制区依据《公路安全保护条例》（2</w:t>
      </w:r>
      <w:r>
        <w:rPr>
          <w:rFonts w:ascii="Times New Roman" w:hAnsi="Times New Roman"/>
          <w:szCs w:val="32"/>
        </w:rPr>
        <w:t>011</w:t>
      </w:r>
      <w:r>
        <w:rPr>
          <w:rFonts w:hint="eastAsia" w:ascii="Times New Roman" w:hAnsi="Times New Roman"/>
          <w:szCs w:val="32"/>
        </w:rPr>
        <w:t>年）的要求进行管控。</w:t>
      </w:r>
    </w:p>
    <w:p w14:paraId="1AF2B3DF">
      <w:pPr>
        <w:pStyle w:val="6"/>
        <w:numPr>
          <w:ilvl w:val="0"/>
          <w:numId w:val="1"/>
        </w:numPr>
        <w:spacing w:before="217" w:after="217"/>
      </w:pPr>
      <w:r>
        <w:t>全域交通网络</w:t>
      </w:r>
    </w:p>
    <w:p w14:paraId="6BEB3572">
      <w:pPr>
        <w:pStyle w:val="36"/>
        <w:ind w:firstLine="640"/>
        <w:rPr>
          <w:rFonts w:ascii="Times New Roman" w:hAnsi="Times New Roman"/>
          <w:szCs w:val="32"/>
        </w:rPr>
      </w:pPr>
      <w:r>
        <w:rPr>
          <w:rFonts w:ascii="Times New Roman" w:hAnsi="Times New Roman"/>
          <w:szCs w:val="32"/>
        </w:rPr>
        <w:t>（一）过境交通</w:t>
      </w:r>
    </w:p>
    <w:p w14:paraId="396E4289">
      <w:pPr>
        <w:ind w:firstLine="640"/>
        <w:rPr>
          <w:rFonts w:ascii="Times New Roman" w:hAnsi="Times New Roman"/>
          <w:szCs w:val="32"/>
        </w:rPr>
      </w:pPr>
      <w:r>
        <w:rPr>
          <w:rFonts w:ascii="Times New Roman" w:hAnsi="Times New Roman"/>
          <w:szCs w:val="32"/>
        </w:rPr>
        <w:t>过境道路主要是指哈同高速公路与多条县级公路。规划近期以多条县级公路为重点，提高城乡对外公路技术等级，路面达到高等级路面标准。</w:t>
      </w:r>
    </w:p>
    <w:p w14:paraId="55FB5FCE">
      <w:pPr>
        <w:pStyle w:val="36"/>
        <w:ind w:firstLine="640"/>
        <w:rPr>
          <w:rFonts w:ascii="Times New Roman" w:hAnsi="Times New Roman"/>
          <w:szCs w:val="32"/>
        </w:rPr>
      </w:pPr>
      <w:r>
        <w:rPr>
          <w:rFonts w:ascii="Times New Roman" w:hAnsi="Times New Roman"/>
          <w:szCs w:val="32"/>
        </w:rPr>
        <w:t>（二）全域支线道路</w:t>
      </w:r>
    </w:p>
    <w:p w14:paraId="27973A1A">
      <w:pPr>
        <w:ind w:firstLine="640"/>
        <w:rPr>
          <w:rFonts w:ascii="Times New Roman" w:hAnsi="Times New Roman"/>
          <w:szCs w:val="32"/>
        </w:rPr>
      </w:pPr>
      <w:r>
        <w:rPr>
          <w:rFonts w:ascii="Times New Roman" w:hAnsi="Times New Roman"/>
          <w:szCs w:val="32"/>
        </w:rPr>
        <w:t>全域内部交通规划形成“过境道路－镇政府驻地道路—村道”的三级交通结构，通过镇政府驻地道路和各级道路的建设，形成结构明晰的道路系统。</w:t>
      </w:r>
    </w:p>
    <w:p w14:paraId="6F9CD03C">
      <w:pPr>
        <w:widowControl/>
        <w:ind w:firstLine="640"/>
        <w:textAlignment w:val="center"/>
        <w:rPr>
          <w:rFonts w:ascii="Times New Roman" w:hAnsi="Times New Roman"/>
          <w:szCs w:val="32"/>
        </w:rPr>
      </w:pPr>
      <w:r>
        <w:rPr>
          <w:rFonts w:ascii="Times New Roman" w:hAnsi="Times New Roman"/>
          <w:szCs w:val="32"/>
        </w:rPr>
        <w:t>规划四马架镇公路交通系统在现有公路基础上，逐步完善，规划“德庆村—创业屯—龙胜屯”乡级道路</w:t>
      </w:r>
      <w:r>
        <w:rPr>
          <w:rFonts w:hint="eastAsia" w:ascii="Times New Roman" w:hAnsi="Times New Roman"/>
          <w:szCs w:val="32"/>
        </w:rPr>
        <w:t>；“</w:t>
      </w:r>
      <w:r>
        <w:rPr>
          <w:rFonts w:ascii="Times New Roman" w:hAnsi="Times New Roman"/>
          <w:szCs w:val="32"/>
        </w:rPr>
        <w:t>四马架</w:t>
      </w:r>
      <w:r>
        <w:rPr>
          <w:rFonts w:hint="eastAsia" w:ascii="Times New Roman" w:hAnsi="Times New Roman"/>
          <w:szCs w:val="32"/>
        </w:rPr>
        <w:t>镇</w:t>
      </w:r>
      <w:r>
        <w:rPr>
          <w:rFonts w:ascii="Times New Roman" w:hAnsi="Times New Roman"/>
          <w:szCs w:val="32"/>
        </w:rPr>
        <w:t>—三湾村</w:t>
      </w:r>
      <w:r>
        <w:rPr>
          <w:rFonts w:hint="eastAsia" w:ascii="Times New Roman" w:hAnsi="Times New Roman"/>
          <w:szCs w:val="32"/>
        </w:rPr>
        <w:t>、</w:t>
      </w:r>
      <w:r>
        <w:rPr>
          <w:rFonts w:ascii="Times New Roman" w:hAnsi="Times New Roman"/>
          <w:szCs w:val="32"/>
        </w:rPr>
        <w:t>四马架</w:t>
      </w:r>
      <w:r>
        <w:rPr>
          <w:rFonts w:hint="eastAsia" w:ascii="Times New Roman" w:hAnsi="Times New Roman"/>
          <w:szCs w:val="32"/>
        </w:rPr>
        <w:t>镇</w:t>
      </w:r>
      <w:r>
        <w:rPr>
          <w:rFonts w:ascii="Times New Roman" w:hAnsi="Times New Roman"/>
          <w:szCs w:val="32"/>
        </w:rPr>
        <w:t>—长胜村</w:t>
      </w:r>
      <w:r>
        <w:rPr>
          <w:rFonts w:hint="eastAsia" w:ascii="Times New Roman" w:hAnsi="Times New Roman"/>
          <w:szCs w:val="32"/>
        </w:rPr>
        <w:t>、</w:t>
      </w:r>
      <w:r>
        <w:rPr>
          <w:rFonts w:ascii="Times New Roman" w:hAnsi="Times New Roman"/>
          <w:szCs w:val="32"/>
        </w:rPr>
        <w:t>四马架高速路口至创业公路建设项目</w:t>
      </w:r>
      <w:r>
        <w:rPr>
          <w:rFonts w:hint="eastAsia" w:ascii="Times New Roman" w:hAnsi="Times New Roman"/>
          <w:szCs w:val="32"/>
        </w:rPr>
        <w:t>、</w:t>
      </w:r>
      <w:r>
        <w:rPr>
          <w:rFonts w:ascii="Times New Roman" w:hAnsi="Times New Roman"/>
          <w:szCs w:val="32"/>
        </w:rPr>
        <w:t>桦川县路网改善工程（建国</w:t>
      </w:r>
      <w:r>
        <w:rPr>
          <w:rFonts w:hint="eastAsia" w:ascii="Times New Roman" w:hAnsi="Times New Roman"/>
          <w:szCs w:val="32"/>
        </w:rPr>
        <w:t>－</w:t>
      </w:r>
      <w:r>
        <w:rPr>
          <w:rFonts w:ascii="Times New Roman" w:hAnsi="Times New Roman"/>
          <w:szCs w:val="32"/>
        </w:rPr>
        <w:t>松木河</w:t>
      </w:r>
      <w:r>
        <w:rPr>
          <w:rFonts w:hint="eastAsia" w:ascii="Times New Roman" w:hAnsi="Times New Roman"/>
          <w:szCs w:val="32"/>
        </w:rPr>
        <w:t>）</w:t>
      </w:r>
      <w:r>
        <w:rPr>
          <w:rFonts w:ascii="Times New Roman" w:hAnsi="Times New Roman"/>
          <w:szCs w:val="32"/>
        </w:rPr>
        <w:t>建设项目</w:t>
      </w:r>
      <w:r>
        <w:rPr>
          <w:rFonts w:hint="eastAsia" w:ascii="Times New Roman" w:hAnsi="Times New Roman"/>
          <w:szCs w:val="32"/>
        </w:rPr>
        <w:t>、</w:t>
      </w:r>
      <w:r>
        <w:rPr>
          <w:rFonts w:ascii="Times New Roman" w:hAnsi="Times New Roman"/>
          <w:szCs w:val="32"/>
        </w:rPr>
        <w:t>四马架至佳木斯双合公路</w:t>
      </w:r>
      <w:r>
        <w:rPr>
          <w:rFonts w:hint="eastAsia" w:ascii="Times New Roman" w:hAnsi="Times New Roman"/>
          <w:szCs w:val="32"/>
        </w:rPr>
        <w:t>”等</w:t>
      </w:r>
      <w:r>
        <w:rPr>
          <w:rFonts w:ascii="Times New Roman" w:hAnsi="Times New Roman"/>
          <w:szCs w:val="32"/>
        </w:rPr>
        <w:t>。本次规划建设重</w:t>
      </w:r>
      <w:r>
        <w:rPr>
          <w:rFonts w:hint="eastAsia" w:ascii="Times New Roman" w:hAnsi="Times New Roman"/>
          <w:szCs w:val="32"/>
        </w:rPr>
        <w:t>点</w:t>
      </w:r>
      <w:r>
        <w:rPr>
          <w:rFonts w:ascii="Times New Roman" w:hAnsi="Times New Roman"/>
          <w:szCs w:val="32"/>
        </w:rPr>
        <w:t>提高公路质量和服务水平，同时推进建设全域内部的通村公路，完善农村通村公路建设，提高公路技术等级。</w:t>
      </w:r>
    </w:p>
    <w:p w14:paraId="6DED7100">
      <w:pPr>
        <w:pStyle w:val="36"/>
        <w:ind w:firstLine="640"/>
        <w:rPr>
          <w:rFonts w:ascii="Times New Roman" w:hAnsi="Times New Roman"/>
          <w:szCs w:val="32"/>
        </w:rPr>
      </w:pPr>
      <w:r>
        <w:rPr>
          <w:rFonts w:ascii="Times New Roman" w:hAnsi="Times New Roman"/>
          <w:szCs w:val="32"/>
        </w:rPr>
        <w:t>（三）客运站规划</w:t>
      </w:r>
    </w:p>
    <w:p w14:paraId="4914F9B9">
      <w:pPr>
        <w:ind w:firstLine="640"/>
        <w:rPr>
          <w:rFonts w:ascii="Times New Roman" w:hAnsi="Times New Roman"/>
          <w:szCs w:val="32"/>
        </w:rPr>
      </w:pPr>
      <w:r>
        <w:rPr>
          <w:rFonts w:ascii="Times New Roman" w:hAnsi="Times New Roman"/>
          <w:szCs w:val="32"/>
        </w:rPr>
        <w:t>规划四马架镇新建农村客运站1处，建立公交线路，并配套建设公交站点。下辖各个村屯居民点在适宜位置各建一处公交停靠站，方便居民外出。</w:t>
      </w:r>
    </w:p>
    <w:p w14:paraId="5F970530">
      <w:pPr>
        <w:pStyle w:val="36"/>
        <w:ind w:firstLine="640"/>
        <w:rPr>
          <w:rFonts w:ascii="Times New Roman" w:hAnsi="Times New Roman"/>
          <w:szCs w:val="32"/>
        </w:rPr>
      </w:pPr>
      <w:r>
        <w:rPr>
          <w:rFonts w:ascii="Times New Roman" w:hAnsi="Times New Roman"/>
          <w:szCs w:val="32"/>
        </w:rPr>
        <w:t>（</w:t>
      </w:r>
      <w:r>
        <w:rPr>
          <w:rFonts w:hint="eastAsia" w:ascii="Times New Roman" w:hAnsi="Times New Roman"/>
          <w:szCs w:val="32"/>
        </w:rPr>
        <w:t>四</w:t>
      </w:r>
      <w:r>
        <w:rPr>
          <w:rFonts w:ascii="Times New Roman" w:hAnsi="Times New Roman"/>
          <w:szCs w:val="32"/>
        </w:rPr>
        <w:t>）</w:t>
      </w:r>
      <w:r>
        <w:rPr>
          <w:rFonts w:hint="eastAsia" w:ascii="Times New Roman" w:hAnsi="Times New Roman"/>
          <w:szCs w:val="32"/>
        </w:rPr>
        <w:t>铁路</w:t>
      </w:r>
    </w:p>
    <w:p w14:paraId="44B8F20E">
      <w:pPr>
        <w:ind w:firstLine="640"/>
        <w:rPr>
          <w:rFonts w:ascii="Times New Roman" w:hAnsi="Times New Roman"/>
          <w:szCs w:val="32"/>
        </w:rPr>
      </w:pPr>
      <w:r>
        <w:rPr>
          <w:rFonts w:hint="eastAsia" w:ascii="Times New Roman" w:hAnsi="Times New Roman"/>
          <w:szCs w:val="32"/>
        </w:rPr>
        <w:t>落实上位规划，县域内</w:t>
      </w:r>
      <w:r>
        <w:rPr>
          <w:rFonts w:ascii="Times New Roman" w:hAnsi="Times New Roman"/>
          <w:szCs w:val="32"/>
        </w:rPr>
        <w:t xml:space="preserve">1 </w:t>
      </w:r>
      <w:r>
        <w:rPr>
          <w:rFonts w:hint="eastAsia" w:ascii="Times New Roman" w:hAnsi="Times New Roman"/>
          <w:szCs w:val="32"/>
        </w:rPr>
        <w:t>条高铁线（牡佳客运专线）于县域南侧穿过。域内设有</w:t>
      </w:r>
      <w:r>
        <w:rPr>
          <w:rFonts w:ascii="Times New Roman" w:hAnsi="Times New Roman"/>
          <w:szCs w:val="32"/>
        </w:rPr>
        <w:t xml:space="preserve">4 </w:t>
      </w:r>
      <w:r>
        <w:rPr>
          <w:rFonts w:hint="eastAsia" w:ascii="Times New Roman" w:hAnsi="Times New Roman"/>
          <w:szCs w:val="32"/>
        </w:rPr>
        <w:t>个火车站（永胜站、四马架站、申家店站为沉降站，横头山站为五等站），均不承担主要对外交通作用。</w:t>
      </w:r>
    </w:p>
    <w:p w14:paraId="44BCF743">
      <w:pPr>
        <w:pStyle w:val="6"/>
        <w:numPr>
          <w:ilvl w:val="0"/>
          <w:numId w:val="1"/>
        </w:numPr>
        <w:spacing w:before="217" w:after="217"/>
      </w:pPr>
      <w:r>
        <w:t>居民点建成区道路交通规划</w:t>
      </w:r>
    </w:p>
    <w:p w14:paraId="2066A301">
      <w:pPr>
        <w:ind w:firstLine="640"/>
        <w:rPr>
          <w:rFonts w:ascii="Times New Roman" w:hAnsi="Times New Roman"/>
          <w:szCs w:val="32"/>
        </w:rPr>
      </w:pPr>
      <w:bookmarkStart w:id="146" w:name="_Toc23392"/>
      <w:r>
        <w:rPr>
          <w:rFonts w:ascii="Times New Roman" w:hAnsi="Times New Roman"/>
          <w:szCs w:val="32"/>
        </w:rPr>
        <w:t>（一）镇政府驻地道路</w:t>
      </w:r>
      <w:bookmarkEnd w:id="146"/>
    </w:p>
    <w:p w14:paraId="1C8812CA">
      <w:pPr>
        <w:ind w:firstLine="640"/>
        <w:rPr>
          <w:rFonts w:ascii="Times New Roman" w:hAnsi="Times New Roman"/>
          <w:szCs w:val="32"/>
        </w:rPr>
      </w:pPr>
      <w:r>
        <w:rPr>
          <w:rFonts w:ascii="Times New Roman" w:hAnsi="Times New Roman"/>
          <w:szCs w:val="32"/>
        </w:rPr>
        <w:t>镇政府驻地道路分为三个层次：主干路、次干路和支路。</w:t>
      </w:r>
    </w:p>
    <w:p w14:paraId="2B45966B">
      <w:pPr>
        <w:ind w:firstLine="640"/>
        <w:rPr>
          <w:rFonts w:ascii="Times New Roman" w:hAnsi="Times New Roman"/>
          <w:szCs w:val="32"/>
        </w:rPr>
      </w:pPr>
      <w:r>
        <w:rPr>
          <w:rFonts w:ascii="Times New Roman" w:hAnsi="Times New Roman"/>
          <w:szCs w:val="32"/>
        </w:rPr>
        <w:t>主干路红线宽度为20米，采用一块板断面形式</w:t>
      </w:r>
      <w:r>
        <w:rPr>
          <w:rFonts w:hint="eastAsia" w:ascii="Times New Roman" w:hAnsi="Times New Roman"/>
          <w:szCs w:val="32"/>
        </w:rPr>
        <w:t>；</w:t>
      </w:r>
      <w:r>
        <w:rPr>
          <w:rFonts w:ascii="Times New Roman" w:hAnsi="Times New Roman"/>
          <w:szCs w:val="32"/>
        </w:rPr>
        <w:t>次干路红线宽度为16米，采用一块板断面形式</w:t>
      </w:r>
      <w:r>
        <w:rPr>
          <w:rFonts w:hint="eastAsia" w:ascii="Times New Roman" w:hAnsi="Times New Roman"/>
          <w:szCs w:val="32"/>
        </w:rPr>
        <w:t>；</w:t>
      </w:r>
      <w:r>
        <w:rPr>
          <w:rFonts w:ascii="Times New Roman" w:hAnsi="Times New Roman"/>
          <w:szCs w:val="32"/>
        </w:rPr>
        <w:t>支路红线宽度为12米，采用一块板断面形式。</w:t>
      </w:r>
    </w:p>
    <w:p w14:paraId="04E66ED3">
      <w:pPr>
        <w:ind w:firstLine="640"/>
        <w:rPr>
          <w:rFonts w:ascii="Times New Roman" w:hAnsi="Times New Roman"/>
          <w:szCs w:val="32"/>
        </w:rPr>
      </w:pPr>
      <w:bookmarkStart w:id="147" w:name="_Toc6916"/>
      <w:r>
        <w:rPr>
          <w:rFonts w:ascii="Times New Roman" w:hAnsi="Times New Roman"/>
          <w:szCs w:val="32"/>
        </w:rPr>
        <w:t>（二）各村屯居民点建成区道路</w:t>
      </w:r>
      <w:bookmarkEnd w:id="147"/>
    </w:p>
    <w:p w14:paraId="17363BB1">
      <w:pPr>
        <w:ind w:firstLine="640"/>
        <w:rPr>
          <w:rFonts w:ascii="Times New Roman" w:hAnsi="Times New Roman"/>
          <w:szCs w:val="32"/>
        </w:rPr>
      </w:pPr>
      <w:r>
        <w:rPr>
          <w:rFonts w:ascii="Times New Roman" w:hAnsi="Times New Roman"/>
          <w:szCs w:val="32"/>
        </w:rPr>
        <w:t>村道主要承担村与村、村与镇之间交通联系作用。远期将开展乡村公路网建设，使得路网结构和通行能力进一步增强，提高农村公路的通达深度。加大乡村公共基础设施改善力度。建设农村“四好公路”、重点推进升级改造通村公路、逐步推进村内主干路改造，持续推进农村危桥改造。</w:t>
      </w:r>
    </w:p>
    <w:p w14:paraId="169CC122">
      <w:pPr>
        <w:ind w:firstLine="640"/>
        <w:rPr>
          <w:rFonts w:ascii="Times New Roman" w:hAnsi="Times New Roman"/>
          <w:szCs w:val="32"/>
        </w:rPr>
      </w:pPr>
      <w:r>
        <w:rPr>
          <w:rFonts w:ascii="Times New Roman" w:hAnsi="Times New Roman"/>
          <w:szCs w:val="32"/>
        </w:rPr>
        <w:t>各村屯居民点建成区内道路分为两个层次：干路和支路。干路红线宽度为7</w:t>
      </w:r>
      <w:r>
        <w:rPr>
          <w:rFonts w:hint="eastAsia" w:ascii="Times New Roman" w:hAnsi="Times New Roman"/>
          <w:szCs w:val="32"/>
        </w:rPr>
        <w:t>—</w:t>
      </w:r>
      <w:r>
        <w:rPr>
          <w:rFonts w:ascii="Times New Roman" w:hAnsi="Times New Roman"/>
          <w:szCs w:val="32"/>
        </w:rPr>
        <w:t>10米，采用一块板断面形式</w:t>
      </w:r>
      <w:r>
        <w:rPr>
          <w:rFonts w:hint="eastAsia" w:ascii="Times New Roman" w:hAnsi="Times New Roman"/>
          <w:szCs w:val="32"/>
        </w:rPr>
        <w:t>；</w:t>
      </w:r>
      <w:r>
        <w:rPr>
          <w:rFonts w:ascii="Times New Roman" w:hAnsi="Times New Roman"/>
          <w:szCs w:val="32"/>
        </w:rPr>
        <w:t>支路红线宽度为4</w:t>
      </w:r>
      <w:r>
        <w:rPr>
          <w:rFonts w:hint="eastAsia" w:ascii="Times New Roman" w:hAnsi="Times New Roman"/>
          <w:szCs w:val="32"/>
        </w:rPr>
        <w:t>—</w:t>
      </w:r>
      <w:r>
        <w:rPr>
          <w:rFonts w:ascii="Times New Roman" w:hAnsi="Times New Roman"/>
          <w:szCs w:val="32"/>
        </w:rPr>
        <w:t>6米，采用一块板断面形式。</w:t>
      </w:r>
    </w:p>
    <w:p w14:paraId="4AFED163">
      <w:pPr>
        <w:pStyle w:val="5"/>
        <w:numPr>
          <w:ilvl w:val="1"/>
          <w:numId w:val="0"/>
        </w:numPr>
        <w:spacing w:before="217" w:after="217"/>
        <w:rPr>
          <w:b/>
          <w:bCs w:val="0"/>
          <w:kern w:val="0"/>
        </w:rPr>
      </w:pPr>
      <w:bookmarkStart w:id="148" w:name="_Toc183863156"/>
      <w:bookmarkStart w:id="149" w:name="_Toc183862540"/>
      <w:bookmarkStart w:id="150" w:name="_Toc3334"/>
      <w:r>
        <w:rPr>
          <w:bCs w:val="0"/>
          <w:kern w:val="0"/>
        </w:rPr>
        <w:t>第二节 公共服务设施</w:t>
      </w:r>
      <w:bookmarkEnd w:id="148"/>
      <w:bookmarkEnd w:id="149"/>
      <w:bookmarkEnd w:id="150"/>
    </w:p>
    <w:p w14:paraId="2CB39516">
      <w:pPr>
        <w:pStyle w:val="36"/>
        <w:ind w:firstLine="640"/>
        <w:rPr>
          <w:rFonts w:ascii="Times New Roman" w:hAnsi="Times New Roman"/>
          <w:szCs w:val="32"/>
        </w:rPr>
      </w:pPr>
      <w:r>
        <w:rPr>
          <w:rFonts w:ascii="Times New Roman" w:hAnsi="Times New Roman"/>
          <w:szCs w:val="32"/>
        </w:rPr>
        <w:t>规划建设行政、文化、商业金融为一体的现代化镇</w:t>
      </w:r>
      <w:r>
        <w:rPr>
          <w:rFonts w:hint="eastAsia" w:ascii="Times New Roman" w:hAnsi="Times New Roman"/>
          <w:szCs w:val="32"/>
        </w:rPr>
        <w:t>政府</w:t>
      </w:r>
      <w:r>
        <w:rPr>
          <w:rFonts w:ascii="Times New Roman" w:hAnsi="Times New Roman"/>
          <w:szCs w:val="32"/>
        </w:rPr>
        <w:t>驻地，建立配套完善的公建服务系统，建设规模考虑镇政府驻地对其外围区域的服务辐射。强化各村庄文化、娱乐、休闲设施的建设，结合开放空间设置，丰富居民生活，提高村民生活品</w:t>
      </w:r>
      <w:r>
        <w:rPr>
          <w:rFonts w:hint="eastAsia" w:ascii="Times New Roman" w:hAnsi="Times New Roman"/>
          <w:szCs w:val="32"/>
        </w:rPr>
        <w:t>位</w:t>
      </w:r>
      <w:r>
        <w:rPr>
          <w:rFonts w:ascii="Times New Roman" w:hAnsi="Times New Roman"/>
          <w:szCs w:val="32"/>
        </w:rPr>
        <w:t>。加强教育、体育设施，医疗保健设施的建设和管理，合理布局，方便居民。</w:t>
      </w:r>
    </w:p>
    <w:p w14:paraId="006B49D5">
      <w:pPr>
        <w:pStyle w:val="36"/>
        <w:ind w:firstLine="640"/>
        <w:rPr>
          <w:rFonts w:ascii="Times New Roman" w:hAnsi="Times New Roman"/>
          <w:szCs w:val="32"/>
        </w:rPr>
      </w:pPr>
      <w:r>
        <w:rPr>
          <w:rFonts w:ascii="Times New Roman" w:hAnsi="Times New Roman"/>
          <w:szCs w:val="32"/>
        </w:rPr>
        <w:t>加大社区卫生服务中心（乡镇卫生院）、文化活动场所、快递便民服务网点、连锁便民店等设施。鼓励建设养老机构、老人日托中心、居家养老照料中心等，提升基本养老服务水平。提高居民科技文化素质，加快培育新型职业农民，推动人才振兴。</w:t>
      </w:r>
    </w:p>
    <w:p w14:paraId="2EFC25E1">
      <w:pPr>
        <w:pStyle w:val="36"/>
        <w:ind w:firstLine="640"/>
        <w:rPr>
          <w:rFonts w:ascii="Times New Roman" w:hAnsi="Times New Roman"/>
          <w:szCs w:val="32"/>
        </w:rPr>
      </w:pPr>
      <w:r>
        <w:rPr>
          <w:rFonts w:ascii="Times New Roman" w:hAnsi="Times New Roman"/>
          <w:szCs w:val="32"/>
        </w:rPr>
        <w:t>规划期末，镇政府驻地形成1个15分钟乡镇级社区生活圈。</w:t>
      </w:r>
    </w:p>
    <w:p w14:paraId="1A45F6BE">
      <w:pPr>
        <w:pStyle w:val="6"/>
        <w:numPr>
          <w:ilvl w:val="0"/>
          <w:numId w:val="1"/>
        </w:numPr>
        <w:spacing w:before="217" w:after="217"/>
      </w:pPr>
      <w:r>
        <w:t>教育设施</w:t>
      </w:r>
    </w:p>
    <w:p w14:paraId="09179960">
      <w:pPr>
        <w:pStyle w:val="36"/>
        <w:ind w:firstLine="640"/>
        <w:rPr>
          <w:rFonts w:ascii="Times New Roman" w:hAnsi="Times New Roman"/>
          <w:szCs w:val="32"/>
        </w:rPr>
      </w:pPr>
      <w:r>
        <w:rPr>
          <w:rFonts w:ascii="Times New Roman" w:hAnsi="Times New Roman"/>
          <w:szCs w:val="32"/>
          <w:u w:val="single"/>
        </w:rPr>
        <w:t>规划保留镇政府驻地内现有学校。</w:t>
      </w:r>
      <w:r>
        <w:rPr>
          <w:rFonts w:ascii="Times New Roman" w:hAnsi="Times New Roman"/>
          <w:szCs w:val="32"/>
        </w:rPr>
        <w:t>规划优化配置</w:t>
      </w:r>
      <w:r>
        <w:rPr>
          <w:rFonts w:hint="eastAsia" w:ascii="Times New Roman" w:hAnsi="Times New Roman"/>
          <w:szCs w:val="32"/>
        </w:rPr>
        <w:t>创新</w:t>
      </w:r>
      <w:r>
        <w:rPr>
          <w:rFonts w:ascii="Times New Roman" w:hAnsi="Times New Roman"/>
          <w:szCs w:val="32"/>
        </w:rPr>
        <w:t>资源，使学校管理规模化、科学化，提高总体办学水平。发展学前幼儿教育，吸引民间资本和力量，参与学前幼儿教育，方便适龄儿童入园，使幼儿入园（班）比例达到95%以上，同时鼓励社会资本建设民办幼儿园。</w:t>
      </w:r>
    </w:p>
    <w:p w14:paraId="6963B880">
      <w:pPr>
        <w:pStyle w:val="6"/>
        <w:numPr>
          <w:ilvl w:val="0"/>
          <w:numId w:val="1"/>
        </w:numPr>
        <w:spacing w:before="217" w:after="217"/>
      </w:pPr>
      <w:r>
        <w:t>文体设施</w:t>
      </w:r>
    </w:p>
    <w:p w14:paraId="31A9E6AC">
      <w:pPr>
        <w:ind w:firstLine="640"/>
        <w:rPr>
          <w:rFonts w:ascii="Times New Roman" w:hAnsi="Times New Roman"/>
          <w:szCs w:val="32"/>
          <w:u w:val="single"/>
        </w:rPr>
      </w:pPr>
      <w:r>
        <w:rPr>
          <w:rFonts w:ascii="Times New Roman" w:hAnsi="Times New Roman"/>
          <w:szCs w:val="32"/>
          <w:u w:val="single"/>
        </w:rPr>
        <w:t>规划在镇政府驻地东侧新建1处全民健身中心，满足全民健身的需求。其他行政村结合村委会广场或其他休闲广场、公园绿地等设置体育健身设施，有条件</w:t>
      </w:r>
      <w:r>
        <w:rPr>
          <w:rFonts w:hint="eastAsia" w:ascii="Times New Roman" w:hAnsi="Times New Roman"/>
          <w:szCs w:val="32"/>
          <w:u w:val="single"/>
        </w:rPr>
        <w:t>地</w:t>
      </w:r>
      <w:r>
        <w:rPr>
          <w:rFonts w:ascii="Times New Roman" w:hAnsi="Times New Roman"/>
          <w:szCs w:val="32"/>
          <w:u w:val="single"/>
        </w:rPr>
        <w:t>布置篮球场等活动场地。</w:t>
      </w:r>
    </w:p>
    <w:p w14:paraId="5E03204F">
      <w:pPr>
        <w:pStyle w:val="36"/>
        <w:ind w:firstLine="640"/>
        <w:rPr>
          <w:rFonts w:ascii="Times New Roman" w:hAnsi="Times New Roman"/>
          <w:szCs w:val="32"/>
          <w:u w:val="single"/>
        </w:rPr>
      </w:pPr>
      <w:r>
        <w:rPr>
          <w:rFonts w:ascii="Times New Roman" w:hAnsi="Times New Roman"/>
          <w:szCs w:val="32"/>
          <w:u w:val="single"/>
        </w:rPr>
        <w:t>规划镇政府驻地所在地的体育健身场所建筑面积达到1500m²以上</w:t>
      </w:r>
      <w:r>
        <w:rPr>
          <w:rFonts w:hint="eastAsia" w:ascii="Times New Roman" w:hAnsi="Times New Roman"/>
          <w:szCs w:val="32"/>
          <w:u w:val="single"/>
        </w:rPr>
        <w:t>、</w:t>
      </w:r>
      <w:r>
        <w:rPr>
          <w:rFonts w:ascii="Times New Roman" w:hAnsi="Times New Roman"/>
          <w:szCs w:val="32"/>
          <w:u w:val="single"/>
        </w:rPr>
        <w:t>中心村体育场所达到500m²以上、一般村（自然屯）体育场所达到300m²以上。各村庄建设小型标准化的体育运动场地，结合绿地、广场建设，满足村民的体育活动的需求。</w:t>
      </w:r>
    </w:p>
    <w:p w14:paraId="38FB7002">
      <w:pPr>
        <w:pStyle w:val="6"/>
        <w:numPr>
          <w:ilvl w:val="0"/>
          <w:numId w:val="1"/>
        </w:numPr>
        <w:spacing w:before="217" w:after="217"/>
      </w:pPr>
      <w:r>
        <w:t>医疗卫生设施</w:t>
      </w:r>
    </w:p>
    <w:p w14:paraId="2104D97D">
      <w:pPr>
        <w:pStyle w:val="36"/>
        <w:ind w:firstLine="640"/>
        <w:rPr>
          <w:rFonts w:ascii="Times New Roman" w:hAnsi="Times New Roman"/>
          <w:szCs w:val="32"/>
          <w:u w:val="single"/>
        </w:rPr>
      </w:pPr>
      <w:r>
        <w:rPr>
          <w:rFonts w:ascii="Times New Roman" w:hAnsi="Times New Roman"/>
          <w:szCs w:val="32"/>
          <w:u w:val="single"/>
        </w:rPr>
        <w:t>规划完善镇卫生院达到综合医院标准，并以其为中心，以各村卫生所为支撑，构建全域医疗卫生体系。</w:t>
      </w:r>
    </w:p>
    <w:p w14:paraId="5218654E">
      <w:pPr>
        <w:pStyle w:val="36"/>
        <w:ind w:firstLine="640"/>
        <w:rPr>
          <w:rFonts w:ascii="Times New Roman" w:hAnsi="Times New Roman"/>
          <w:szCs w:val="32"/>
        </w:rPr>
      </w:pPr>
      <w:r>
        <w:rPr>
          <w:rFonts w:ascii="Times New Roman" w:hAnsi="Times New Roman"/>
          <w:szCs w:val="32"/>
        </w:rPr>
        <w:t>健全域内居民医疗保险和新型农村合作医疗，以四马架镇中心</w:t>
      </w:r>
      <w:r>
        <w:rPr>
          <w:rFonts w:hint="eastAsia" w:ascii="Times New Roman" w:hAnsi="Times New Roman"/>
          <w:szCs w:val="32"/>
        </w:rPr>
        <w:t>医</w:t>
      </w:r>
      <w:r>
        <w:rPr>
          <w:rFonts w:ascii="Times New Roman" w:hAnsi="Times New Roman"/>
          <w:szCs w:val="32"/>
        </w:rPr>
        <w:t>院为主体，</w:t>
      </w:r>
      <w:r>
        <w:rPr>
          <w:rFonts w:hint="eastAsia" w:ascii="Times New Roman" w:hAnsi="Times New Roman"/>
          <w:szCs w:val="32"/>
        </w:rPr>
        <w:t>其他村</w:t>
      </w:r>
      <w:r>
        <w:rPr>
          <w:rFonts w:ascii="Times New Roman" w:hAnsi="Times New Roman"/>
          <w:szCs w:val="32"/>
        </w:rPr>
        <w:t>卫生服务机构为辅助，将其改造成为融预防、保健、基本医疗、健康教育、计划生育指导为一体的基层医疗机构。</w:t>
      </w:r>
    </w:p>
    <w:p w14:paraId="0CF33376">
      <w:pPr>
        <w:pStyle w:val="6"/>
        <w:numPr>
          <w:ilvl w:val="0"/>
          <w:numId w:val="1"/>
        </w:numPr>
        <w:spacing w:before="217" w:after="217"/>
      </w:pPr>
      <w:r>
        <w:t>社会福利设施</w:t>
      </w:r>
    </w:p>
    <w:p w14:paraId="6909EC56">
      <w:pPr>
        <w:ind w:firstLine="640"/>
        <w:rPr>
          <w:rFonts w:ascii="Times New Roman" w:hAnsi="Times New Roman"/>
          <w:szCs w:val="32"/>
        </w:rPr>
      </w:pPr>
      <w:r>
        <w:rPr>
          <w:rFonts w:ascii="Times New Roman" w:hAnsi="Times New Roman"/>
          <w:szCs w:val="32"/>
          <w:u w:val="single"/>
        </w:rPr>
        <w:t>规划在镇政府驻地东南侧规划1处社会福利设施用地，用于建设为老年人提供居住、康复、保健等服务的养老院。</w:t>
      </w:r>
      <w:r>
        <w:rPr>
          <w:rFonts w:ascii="Times New Roman" w:hAnsi="Times New Roman"/>
          <w:szCs w:val="32"/>
        </w:rPr>
        <w:t>以适应四马架镇人口结构老龄化，为老年人提</w:t>
      </w:r>
      <w:r>
        <w:rPr>
          <w:rFonts w:hint="eastAsia" w:ascii="Times New Roman" w:hAnsi="Times New Roman"/>
          <w:szCs w:val="32"/>
        </w:rPr>
        <w:t>供</w:t>
      </w:r>
      <w:r>
        <w:rPr>
          <w:rFonts w:ascii="Times New Roman" w:hAnsi="Times New Roman"/>
          <w:szCs w:val="32"/>
        </w:rPr>
        <w:t>安全、方便、舒适、卫生的生活环境，满足老年人日益增长的物质与精神文明需求。</w:t>
      </w:r>
    </w:p>
    <w:p w14:paraId="3CBCA178">
      <w:pPr>
        <w:pStyle w:val="36"/>
        <w:ind w:firstLine="640"/>
        <w:rPr>
          <w:rFonts w:ascii="Times New Roman" w:hAnsi="Times New Roman"/>
          <w:szCs w:val="32"/>
        </w:rPr>
      </w:pPr>
      <w:r>
        <w:rPr>
          <w:rFonts w:ascii="Times New Roman" w:hAnsi="Times New Roman"/>
          <w:szCs w:val="32"/>
        </w:rPr>
        <w:t>各村结合村委会设置老年活动中心。大力推进家庭养老、互助养老等社区养老模式。</w:t>
      </w:r>
    </w:p>
    <w:p w14:paraId="2B8B4698">
      <w:pPr>
        <w:pStyle w:val="5"/>
        <w:numPr>
          <w:ilvl w:val="1"/>
          <w:numId w:val="0"/>
        </w:numPr>
        <w:spacing w:before="217" w:after="217"/>
        <w:rPr>
          <w:b/>
          <w:bCs w:val="0"/>
          <w:kern w:val="0"/>
        </w:rPr>
      </w:pPr>
      <w:bookmarkStart w:id="151" w:name="_Toc183862541"/>
      <w:bookmarkStart w:id="152" w:name="_Toc183863157"/>
      <w:bookmarkStart w:id="153" w:name="_Toc9054"/>
      <w:r>
        <w:rPr>
          <w:bCs w:val="0"/>
          <w:kern w:val="0"/>
        </w:rPr>
        <w:t>第三节 基础设施布局</w:t>
      </w:r>
      <w:bookmarkEnd w:id="151"/>
      <w:bookmarkEnd w:id="152"/>
      <w:bookmarkEnd w:id="153"/>
    </w:p>
    <w:p w14:paraId="1920126F">
      <w:pPr>
        <w:pStyle w:val="6"/>
        <w:numPr>
          <w:ilvl w:val="0"/>
          <w:numId w:val="1"/>
        </w:numPr>
        <w:spacing w:before="217" w:after="217"/>
      </w:pPr>
      <w:r>
        <w:t>供水工程</w:t>
      </w:r>
    </w:p>
    <w:p w14:paraId="7E6FDE4C">
      <w:pPr>
        <w:ind w:firstLine="640"/>
        <w:rPr>
          <w:rFonts w:ascii="Times New Roman" w:hAnsi="Times New Roman"/>
          <w:szCs w:val="32"/>
          <w:u w:val="single"/>
        </w:rPr>
      </w:pPr>
      <w:r>
        <w:rPr>
          <w:rFonts w:ascii="Times New Roman" w:hAnsi="Times New Roman"/>
          <w:szCs w:val="32"/>
        </w:rPr>
        <w:t>全域近期采用分散供水和集中供水相结合的模式，远期逐步实现集中供水、供水到户。</w:t>
      </w:r>
      <w:r>
        <w:rPr>
          <w:rFonts w:ascii="Times New Roman" w:hAnsi="Times New Roman"/>
          <w:szCs w:val="32"/>
          <w:u w:val="single"/>
        </w:rPr>
        <w:t>在镇政府驻地西南侧规划1处给水厂，</w:t>
      </w:r>
      <w:r>
        <w:rPr>
          <w:rFonts w:hint="eastAsia" w:ascii="Times New Roman" w:hAnsi="Times New Roman"/>
          <w:szCs w:val="32"/>
          <w:u w:val="single"/>
        </w:rPr>
        <w:t>占地面积0</w:t>
      </w:r>
      <w:r>
        <w:rPr>
          <w:rFonts w:ascii="Times New Roman" w:hAnsi="Times New Roman"/>
          <w:szCs w:val="32"/>
          <w:u w:val="single"/>
        </w:rPr>
        <w:t>.22</w:t>
      </w:r>
      <w:r>
        <w:rPr>
          <w:rFonts w:hint="eastAsia" w:ascii="Times New Roman" w:hAnsi="Times New Roman"/>
          <w:szCs w:val="32"/>
          <w:u w:val="single"/>
        </w:rPr>
        <w:t>公顷，</w:t>
      </w:r>
      <w:r>
        <w:rPr>
          <w:rFonts w:ascii="Times New Roman" w:hAnsi="Times New Roman"/>
          <w:szCs w:val="32"/>
          <w:u w:val="single"/>
        </w:rPr>
        <w:t>未来供整个镇使用，按相应标准加以保护控制。保留下辖各行政村现状水井及供水设施，完善自来水管网系统，加强对地下水进行必要处理，达到饮用水标准，保证村民饮水安全。</w:t>
      </w:r>
    </w:p>
    <w:p w14:paraId="24B00FBC">
      <w:pPr>
        <w:ind w:firstLine="640"/>
        <w:rPr>
          <w:rFonts w:ascii="Times New Roman" w:hAnsi="Times New Roman"/>
          <w:szCs w:val="32"/>
        </w:rPr>
      </w:pPr>
      <w:r>
        <w:rPr>
          <w:rFonts w:hint="eastAsia" w:ascii="Times New Roman" w:hAnsi="Times New Roman"/>
          <w:szCs w:val="32"/>
        </w:rPr>
        <w:t>规划远期镇政府驻地人口2800人，根据生活用水最高日用水量约504.00m</w:t>
      </w:r>
      <w:r>
        <w:rPr>
          <w:rFonts w:cs="Calibri"/>
          <w:szCs w:val="32"/>
        </w:rPr>
        <w:t>³</w:t>
      </w:r>
      <w:r>
        <w:rPr>
          <w:rFonts w:hint="eastAsia" w:ascii="Times New Roman" w:hAnsi="Times New Roman"/>
          <w:szCs w:val="32"/>
        </w:rPr>
        <w:t>/d，确定规划区远期镇政府驻地产业用水量约2119.15</w:t>
      </w:r>
      <w:r>
        <w:rPr>
          <w:rFonts w:ascii="Times New Roman" w:hAnsi="Times New Roman"/>
          <w:szCs w:val="32"/>
        </w:rPr>
        <w:t>m</w:t>
      </w:r>
      <w:r>
        <w:rPr>
          <w:rFonts w:ascii="Times New Roman" w:hAnsi="Times New Roman"/>
          <w:szCs w:val="32"/>
          <w:vertAlign w:val="superscript"/>
        </w:rPr>
        <w:t>3</w:t>
      </w:r>
      <w:r>
        <w:rPr>
          <w:rFonts w:hint="eastAsia" w:ascii="Times New Roman" w:hAnsi="Times New Roman"/>
          <w:szCs w:val="32"/>
        </w:rPr>
        <w:t>/d，</w:t>
      </w:r>
      <w:r>
        <w:rPr>
          <w:rFonts w:ascii="Times New Roman" w:hAnsi="Times New Roman"/>
          <w:szCs w:val="32"/>
        </w:rPr>
        <w:t>总用水量</w:t>
      </w:r>
      <w:r>
        <w:rPr>
          <w:rFonts w:hint="eastAsia" w:ascii="Times New Roman" w:hAnsi="Times New Roman"/>
          <w:szCs w:val="32"/>
        </w:rPr>
        <w:t>2623.15m</w:t>
      </w:r>
      <w:r>
        <w:rPr>
          <w:rFonts w:cs="Calibri"/>
          <w:szCs w:val="32"/>
        </w:rPr>
        <w:t>³</w:t>
      </w:r>
      <w:r>
        <w:rPr>
          <w:rFonts w:hint="eastAsia" w:ascii="Times New Roman" w:hAnsi="Times New Roman"/>
          <w:szCs w:val="32"/>
        </w:rPr>
        <w:t>/d</w:t>
      </w:r>
      <w:r>
        <w:rPr>
          <w:rFonts w:ascii="Times New Roman" w:hAnsi="Times New Roman"/>
          <w:szCs w:val="32"/>
        </w:rPr>
        <w:t>。</w:t>
      </w:r>
    </w:p>
    <w:p w14:paraId="1158582C">
      <w:pPr>
        <w:pStyle w:val="6"/>
        <w:numPr>
          <w:ilvl w:val="0"/>
          <w:numId w:val="1"/>
        </w:numPr>
        <w:spacing w:before="217" w:after="217"/>
      </w:pPr>
      <w:r>
        <w:t>排水工程</w:t>
      </w:r>
    </w:p>
    <w:p w14:paraId="053B3E4B">
      <w:pPr>
        <w:pStyle w:val="36"/>
        <w:ind w:firstLine="640"/>
        <w:rPr>
          <w:rFonts w:ascii="Times New Roman" w:hAnsi="Times New Roman"/>
          <w:szCs w:val="32"/>
        </w:rPr>
      </w:pPr>
      <w:r>
        <w:rPr>
          <w:rFonts w:ascii="Times New Roman" w:hAnsi="Times New Roman"/>
          <w:szCs w:val="32"/>
          <w:u w:val="single"/>
        </w:rPr>
        <w:t>规划四马架镇</w:t>
      </w:r>
      <w:r>
        <w:rPr>
          <w:rFonts w:hint="eastAsia" w:ascii="Times New Roman" w:hAnsi="Times New Roman"/>
          <w:szCs w:val="32"/>
          <w:u w:val="single"/>
        </w:rPr>
        <w:t>全域</w:t>
      </w:r>
      <w:r>
        <w:rPr>
          <w:rFonts w:ascii="Times New Roman" w:hAnsi="Times New Roman"/>
          <w:szCs w:val="32"/>
          <w:u w:val="single"/>
        </w:rPr>
        <w:t>采用雨污分流制排水方式，镇政府驻地新建污水处理厂1座，占地面积0.25公顷，</w:t>
      </w:r>
      <w:r>
        <w:rPr>
          <w:rFonts w:hint="eastAsia" w:ascii="Times New Roman" w:hAnsi="Times New Roman"/>
          <w:szCs w:val="32"/>
          <w:u w:val="single"/>
        </w:rPr>
        <w:t>规划规模为0.5万立方米/日。</w:t>
      </w:r>
      <w:r>
        <w:rPr>
          <w:rFonts w:ascii="Times New Roman" w:hAnsi="Times New Roman"/>
          <w:szCs w:val="32"/>
          <w:u w:val="single"/>
        </w:rPr>
        <w:t>污水集中到污水处理设施处理（处理方式根据具体情况确定）。</w:t>
      </w:r>
      <w:r>
        <w:rPr>
          <w:rFonts w:ascii="Times New Roman" w:hAnsi="Times New Roman"/>
          <w:szCs w:val="32"/>
        </w:rPr>
        <w:t>各村庄及农村牧场可根据自身条件建设小型污水处理设施并建设污水管网。</w:t>
      </w:r>
    </w:p>
    <w:p w14:paraId="4CD18076">
      <w:pPr>
        <w:pStyle w:val="6"/>
        <w:numPr>
          <w:ilvl w:val="0"/>
          <w:numId w:val="1"/>
        </w:numPr>
        <w:spacing w:before="217" w:after="217"/>
      </w:pPr>
      <w:r>
        <w:t>供电工程</w:t>
      </w:r>
    </w:p>
    <w:p w14:paraId="1C3A1812">
      <w:pPr>
        <w:pStyle w:val="36"/>
        <w:ind w:firstLine="640"/>
        <w:rPr>
          <w:rFonts w:ascii="Times New Roman" w:hAnsi="Times New Roman"/>
          <w:szCs w:val="32"/>
          <w:u w:val="single"/>
        </w:rPr>
      </w:pPr>
      <w:r>
        <w:rPr>
          <w:rFonts w:ascii="Times New Roman" w:hAnsi="Times New Roman"/>
          <w:szCs w:val="32"/>
          <w:u w:val="single"/>
        </w:rPr>
        <w:t>四马架镇区域内，现有220kV变电站1座（东升变电站），位于会龙村西1.5公里；110kV变电站1座（横头山变电站），位于四马架镇中部。</w:t>
      </w:r>
    </w:p>
    <w:p w14:paraId="13B1E73B">
      <w:pPr>
        <w:pStyle w:val="6"/>
        <w:numPr>
          <w:ilvl w:val="0"/>
          <w:numId w:val="1"/>
        </w:numPr>
        <w:spacing w:before="217" w:after="217"/>
      </w:pPr>
      <w:r>
        <w:t>通信工程</w:t>
      </w:r>
    </w:p>
    <w:p w14:paraId="2B0080B3">
      <w:pPr>
        <w:ind w:firstLine="640"/>
        <w:rPr>
          <w:rFonts w:ascii="Times New Roman" w:hAnsi="Times New Roman"/>
          <w:szCs w:val="32"/>
        </w:rPr>
      </w:pPr>
      <w:r>
        <w:rPr>
          <w:rFonts w:ascii="Times New Roman" w:hAnsi="Times New Roman"/>
          <w:szCs w:val="32"/>
          <w:u w:val="single"/>
        </w:rPr>
        <w:t>规划保留现</w:t>
      </w:r>
      <w:r>
        <w:rPr>
          <w:rFonts w:hint="eastAsia" w:ascii="Times New Roman" w:hAnsi="Times New Roman"/>
          <w:szCs w:val="32"/>
          <w:u w:val="single"/>
        </w:rPr>
        <w:t>状</w:t>
      </w:r>
      <w:r>
        <w:rPr>
          <w:rFonts w:ascii="Times New Roman" w:hAnsi="Times New Roman"/>
          <w:szCs w:val="32"/>
          <w:u w:val="single"/>
        </w:rPr>
        <w:t>通信工程设施</w:t>
      </w:r>
      <w:r>
        <w:rPr>
          <w:rFonts w:ascii="Times New Roman" w:hAnsi="Times New Roman"/>
          <w:szCs w:val="32"/>
        </w:rPr>
        <w:t>，增加服务项目，完善配套设施。对线路进行优化和调整。广播电视规划数字化程度达98%，有线电视网入户率达100%，村屯达到100%，网络信号全域全覆盖无盲区。</w:t>
      </w:r>
    </w:p>
    <w:p w14:paraId="4D562AB1">
      <w:pPr>
        <w:pStyle w:val="6"/>
        <w:numPr>
          <w:ilvl w:val="0"/>
          <w:numId w:val="1"/>
        </w:numPr>
        <w:spacing w:before="217" w:after="217"/>
      </w:pPr>
      <w:r>
        <w:t>供热工程</w:t>
      </w:r>
    </w:p>
    <w:p w14:paraId="7DB0B611">
      <w:pPr>
        <w:pStyle w:val="36"/>
        <w:ind w:firstLine="640"/>
        <w:rPr>
          <w:rFonts w:ascii="Times New Roman" w:hAnsi="Times New Roman"/>
          <w:szCs w:val="32"/>
        </w:rPr>
      </w:pPr>
      <w:r>
        <w:rPr>
          <w:rFonts w:ascii="Times New Roman" w:hAnsi="Times New Roman"/>
          <w:szCs w:val="32"/>
          <w:u w:val="single"/>
        </w:rPr>
        <w:t>规划镇政府驻地采用集中供热，规划建设集中供热设施1处，占地面积0.25公顷</w:t>
      </w:r>
      <w:r>
        <w:rPr>
          <w:rFonts w:hint="eastAsia" w:ascii="Times New Roman" w:hAnsi="Times New Roman"/>
          <w:szCs w:val="32"/>
          <w:u w:val="single"/>
        </w:rPr>
        <w:t>，采暖供热能力为</w:t>
      </w:r>
      <w:r>
        <w:rPr>
          <w:rFonts w:ascii="Times New Roman" w:hAnsi="Times New Roman"/>
          <w:szCs w:val="32"/>
          <w:u w:val="single"/>
        </w:rPr>
        <w:t>2</w:t>
      </w:r>
      <w:r>
        <w:rPr>
          <w:rFonts w:hint="eastAsia" w:ascii="Times New Roman" w:hAnsi="Times New Roman"/>
          <w:szCs w:val="32"/>
          <w:u w:val="single"/>
        </w:rPr>
        <w:t>0MW。</w:t>
      </w:r>
      <w:r>
        <w:rPr>
          <w:rFonts w:ascii="Times New Roman" w:hAnsi="Times New Roman"/>
          <w:szCs w:val="32"/>
        </w:rPr>
        <w:t>能源形式以燃煤为主。各村屯采用家庭分散供热方式，供暖能源大多以煤、秸秆为主。</w:t>
      </w:r>
    </w:p>
    <w:p w14:paraId="7F45AE59">
      <w:pPr>
        <w:pStyle w:val="6"/>
        <w:numPr>
          <w:ilvl w:val="0"/>
          <w:numId w:val="1"/>
        </w:numPr>
        <w:spacing w:before="217" w:after="217"/>
      </w:pPr>
      <w:r>
        <w:t>燃气工程</w:t>
      </w:r>
    </w:p>
    <w:p w14:paraId="2F3E760F">
      <w:pPr>
        <w:pStyle w:val="36"/>
        <w:ind w:firstLine="640"/>
        <w:rPr>
          <w:rFonts w:ascii="Times New Roman" w:hAnsi="Times New Roman"/>
          <w:szCs w:val="32"/>
        </w:rPr>
      </w:pPr>
      <w:r>
        <w:rPr>
          <w:rFonts w:ascii="Times New Roman" w:hAnsi="Times New Roman"/>
          <w:szCs w:val="32"/>
          <w:u w:val="single"/>
        </w:rPr>
        <w:t>规划镇政府驻地东侧预留燃气工程用地</w:t>
      </w:r>
      <w:r>
        <w:rPr>
          <w:rFonts w:ascii="Times New Roman" w:hAnsi="Times New Roman"/>
          <w:szCs w:val="32"/>
        </w:rPr>
        <w:t>，全域近期使用罐装液化石油气和秸秆气化，远期选用天然气集中供气，同时积极发展太阳能和沼气等新能源技术。燃气管道沿主要道路铺设，铺设标准满足《城镇燃气设计规范》GB50028的有关规定。</w:t>
      </w:r>
    </w:p>
    <w:p w14:paraId="0A43DC51">
      <w:pPr>
        <w:pStyle w:val="6"/>
        <w:numPr>
          <w:ilvl w:val="0"/>
          <w:numId w:val="1"/>
        </w:numPr>
        <w:spacing w:before="217" w:after="217"/>
      </w:pPr>
      <w:r>
        <w:t>环卫工程</w:t>
      </w:r>
    </w:p>
    <w:p w14:paraId="6867D21C">
      <w:pPr>
        <w:pStyle w:val="36"/>
        <w:ind w:firstLine="640"/>
        <w:rPr>
          <w:rFonts w:ascii="Times New Roman" w:hAnsi="Times New Roman"/>
          <w:szCs w:val="32"/>
          <w:u w:val="single"/>
        </w:rPr>
      </w:pPr>
      <w:r>
        <w:rPr>
          <w:rFonts w:ascii="Times New Roman" w:hAnsi="Times New Roman"/>
          <w:szCs w:val="32"/>
          <w:u w:val="single"/>
        </w:rPr>
        <w:t>采用“村收集、镇转运、县处理”方式，实现生活垃圾无害化、减量化、资源化处理。镇政府驻地建设垃圾转运站一处。各村庄建设垃圾收集点，并配备村收集车进行收集，最终均送至佳木斯市垃圾处理厂进行处理。</w:t>
      </w:r>
    </w:p>
    <w:p w14:paraId="71F46F55">
      <w:pPr>
        <w:pStyle w:val="36"/>
        <w:ind w:firstLine="640"/>
        <w:rPr>
          <w:rFonts w:ascii="Times New Roman" w:hAnsi="Times New Roman"/>
          <w:szCs w:val="32"/>
        </w:rPr>
      </w:pPr>
      <w:r>
        <w:rPr>
          <w:rFonts w:ascii="Times New Roman" w:hAnsi="Times New Roman"/>
          <w:szCs w:val="32"/>
        </w:rPr>
        <w:t>镇政府驻地结合开敞空间和公共场所均衡布置节水型公共厕所，按一类标准建设。各村屯居民点结合公园广场规划布置公共厕所。生活垃圾日产量可按每人1.2千克计算。</w:t>
      </w:r>
    </w:p>
    <w:p w14:paraId="4960170D">
      <w:pPr>
        <w:pStyle w:val="5"/>
        <w:numPr>
          <w:ilvl w:val="1"/>
          <w:numId w:val="0"/>
        </w:numPr>
        <w:spacing w:before="217" w:after="217"/>
        <w:rPr>
          <w:b/>
          <w:bCs w:val="0"/>
          <w:kern w:val="0"/>
        </w:rPr>
      </w:pPr>
      <w:bookmarkStart w:id="154" w:name="_Toc183863158"/>
      <w:bookmarkStart w:id="155" w:name="_Toc183862542"/>
      <w:bookmarkStart w:id="156" w:name="_Toc2305"/>
      <w:r>
        <w:rPr>
          <w:bCs w:val="0"/>
          <w:kern w:val="0"/>
        </w:rPr>
        <w:t>第四节 安全防灾设施</w:t>
      </w:r>
      <w:bookmarkEnd w:id="154"/>
      <w:bookmarkEnd w:id="155"/>
      <w:bookmarkEnd w:id="156"/>
    </w:p>
    <w:p w14:paraId="06611B47">
      <w:pPr>
        <w:pStyle w:val="6"/>
        <w:numPr>
          <w:ilvl w:val="0"/>
          <w:numId w:val="1"/>
        </w:numPr>
        <w:spacing w:before="217" w:after="217"/>
      </w:pPr>
      <w:r>
        <w:t>消防系统</w:t>
      </w:r>
    </w:p>
    <w:p w14:paraId="56602631">
      <w:pPr>
        <w:pStyle w:val="36"/>
        <w:ind w:firstLine="640"/>
        <w:rPr>
          <w:rFonts w:ascii="Times New Roman" w:hAnsi="Times New Roman"/>
          <w:szCs w:val="32"/>
          <w:u w:val="single"/>
        </w:rPr>
      </w:pPr>
      <w:r>
        <w:rPr>
          <w:rFonts w:ascii="Times New Roman" w:hAnsi="Times New Roman"/>
          <w:szCs w:val="32"/>
          <w:u w:val="single"/>
        </w:rPr>
        <w:t>规划在镇政府驻地新建消防站1处，达到二级乡镇专职消防队标准，并按《消防给水及消火栓系统技术规范》（GB50974-2014）配备消防设施。下辖中心村设消防车1辆，其余行政村各设消防水泵1台。</w:t>
      </w:r>
    </w:p>
    <w:p w14:paraId="30B878AA">
      <w:pPr>
        <w:pStyle w:val="6"/>
        <w:numPr>
          <w:ilvl w:val="0"/>
          <w:numId w:val="1"/>
        </w:numPr>
        <w:spacing w:before="217" w:after="217"/>
      </w:pPr>
      <w:r>
        <w:t>抗震防灾体系</w:t>
      </w:r>
    </w:p>
    <w:p w14:paraId="1D1314D5">
      <w:pPr>
        <w:pStyle w:val="36"/>
        <w:spacing w:line="560" w:lineRule="exact"/>
        <w:ind w:firstLine="640"/>
        <w:rPr>
          <w:rFonts w:ascii="Times New Roman" w:hAnsi="Times New Roman"/>
          <w:szCs w:val="32"/>
          <w:u w:val="single"/>
        </w:rPr>
      </w:pPr>
      <w:r>
        <w:rPr>
          <w:rFonts w:ascii="Times New Roman" w:hAnsi="Times New Roman"/>
          <w:szCs w:val="32"/>
          <w:u w:val="single"/>
        </w:rPr>
        <w:t>四马架镇处在地震抗震烈度Ⅵ度区。抗震设防采取“小震不坏、中震可修、大震不倒”的标准，结合道路网完善城镇环路系统，形成避震网络。</w:t>
      </w:r>
    </w:p>
    <w:p w14:paraId="0012EF26">
      <w:pPr>
        <w:pStyle w:val="36"/>
        <w:spacing w:line="560" w:lineRule="exact"/>
        <w:ind w:firstLine="640"/>
        <w:rPr>
          <w:rFonts w:ascii="Times New Roman" w:hAnsi="Times New Roman"/>
          <w:szCs w:val="32"/>
          <w:u w:val="single"/>
        </w:rPr>
      </w:pPr>
      <w:r>
        <w:rPr>
          <w:rFonts w:ascii="Times New Roman" w:hAnsi="Times New Roman"/>
          <w:szCs w:val="32"/>
          <w:u w:val="single"/>
        </w:rPr>
        <w:t>四马架镇一般建设工程应按照Ⅵ度进行设防；学校、医院等人员密集场所的建设工程，按照高一度进行设防。此外，国家和省重大建设工程，受地震破坏后可能引发水灾、火灾、爆炸或者剧毒、强腐蚀性、放射性物质大量泄漏以及其他严重次生灾害的建设工程，人员密集场所的大型建设工程，国家建筑工程抗震设防分类标准规定应当进行地震安全性评价的建设工程，应当进行地震安全性评价。</w:t>
      </w:r>
    </w:p>
    <w:p w14:paraId="732B30D7">
      <w:pPr>
        <w:pStyle w:val="6"/>
        <w:numPr>
          <w:ilvl w:val="0"/>
          <w:numId w:val="1"/>
        </w:numPr>
        <w:spacing w:before="217" w:after="217" w:line="560" w:lineRule="exact"/>
      </w:pPr>
      <w:r>
        <w:t>防洪排涝工程</w:t>
      </w:r>
    </w:p>
    <w:p w14:paraId="5AFDA157">
      <w:pPr>
        <w:pStyle w:val="36"/>
        <w:spacing w:line="560" w:lineRule="exact"/>
        <w:ind w:firstLine="640"/>
        <w:rPr>
          <w:rFonts w:ascii="Times New Roman" w:hAnsi="Times New Roman"/>
          <w:szCs w:val="32"/>
        </w:rPr>
      </w:pPr>
      <w:r>
        <w:rPr>
          <w:rFonts w:ascii="Times New Roman" w:hAnsi="Times New Roman"/>
          <w:szCs w:val="32"/>
        </w:rPr>
        <w:t>农田水利建设、水土保持、绿化造林等规划相结合，统一整治河渠修建堤坝、滞洪区等防洪防涝工程设施。</w:t>
      </w:r>
    </w:p>
    <w:p w14:paraId="4F235C8C">
      <w:pPr>
        <w:spacing w:line="560" w:lineRule="exact"/>
        <w:ind w:firstLine="640"/>
        <w:rPr>
          <w:rFonts w:ascii="Times New Roman" w:hAnsi="Times New Roman"/>
          <w:szCs w:val="32"/>
          <w:u w:val="single"/>
        </w:rPr>
      </w:pPr>
      <w:r>
        <w:rPr>
          <w:rFonts w:ascii="Times New Roman" w:hAnsi="Times New Roman"/>
          <w:szCs w:val="32"/>
          <w:u w:val="single"/>
        </w:rPr>
        <w:t>建设四马架镇区域气象观测站，周边环境需按照《气象探测环境保护规范地面气象观测站GB31221-2014》中“3.2区域气象观测站”要求执行。</w:t>
      </w:r>
    </w:p>
    <w:p w14:paraId="1AA24DD0">
      <w:pPr>
        <w:pStyle w:val="36"/>
        <w:spacing w:line="560" w:lineRule="exact"/>
        <w:ind w:firstLine="640"/>
        <w:rPr>
          <w:rFonts w:ascii="Times New Roman" w:hAnsi="Times New Roman"/>
          <w:szCs w:val="32"/>
        </w:rPr>
      </w:pPr>
      <w:r>
        <w:rPr>
          <w:rFonts w:ascii="Times New Roman" w:hAnsi="Times New Roman"/>
          <w:szCs w:val="32"/>
          <w:u w:val="single"/>
        </w:rPr>
        <w:t>音达木河防洪标准为100年一遇。</w:t>
      </w:r>
      <w:r>
        <w:rPr>
          <w:rFonts w:ascii="Times New Roman" w:hAnsi="Times New Roman"/>
          <w:szCs w:val="32"/>
        </w:rPr>
        <w:t>加强现状堤坝的巩固工作。疏浚规划范围内主要河道，增加过水断面，扩大泄洪能力。</w:t>
      </w:r>
    </w:p>
    <w:p w14:paraId="31F6DB39">
      <w:pPr>
        <w:pStyle w:val="4"/>
        <w:numPr>
          <w:ilvl w:val="0"/>
          <w:numId w:val="2"/>
        </w:numPr>
        <w:tabs>
          <w:tab w:val="left" w:pos="0"/>
        </w:tabs>
        <w:spacing w:before="217" w:after="217"/>
        <w:rPr>
          <w:b/>
          <w:bCs w:val="0"/>
          <w:kern w:val="2"/>
          <w:szCs w:val="36"/>
        </w:rPr>
      </w:pPr>
      <w:r>
        <w:rPr>
          <w:bCs w:val="0"/>
          <w:sz w:val="32"/>
          <w:szCs w:val="32"/>
        </w:rPr>
        <w:br w:type="page"/>
      </w:r>
      <w:bookmarkStart w:id="157" w:name="_Toc183863389"/>
      <w:bookmarkStart w:id="158" w:name="_Toc183862543"/>
      <w:bookmarkStart w:id="159" w:name="_Toc183863159"/>
      <w:bookmarkStart w:id="160" w:name="_Toc21005"/>
      <w:r>
        <w:rPr>
          <w:bCs w:val="0"/>
          <w:kern w:val="2"/>
          <w:szCs w:val="36"/>
        </w:rPr>
        <w:t>第八章 历史文化与地方特色风貌</w:t>
      </w:r>
      <w:bookmarkEnd w:id="157"/>
      <w:bookmarkEnd w:id="158"/>
      <w:bookmarkEnd w:id="159"/>
      <w:bookmarkEnd w:id="160"/>
    </w:p>
    <w:p w14:paraId="6644DF17">
      <w:pPr>
        <w:pStyle w:val="5"/>
        <w:numPr>
          <w:ilvl w:val="1"/>
          <w:numId w:val="0"/>
        </w:numPr>
        <w:spacing w:before="217" w:after="217"/>
        <w:rPr>
          <w:b/>
          <w:bCs w:val="0"/>
          <w:kern w:val="0"/>
        </w:rPr>
      </w:pPr>
      <w:bookmarkStart w:id="161" w:name="_Toc183863160"/>
      <w:bookmarkStart w:id="162" w:name="_Toc183862544"/>
      <w:bookmarkStart w:id="163" w:name="_Toc18547"/>
      <w:r>
        <w:rPr>
          <w:bCs w:val="0"/>
          <w:kern w:val="0"/>
        </w:rPr>
        <w:t>第一节 历史文化保护</w:t>
      </w:r>
      <w:bookmarkEnd w:id="161"/>
      <w:bookmarkEnd w:id="162"/>
      <w:bookmarkEnd w:id="163"/>
    </w:p>
    <w:p w14:paraId="7B2F56D5">
      <w:pPr>
        <w:pStyle w:val="6"/>
        <w:numPr>
          <w:ilvl w:val="0"/>
          <w:numId w:val="1"/>
        </w:numPr>
        <w:spacing w:before="217" w:after="217"/>
      </w:pPr>
      <w:r>
        <w:t>历史文化保护与利用目标</w:t>
      </w:r>
    </w:p>
    <w:p w14:paraId="622335A5">
      <w:pPr>
        <w:pStyle w:val="36"/>
        <w:ind w:firstLine="640"/>
        <w:rPr>
          <w:rFonts w:ascii="Times New Roman" w:hAnsi="Times New Roman"/>
          <w:szCs w:val="32"/>
        </w:rPr>
      </w:pPr>
      <w:r>
        <w:rPr>
          <w:rFonts w:ascii="Times New Roman" w:hAnsi="Times New Roman"/>
          <w:szCs w:val="32"/>
        </w:rPr>
        <w:t>保护四马架镇历史文化遗产，延续历史文化遗产的格局和风貌，提升保护水平，保存历史符号，留住文化记忆。</w:t>
      </w:r>
    </w:p>
    <w:p w14:paraId="7BCDD5FA">
      <w:pPr>
        <w:pStyle w:val="6"/>
        <w:numPr>
          <w:ilvl w:val="0"/>
          <w:numId w:val="1"/>
        </w:numPr>
        <w:spacing w:before="217" w:after="217"/>
      </w:pPr>
      <w:r>
        <w:t>文物保护单位</w:t>
      </w:r>
    </w:p>
    <w:p w14:paraId="0E26E44F">
      <w:pPr>
        <w:pStyle w:val="36"/>
        <w:spacing w:line="560" w:lineRule="exact"/>
        <w:ind w:firstLine="640"/>
        <w:rPr>
          <w:rFonts w:ascii="Times New Roman" w:hAnsi="Times New Roman"/>
          <w:szCs w:val="32"/>
          <w:u w:val="single"/>
        </w:rPr>
      </w:pPr>
      <w:r>
        <w:rPr>
          <w:rFonts w:hint="eastAsia" w:ascii="Times New Roman" w:hAnsi="Times New Roman"/>
          <w:szCs w:val="32"/>
          <w:u w:val="single"/>
        </w:rPr>
        <w:t>保护措施：</w:t>
      </w:r>
      <w:r>
        <w:rPr>
          <w:rFonts w:ascii="Times New Roman" w:hAnsi="Times New Roman"/>
          <w:szCs w:val="32"/>
          <w:u w:val="single"/>
        </w:rPr>
        <w:t>文物保护单位的保护范围内不得进行其他建设工程或者爆破、钻探、挖掘等作业。因特殊情况需要在文物保护单位的保护范围内进行其他建设工程或者爆破、钻探、挖掘等作业的，必须保证文物保护单位的安全，并经核定公布该文物保护单位的人民政府批准，在批准前应当征得上一级人民政府文物行政部门同意；在全国重点文物保护单位的保护范围内进行其他建设工程或者爆破、钻探、挖掘等作业的，必须经省、自治区、直辖市人民政府批准，在批准前应当征得国务院文物行政部门同意。</w:t>
      </w:r>
    </w:p>
    <w:p w14:paraId="0511667F">
      <w:pPr>
        <w:pStyle w:val="36"/>
        <w:spacing w:line="560" w:lineRule="exact"/>
        <w:ind w:firstLine="640"/>
        <w:rPr>
          <w:rFonts w:ascii="Times New Roman" w:hAnsi="Times New Roman"/>
          <w:szCs w:val="32"/>
          <w:u w:val="single"/>
        </w:rPr>
      </w:pPr>
      <w:r>
        <w:rPr>
          <w:rFonts w:ascii="Times New Roman" w:hAnsi="Times New Roman"/>
          <w:szCs w:val="32"/>
          <w:u w:val="single"/>
        </w:rPr>
        <w:t xml:space="preserve">在文物保护单位的建设控制地带内进行建设工程，不得破坏文物保护单位的历史风貌；工程设计方案应当根据文物保护单位的级别，经相应的文物行政部门同意后，报城乡建设规划部门批准。 </w:t>
      </w:r>
    </w:p>
    <w:p w14:paraId="0795C7AB">
      <w:pPr>
        <w:pStyle w:val="36"/>
        <w:spacing w:line="560" w:lineRule="exact"/>
        <w:ind w:firstLine="640"/>
        <w:rPr>
          <w:rFonts w:ascii="Times New Roman" w:hAnsi="Times New Roman"/>
          <w:szCs w:val="32"/>
          <w:u w:val="single"/>
        </w:rPr>
      </w:pPr>
      <w:r>
        <w:rPr>
          <w:rFonts w:ascii="Times New Roman" w:hAnsi="Times New Roman"/>
          <w:szCs w:val="32"/>
          <w:u w:val="single"/>
        </w:rPr>
        <w:t>在文物保护单位的保护范围和建设控制地带内，不得建设污染文物保护单位及其环境的设施，不得进行可能影响文物保护单位安全及其环境的活动。对已有的污染文物保护单位及其环境的设施，应当限期治理</w:t>
      </w:r>
      <w:r>
        <w:rPr>
          <w:rFonts w:hint="eastAsia" w:ascii="Times New Roman" w:hAnsi="Times New Roman"/>
          <w:szCs w:val="32"/>
          <w:u w:val="single"/>
        </w:rPr>
        <w:t>。</w:t>
      </w:r>
    </w:p>
    <w:p w14:paraId="1819A112">
      <w:pPr>
        <w:pStyle w:val="6"/>
        <w:numPr>
          <w:ilvl w:val="0"/>
          <w:numId w:val="1"/>
        </w:numPr>
        <w:spacing w:before="217" w:after="217" w:line="560" w:lineRule="exact"/>
      </w:pPr>
      <w:r>
        <w:t>历史文化资源的活化利用</w:t>
      </w:r>
    </w:p>
    <w:p w14:paraId="2A4500FD">
      <w:pPr>
        <w:pStyle w:val="36"/>
        <w:spacing w:line="560" w:lineRule="exact"/>
        <w:ind w:firstLine="640"/>
        <w:rPr>
          <w:rFonts w:ascii="Times New Roman" w:hAnsi="Times New Roman"/>
          <w:szCs w:val="32"/>
        </w:rPr>
      </w:pPr>
      <w:r>
        <w:rPr>
          <w:rFonts w:ascii="Times New Roman" w:hAnsi="Times New Roman"/>
          <w:szCs w:val="32"/>
        </w:rPr>
        <w:t>保护好四马架镇的特色文化、历史文物遗存，使得具有地方特色的传统文化得以延续、继承和发扬，并成为增强四马架镇品牌形象的内动力。在传统文化特色鲜明、具有广泛群众基础的社区、村屯居民点，进行进一步的发掘，巩固已有的文化基础，加强保护。</w:t>
      </w:r>
    </w:p>
    <w:p w14:paraId="3443AE65">
      <w:pPr>
        <w:pStyle w:val="5"/>
        <w:numPr>
          <w:ilvl w:val="1"/>
          <w:numId w:val="0"/>
        </w:numPr>
        <w:spacing w:before="217" w:after="217" w:line="560" w:lineRule="exact"/>
        <w:rPr>
          <w:b/>
          <w:bCs w:val="0"/>
          <w:kern w:val="0"/>
        </w:rPr>
      </w:pPr>
      <w:bookmarkStart w:id="164" w:name="_Toc183862545"/>
      <w:bookmarkStart w:id="165" w:name="_Toc183863161"/>
      <w:bookmarkStart w:id="166" w:name="_Toc16338"/>
      <w:r>
        <w:rPr>
          <w:bCs w:val="0"/>
          <w:kern w:val="0"/>
        </w:rPr>
        <w:t>第二节 特色风貌塑造</w:t>
      </w:r>
      <w:bookmarkEnd w:id="164"/>
      <w:bookmarkEnd w:id="165"/>
      <w:bookmarkEnd w:id="166"/>
    </w:p>
    <w:p w14:paraId="23863348">
      <w:pPr>
        <w:pStyle w:val="6"/>
        <w:numPr>
          <w:ilvl w:val="0"/>
          <w:numId w:val="1"/>
        </w:numPr>
        <w:spacing w:before="217" w:after="217" w:line="560" w:lineRule="exact"/>
      </w:pPr>
      <w:r>
        <w:t>特色风貌格局</w:t>
      </w:r>
    </w:p>
    <w:p w14:paraId="6E6A1BC8">
      <w:pPr>
        <w:spacing w:line="560" w:lineRule="exact"/>
        <w:ind w:firstLine="640"/>
        <w:rPr>
          <w:rFonts w:ascii="Times New Roman" w:hAnsi="Times New Roman"/>
          <w:szCs w:val="32"/>
        </w:rPr>
      </w:pPr>
      <w:r>
        <w:rPr>
          <w:rFonts w:ascii="Times New Roman" w:hAnsi="Times New Roman"/>
          <w:szCs w:val="32"/>
        </w:rPr>
        <w:t>规划四马架镇全域景观形成“一轴、三心”的景观格局体系。</w:t>
      </w:r>
    </w:p>
    <w:p w14:paraId="77B8C48F">
      <w:pPr>
        <w:ind w:firstLine="640"/>
        <w:rPr>
          <w:rFonts w:ascii="Times New Roman" w:hAnsi="Times New Roman"/>
          <w:szCs w:val="32"/>
        </w:rPr>
      </w:pPr>
      <w:r>
        <w:rPr>
          <w:rFonts w:ascii="Times New Roman" w:hAnsi="Times New Roman"/>
          <w:szCs w:val="32"/>
        </w:rPr>
        <w:t>一轴——沿域内音达木河南北形成绿化轴线。</w:t>
      </w:r>
    </w:p>
    <w:p w14:paraId="06599A5D">
      <w:pPr>
        <w:ind w:firstLine="640"/>
        <w:rPr>
          <w:rFonts w:ascii="Times New Roman" w:hAnsi="Times New Roman"/>
          <w:szCs w:val="32"/>
        </w:rPr>
      </w:pPr>
      <w:r>
        <w:rPr>
          <w:rFonts w:ascii="Times New Roman" w:hAnsi="Times New Roman"/>
          <w:szCs w:val="32"/>
        </w:rPr>
        <w:t>三心——生活配套区内每两个居住组团规划一个绿化中心点。</w:t>
      </w:r>
    </w:p>
    <w:p w14:paraId="3683915E">
      <w:pPr>
        <w:pStyle w:val="6"/>
        <w:numPr>
          <w:ilvl w:val="0"/>
          <w:numId w:val="1"/>
        </w:numPr>
        <w:spacing w:before="217" w:after="217"/>
      </w:pPr>
      <w:r>
        <w:t>镇政府驻地风貌引导</w:t>
      </w:r>
    </w:p>
    <w:p w14:paraId="706C83BC">
      <w:pPr>
        <w:ind w:firstLine="640"/>
        <w:rPr>
          <w:rFonts w:ascii="Times New Roman" w:hAnsi="Times New Roman"/>
          <w:szCs w:val="32"/>
        </w:rPr>
      </w:pPr>
      <w:r>
        <w:rPr>
          <w:rFonts w:ascii="Times New Roman" w:hAnsi="Times New Roman"/>
          <w:szCs w:val="32"/>
        </w:rPr>
        <w:t>将四马架镇划分为3类风貌：</w:t>
      </w:r>
    </w:p>
    <w:p w14:paraId="0E06B32B">
      <w:pPr>
        <w:ind w:firstLine="640"/>
        <w:rPr>
          <w:rFonts w:ascii="Times New Roman" w:hAnsi="Times New Roman"/>
          <w:szCs w:val="32"/>
        </w:rPr>
      </w:pPr>
      <w:r>
        <w:rPr>
          <w:rFonts w:ascii="Times New Roman" w:hAnsi="Times New Roman"/>
          <w:szCs w:val="32"/>
        </w:rPr>
        <w:t>传统城镇景观风貌片区：包括镇政府驻地东西两片居住组团。</w:t>
      </w:r>
    </w:p>
    <w:p w14:paraId="32143371">
      <w:pPr>
        <w:ind w:firstLine="640"/>
        <w:rPr>
          <w:rFonts w:ascii="Times New Roman" w:hAnsi="Times New Roman"/>
          <w:szCs w:val="32"/>
        </w:rPr>
      </w:pPr>
      <w:r>
        <w:rPr>
          <w:rFonts w:ascii="Times New Roman" w:hAnsi="Times New Roman"/>
          <w:szCs w:val="32"/>
        </w:rPr>
        <w:t>公服商业风貌片区：指镇政府驻地中部公共服务设施和商业设施较为集中的组团。</w:t>
      </w:r>
    </w:p>
    <w:p w14:paraId="4C064014">
      <w:pPr>
        <w:ind w:firstLine="640"/>
        <w:rPr>
          <w:rFonts w:ascii="Times New Roman" w:hAnsi="Times New Roman"/>
          <w:szCs w:val="32"/>
        </w:rPr>
      </w:pPr>
      <w:r>
        <w:rPr>
          <w:rFonts w:ascii="Times New Roman" w:hAnsi="Times New Roman"/>
          <w:szCs w:val="32"/>
        </w:rPr>
        <w:t>城镇门户风貌片区：镇政府驻地东侧高速公路出入口及周边片区，体现城镇门户形象。</w:t>
      </w:r>
    </w:p>
    <w:p w14:paraId="26D52ACA">
      <w:pPr>
        <w:pStyle w:val="6"/>
        <w:numPr>
          <w:ilvl w:val="0"/>
          <w:numId w:val="1"/>
        </w:numPr>
        <w:spacing w:before="217" w:after="217"/>
      </w:pPr>
      <w:r>
        <w:t>居民点风貌引导</w:t>
      </w:r>
    </w:p>
    <w:p w14:paraId="5AD753F5">
      <w:pPr>
        <w:pStyle w:val="36"/>
        <w:ind w:firstLine="640"/>
        <w:rPr>
          <w:rFonts w:ascii="Times New Roman" w:hAnsi="Times New Roman"/>
          <w:szCs w:val="32"/>
        </w:rPr>
      </w:pPr>
      <w:r>
        <w:rPr>
          <w:rFonts w:ascii="Times New Roman" w:hAnsi="Times New Roman"/>
          <w:szCs w:val="32"/>
        </w:rPr>
        <w:t>居民点内建筑及布置应符合北方寒地文化特色，尽量采用耐寒建筑材料，南北向布置并严格控制建筑间距。同时充分发挥居民点周围自然环境特色，将自然景观引入居民点。</w:t>
      </w:r>
    </w:p>
    <w:p w14:paraId="11BCD046">
      <w:pPr>
        <w:pStyle w:val="6"/>
        <w:numPr>
          <w:ilvl w:val="0"/>
          <w:numId w:val="1"/>
        </w:numPr>
        <w:spacing w:before="217" w:after="217"/>
      </w:pPr>
      <w:r>
        <w:t>加强地名管理，保护地方传统特色</w:t>
      </w:r>
    </w:p>
    <w:p w14:paraId="138EC0FC">
      <w:pPr>
        <w:pStyle w:val="36"/>
        <w:ind w:firstLine="640"/>
        <w:rPr>
          <w:rFonts w:ascii="Times New Roman" w:hAnsi="Times New Roman"/>
          <w:szCs w:val="32"/>
        </w:rPr>
      </w:pPr>
      <w:r>
        <w:rPr>
          <w:rFonts w:ascii="Times New Roman" w:hAnsi="Times New Roman"/>
          <w:szCs w:val="32"/>
        </w:rPr>
        <w:t>加强乡村地名命名管理，健全乡村地名标志体系，传承弘扬乡村地名文化，助力乡村全面振兴。</w:t>
      </w:r>
    </w:p>
    <w:p w14:paraId="668E35D2">
      <w:pPr>
        <w:pStyle w:val="36"/>
        <w:ind w:firstLine="640"/>
        <w:rPr>
          <w:rFonts w:ascii="Times New Roman" w:hAnsi="Times New Roman"/>
          <w:szCs w:val="32"/>
        </w:rPr>
      </w:pPr>
      <w:r>
        <w:rPr>
          <w:rFonts w:ascii="Times New Roman" w:hAnsi="Times New Roman"/>
          <w:szCs w:val="32"/>
        </w:rPr>
        <w:t>根据《地名管理条例</w:t>
      </w:r>
      <w:r>
        <w:rPr>
          <w:rFonts w:hint="eastAsia" w:ascii="Times New Roman" w:hAnsi="Times New Roman"/>
          <w:szCs w:val="32"/>
        </w:rPr>
        <w:t>》、《</w:t>
      </w:r>
      <w:r>
        <w:rPr>
          <w:rFonts w:ascii="Times New Roman" w:hAnsi="Times New Roman"/>
          <w:szCs w:val="32"/>
        </w:rPr>
        <w:t>关于印发黑龙江省开展“乡村著名行动”助力乡村振兴实施方案的通知》（黑民发〔2024〕4号）、《关于印发〈黑龙江省地名文化遗产保护名录〉推荐工作实施方案的通知》（黑民函〔2023〕150号）、《佳木斯市地名方案（2024</w:t>
      </w:r>
      <w:r>
        <w:rPr>
          <w:rFonts w:hint="eastAsia" w:ascii="Times New Roman" w:hAnsi="Times New Roman"/>
          <w:szCs w:val="32"/>
        </w:rPr>
        <w:t>—</w:t>
      </w:r>
      <w:r>
        <w:rPr>
          <w:rFonts w:ascii="Times New Roman" w:hAnsi="Times New Roman"/>
          <w:szCs w:val="32"/>
        </w:rPr>
        <w:t>2026年）》等相关要求，主要针对社区、行政村、自然村（屯），道路、街巷，建筑物、住宅区（群），桥梁，公园、广场、绿地，自然、人文景观等进行规范命名，以保持地名稳定，突出本地特点、与城市建设规划紧密结合，整体与局部相协调，同时要具有时代特征、实操性。</w:t>
      </w:r>
    </w:p>
    <w:p w14:paraId="78B3B4EB">
      <w:pPr>
        <w:pStyle w:val="4"/>
        <w:numPr>
          <w:ilvl w:val="0"/>
          <w:numId w:val="2"/>
        </w:numPr>
        <w:tabs>
          <w:tab w:val="left" w:pos="0"/>
        </w:tabs>
        <w:spacing w:before="217" w:after="217"/>
        <w:rPr>
          <w:b/>
          <w:bCs w:val="0"/>
          <w:kern w:val="2"/>
          <w:szCs w:val="36"/>
        </w:rPr>
      </w:pPr>
      <w:r>
        <w:rPr>
          <w:sz w:val="32"/>
          <w:szCs w:val="32"/>
        </w:rPr>
        <w:br w:type="page"/>
      </w:r>
      <w:bookmarkStart w:id="167" w:name="_Toc183862546"/>
      <w:bookmarkStart w:id="168" w:name="_Toc183863162"/>
      <w:bookmarkStart w:id="169" w:name="_Toc183863390"/>
      <w:bookmarkStart w:id="170" w:name="_Toc7280"/>
      <w:r>
        <w:rPr>
          <w:bCs w:val="0"/>
          <w:kern w:val="2"/>
          <w:szCs w:val="36"/>
        </w:rPr>
        <w:t>第九章 生态修复与国土综合整治</w:t>
      </w:r>
      <w:bookmarkEnd w:id="167"/>
      <w:bookmarkEnd w:id="168"/>
      <w:bookmarkEnd w:id="169"/>
      <w:bookmarkEnd w:id="170"/>
    </w:p>
    <w:p w14:paraId="21309056">
      <w:pPr>
        <w:pStyle w:val="5"/>
        <w:numPr>
          <w:ilvl w:val="1"/>
          <w:numId w:val="0"/>
        </w:numPr>
        <w:spacing w:before="217" w:after="217"/>
        <w:rPr>
          <w:b/>
          <w:bCs w:val="0"/>
          <w:kern w:val="0"/>
        </w:rPr>
      </w:pPr>
      <w:bookmarkStart w:id="171" w:name="_Toc183863163"/>
      <w:bookmarkStart w:id="172" w:name="_Toc183862547"/>
      <w:bookmarkStart w:id="173" w:name="_Toc1814"/>
      <w:r>
        <w:rPr>
          <w:bCs w:val="0"/>
          <w:kern w:val="0"/>
        </w:rPr>
        <w:t>第一节 生态修复</w:t>
      </w:r>
      <w:bookmarkEnd w:id="171"/>
      <w:bookmarkEnd w:id="172"/>
      <w:bookmarkEnd w:id="173"/>
    </w:p>
    <w:p w14:paraId="5F1DFB8C">
      <w:pPr>
        <w:pStyle w:val="6"/>
        <w:numPr>
          <w:ilvl w:val="0"/>
          <w:numId w:val="1"/>
        </w:numPr>
        <w:spacing w:before="217" w:after="217"/>
      </w:pPr>
      <w:r>
        <w:t>水环境和水生态修复</w:t>
      </w:r>
    </w:p>
    <w:p w14:paraId="1C480E91">
      <w:pPr>
        <w:pStyle w:val="36"/>
        <w:ind w:firstLine="640"/>
        <w:rPr>
          <w:rFonts w:ascii="Times New Roman" w:hAnsi="Times New Roman"/>
          <w:szCs w:val="32"/>
        </w:rPr>
      </w:pPr>
      <w:r>
        <w:rPr>
          <w:rFonts w:ascii="Times New Roman" w:hAnsi="Times New Roman"/>
          <w:szCs w:val="32"/>
        </w:rPr>
        <w:t>从源头和生产生活细节出发，开展水源地汇水区生态清洁、小流域综合治理。</w:t>
      </w:r>
      <w:r>
        <w:rPr>
          <w:rFonts w:hint="eastAsia" w:ascii="Times New Roman" w:hAnsi="Times New Roman"/>
          <w:szCs w:val="32"/>
        </w:rPr>
        <w:t>规划“</w:t>
      </w:r>
      <w:r>
        <w:rPr>
          <w:rFonts w:ascii="Times New Roman" w:hAnsi="Times New Roman"/>
          <w:szCs w:val="32"/>
        </w:rPr>
        <w:t>桦川县音达木河山区段治理工程</w:t>
      </w:r>
      <w:r>
        <w:rPr>
          <w:rFonts w:hint="eastAsia" w:ascii="Times New Roman" w:hAnsi="Times New Roman"/>
          <w:szCs w:val="32"/>
        </w:rPr>
        <w:t>、</w:t>
      </w:r>
      <w:r>
        <w:rPr>
          <w:rFonts w:ascii="Times New Roman" w:hAnsi="Times New Roman"/>
          <w:szCs w:val="32"/>
        </w:rPr>
        <w:t>桦川县音达木河堤防工程项目</w:t>
      </w:r>
      <w:r>
        <w:rPr>
          <w:rFonts w:hint="eastAsia" w:ascii="Times New Roman" w:hAnsi="Times New Roman"/>
          <w:szCs w:val="32"/>
        </w:rPr>
        <w:t>、</w:t>
      </w:r>
      <w:r>
        <w:rPr>
          <w:rFonts w:ascii="Times New Roman" w:hAnsi="Times New Roman"/>
          <w:szCs w:val="32"/>
        </w:rPr>
        <w:t>桦川县音达木河治理工程</w:t>
      </w:r>
      <w:r>
        <w:rPr>
          <w:rFonts w:hint="eastAsia" w:ascii="Times New Roman" w:hAnsi="Times New Roman"/>
          <w:szCs w:val="32"/>
        </w:rPr>
        <w:t>、</w:t>
      </w:r>
      <w:r>
        <w:rPr>
          <w:rFonts w:ascii="Times New Roman" w:hAnsi="Times New Roman"/>
          <w:szCs w:val="32"/>
        </w:rPr>
        <w:t>佳木斯市桦川县音达木河平原段治理工程</w:t>
      </w:r>
      <w:r>
        <w:rPr>
          <w:rFonts w:hint="eastAsia" w:ascii="Times New Roman" w:hAnsi="Times New Roman"/>
          <w:szCs w:val="32"/>
        </w:rPr>
        <w:t>、</w:t>
      </w:r>
      <w:r>
        <w:rPr>
          <w:rFonts w:ascii="Times New Roman" w:hAnsi="Times New Roman"/>
          <w:szCs w:val="32"/>
        </w:rPr>
        <w:t>佳木斯市桦川县音达木河丘陵段</w:t>
      </w:r>
      <w:r>
        <w:rPr>
          <w:rFonts w:hint="eastAsia" w:ascii="Times New Roman" w:hAnsi="Times New Roman"/>
          <w:szCs w:val="32"/>
        </w:rPr>
        <w:t>堤</w:t>
      </w:r>
      <w:r>
        <w:rPr>
          <w:rFonts w:ascii="Times New Roman" w:hAnsi="Times New Roman"/>
          <w:szCs w:val="32"/>
        </w:rPr>
        <w:t>防治理工程</w:t>
      </w:r>
      <w:r>
        <w:rPr>
          <w:rFonts w:hint="eastAsia" w:ascii="Times New Roman" w:hAnsi="Times New Roman"/>
          <w:szCs w:val="32"/>
        </w:rPr>
        <w:t>、</w:t>
      </w:r>
      <w:r>
        <w:rPr>
          <w:rFonts w:ascii="Times New Roman" w:hAnsi="Times New Roman"/>
          <w:szCs w:val="32"/>
        </w:rPr>
        <w:t>中小河流治理（音达木河）</w:t>
      </w:r>
      <w:r>
        <w:rPr>
          <w:rFonts w:hint="eastAsia" w:ascii="Times New Roman" w:hAnsi="Times New Roman"/>
          <w:szCs w:val="32"/>
        </w:rPr>
        <w:t>”等，</w:t>
      </w:r>
      <w:r>
        <w:rPr>
          <w:rFonts w:ascii="Times New Roman" w:hAnsi="Times New Roman"/>
          <w:szCs w:val="32"/>
        </w:rPr>
        <w:t>提升生态系统涵水功能，逐步稳定干流流域水质，提高支流水环境质量；提高河流连通性。尽可能降低湖草退化萎缩速度。保护自然生物生存地，维护生物多样性。</w:t>
      </w:r>
    </w:p>
    <w:p w14:paraId="136388F3">
      <w:pPr>
        <w:pStyle w:val="6"/>
        <w:numPr>
          <w:ilvl w:val="0"/>
          <w:numId w:val="1"/>
        </w:numPr>
        <w:spacing w:before="217" w:after="217"/>
      </w:pPr>
      <w:r>
        <w:t>森林生态修复</w:t>
      </w:r>
    </w:p>
    <w:p w14:paraId="6C899590">
      <w:pPr>
        <w:pStyle w:val="36"/>
        <w:ind w:firstLine="640"/>
        <w:rPr>
          <w:rFonts w:ascii="Times New Roman" w:hAnsi="Times New Roman"/>
          <w:szCs w:val="32"/>
        </w:rPr>
      </w:pPr>
      <w:r>
        <w:rPr>
          <w:rFonts w:ascii="Times New Roman" w:hAnsi="Times New Roman"/>
          <w:szCs w:val="32"/>
        </w:rPr>
        <w:t>继续推进防护林体系建设，全面保护天然林资源，实施推动生态系统功能整体性提升，提高森林覆盖率，保证林地质量，加强水源涵养林、防护林建设和退化林修复，增加改造、培育森林资源面积；经过修复和保护工程，建成功能完善的森林生态体系。</w:t>
      </w:r>
    </w:p>
    <w:p w14:paraId="753B937F">
      <w:pPr>
        <w:pStyle w:val="6"/>
        <w:numPr>
          <w:ilvl w:val="0"/>
          <w:numId w:val="1"/>
        </w:numPr>
        <w:spacing w:before="217" w:after="217"/>
      </w:pPr>
      <w:r>
        <w:t>矿山生态修复</w:t>
      </w:r>
    </w:p>
    <w:p w14:paraId="0996556B">
      <w:pPr>
        <w:pStyle w:val="36"/>
        <w:ind w:firstLine="640"/>
        <w:rPr>
          <w:rFonts w:ascii="Times New Roman" w:hAnsi="Times New Roman"/>
          <w:szCs w:val="32"/>
        </w:rPr>
      </w:pPr>
      <w:r>
        <w:rPr>
          <w:rFonts w:ascii="Times New Roman" w:hAnsi="Times New Roman"/>
          <w:szCs w:val="32"/>
        </w:rPr>
        <w:t>结合矿山地质环境详细调查结果和桦川县矿山地质环境发展变化趋势分析，充分考虑矿山地质环境问题对人居环境、工农（牧）业生产、区域经济发展造成的影响，按照矿产资源开发与矿山地质环境保护治理并重的原则。</w:t>
      </w:r>
    </w:p>
    <w:p w14:paraId="67579B19">
      <w:pPr>
        <w:pStyle w:val="5"/>
        <w:numPr>
          <w:ilvl w:val="1"/>
          <w:numId w:val="0"/>
        </w:numPr>
        <w:spacing w:before="217" w:after="217"/>
        <w:rPr>
          <w:b/>
          <w:bCs w:val="0"/>
          <w:kern w:val="0"/>
        </w:rPr>
      </w:pPr>
      <w:bookmarkStart w:id="174" w:name="_Toc183862548"/>
      <w:bookmarkStart w:id="175" w:name="_Toc7034"/>
      <w:bookmarkStart w:id="176" w:name="_Toc15935"/>
      <w:bookmarkStart w:id="177" w:name="_Toc183863164"/>
      <w:bookmarkStart w:id="178" w:name="_Toc11154"/>
      <w:r>
        <w:rPr>
          <w:bCs w:val="0"/>
          <w:kern w:val="0"/>
        </w:rPr>
        <w:t>第二节 农用地综合整治</w:t>
      </w:r>
      <w:bookmarkEnd w:id="174"/>
      <w:bookmarkEnd w:id="175"/>
      <w:bookmarkEnd w:id="176"/>
      <w:bookmarkEnd w:id="177"/>
      <w:bookmarkEnd w:id="178"/>
    </w:p>
    <w:p w14:paraId="26E5F4E3">
      <w:pPr>
        <w:pStyle w:val="6"/>
        <w:numPr>
          <w:ilvl w:val="0"/>
          <w:numId w:val="1"/>
        </w:numPr>
        <w:spacing w:before="217" w:after="217"/>
      </w:pPr>
      <w:r>
        <w:t>农用地整治</w:t>
      </w:r>
    </w:p>
    <w:p w14:paraId="5EF06408">
      <w:pPr>
        <w:pStyle w:val="36"/>
        <w:ind w:firstLine="640"/>
        <w:rPr>
          <w:rFonts w:ascii="Times New Roman" w:hAnsi="Times New Roman"/>
          <w:szCs w:val="32"/>
        </w:rPr>
      </w:pPr>
      <w:r>
        <w:rPr>
          <w:rFonts w:ascii="Times New Roman" w:hAnsi="Times New Roman"/>
          <w:szCs w:val="32"/>
        </w:rPr>
        <w:t>（一）加强高标准基本农田建设</w:t>
      </w:r>
    </w:p>
    <w:p w14:paraId="473A7041">
      <w:pPr>
        <w:pStyle w:val="36"/>
        <w:ind w:firstLine="640"/>
        <w:rPr>
          <w:rFonts w:ascii="Times New Roman" w:hAnsi="Times New Roman"/>
          <w:szCs w:val="32"/>
        </w:rPr>
      </w:pPr>
      <w:r>
        <w:rPr>
          <w:rFonts w:ascii="Times New Roman" w:hAnsi="Times New Roman"/>
          <w:szCs w:val="32"/>
        </w:rPr>
        <w:t>按照“田成方、林成网、路相连、旱能灌、涝能排、渍能降”的标准，建设兼具社会效益与经济效益的高标准农田，有序推进全域高标准农田建设工作。</w:t>
      </w:r>
    </w:p>
    <w:p w14:paraId="27F1564A">
      <w:pPr>
        <w:pStyle w:val="36"/>
        <w:ind w:firstLine="640"/>
        <w:rPr>
          <w:rFonts w:ascii="Times New Roman" w:hAnsi="Times New Roman"/>
          <w:szCs w:val="32"/>
        </w:rPr>
      </w:pPr>
      <w:r>
        <w:rPr>
          <w:rFonts w:ascii="Times New Roman" w:hAnsi="Times New Roman"/>
          <w:szCs w:val="32"/>
        </w:rPr>
        <w:t>按照耕地增加、用地节约、要素集聚、布局优化的要求，以整体推进山、水、林、田、湖、草综合整治为平台，改善农田基础设施，大力提升防洪、排涝等抵御自然灾害的能力，提升土地集约利用水平，提高粮食综合生产能力。</w:t>
      </w:r>
    </w:p>
    <w:p w14:paraId="70882534">
      <w:pPr>
        <w:pStyle w:val="36"/>
        <w:ind w:firstLine="640"/>
        <w:rPr>
          <w:rFonts w:ascii="Times New Roman" w:hAnsi="Times New Roman"/>
          <w:szCs w:val="32"/>
        </w:rPr>
      </w:pPr>
      <w:r>
        <w:rPr>
          <w:rFonts w:ascii="Times New Roman" w:hAnsi="Times New Roman"/>
          <w:szCs w:val="32"/>
        </w:rPr>
        <w:t>（二）大力加强耕地质量建设</w:t>
      </w:r>
    </w:p>
    <w:p w14:paraId="3208314E">
      <w:pPr>
        <w:pStyle w:val="36"/>
        <w:ind w:firstLine="640"/>
        <w:rPr>
          <w:rFonts w:ascii="Times New Roman" w:hAnsi="Times New Roman"/>
          <w:szCs w:val="32"/>
        </w:rPr>
      </w:pPr>
      <w:r>
        <w:rPr>
          <w:rFonts w:ascii="Times New Roman" w:hAnsi="Times New Roman"/>
          <w:szCs w:val="32"/>
        </w:rPr>
        <w:t>严格按照农田整治工程标准，加大中、低质量等级耕地的改造力度。推进土地平整工程，规整田块，改善农业机械化作业条件。完善田间道路系统，优化田间道</w:t>
      </w:r>
      <w:r>
        <w:rPr>
          <w:rFonts w:hint="eastAsia" w:ascii="Times New Roman" w:hAnsi="Times New Roman"/>
          <w:szCs w:val="32"/>
        </w:rPr>
        <w:t>路</w:t>
      </w:r>
      <w:r>
        <w:rPr>
          <w:rFonts w:ascii="Times New Roman" w:hAnsi="Times New Roman"/>
          <w:szCs w:val="32"/>
        </w:rPr>
        <w:t>、生产路布局，提高道路的荷载标准和通达度。加强田间灌溉与排水工程建设，提高耕地灌溉面积比例和渠系水利用系数，增强农田防洪排涝能力。</w:t>
      </w:r>
    </w:p>
    <w:p w14:paraId="7F584916">
      <w:pPr>
        <w:pStyle w:val="36"/>
        <w:ind w:firstLine="640"/>
        <w:rPr>
          <w:rFonts w:ascii="Times New Roman" w:hAnsi="Times New Roman"/>
          <w:szCs w:val="32"/>
        </w:rPr>
      </w:pPr>
      <w:r>
        <w:rPr>
          <w:rFonts w:ascii="Times New Roman" w:hAnsi="Times New Roman"/>
          <w:szCs w:val="32"/>
        </w:rPr>
        <w:t>（三）积极开展其他农用地整治</w:t>
      </w:r>
    </w:p>
    <w:p w14:paraId="78F8C354">
      <w:pPr>
        <w:pStyle w:val="36"/>
        <w:ind w:firstLine="640"/>
        <w:rPr>
          <w:rFonts w:ascii="Times New Roman" w:hAnsi="Times New Roman"/>
          <w:szCs w:val="32"/>
        </w:rPr>
      </w:pPr>
      <w:r>
        <w:rPr>
          <w:rFonts w:ascii="Times New Roman" w:hAnsi="Times New Roman"/>
          <w:szCs w:val="32"/>
        </w:rPr>
        <w:t>发挥土地整治对农业结构调整的引导作用，在稳定和增加耕地面积的基础上，合理配置其他农用地，充分利用荒山、荒地发展经济作物，提高农用地利用效率和效益。</w:t>
      </w:r>
    </w:p>
    <w:p w14:paraId="7A6A74E8">
      <w:pPr>
        <w:pStyle w:val="36"/>
        <w:ind w:firstLine="640"/>
        <w:rPr>
          <w:rFonts w:ascii="Times New Roman" w:hAnsi="Times New Roman"/>
          <w:szCs w:val="32"/>
        </w:rPr>
      </w:pPr>
      <w:r>
        <w:rPr>
          <w:rFonts w:ascii="Times New Roman" w:hAnsi="Times New Roman"/>
          <w:szCs w:val="32"/>
        </w:rPr>
        <w:t>统筹安排农业用地，充分发挥林牧等农用地的生产、生态、景观和间隔的综合功能，拓展绿色空间。加强低效林地的改造，加快受损林地的恢复、重建。</w:t>
      </w:r>
    </w:p>
    <w:p w14:paraId="6113F12C">
      <w:pPr>
        <w:pStyle w:val="5"/>
        <w:numPr>
          <w:ilvl w:val="1"/>
          <w:numId w:val="0"/>
        </w:numPr>
        <w:spacing w:before="217" w:after="217"/>
        <w:rPr>
          <w:b/>
          <w:bCs w:val="0"/>
          <w:kern w:val="0"/>
        </w:rPr>
      </w:pPr>
      <w:bookmarkStart w:id="179" w:name="_Toc183862549"/>
      <w:bookmarkStart w:id="180" w:name="_Toc183863165"/>
      <w:bookmarkStart w:id="181" w:name="_Toc7940"/>
      <w:r>
        <w:rPr>
          <w:bCs w:val="0"/>
          <w:kern w:val="0"/>
        </w:rPr>
        <w:t>第三节 建设用地整治</w:t>
      </w:r>
      <w:bookmarkEnd w:id="179"/>
      <w:bookmarkEnd w:id="180"/>
      <w:bookmarkEnd w:id="181"/>
    </w:p>
    <w:p w14:paraId="55181FCA">
      <w:pPr>
        <w:pStyle w:val="6"/>
        <w:numPr>
          <w:ilvl w:val="0"/>
          <w:numId w:val="1"/>
        </w:numPr>
        <w:spacing w:before="217" w:after="217"/>
      </w:pPr>
      <w:bookmarkStart w:id="182" w:name="_Toc17888"/>
      <w:r>
        <w:t>镇政府驻地建设用地</w:t>
      </w:r>
      <w:bookmarkEnd w:id="182"/>
    </w:p>
    <w:p w14:paraId="19887D6C">
      <w:pPr>
        <w:ind w:firstLine="640"/>
        <w:rPr>
          <w:rFonts w:ascii="Times New Roman" w:hAnsi="Times New Roman"/>
          <w:szCs w:val="32"/>
        </w:rPr>
      </w:pPr>
      <w:r>
        <w:rPr>
          <w:rFonts w:ascii="Times New Roman" w:hAnsi="Times New Roman"/>
          <w:szCs w:val="32"/>
        </w:rPr>
        <w:t xml:space="preserve">在集中建设区内对存量建设用地和低效能建设用地进行梳理，明确可更新改造区域的位置、规模、范围和功能指引。 </w:t>
      </w:r>
    </w:p>
    <w:p w14:paraId="24406770">
      <w:pPr>
        <w:pStyle w:val="6"/>
        <w:numPr>
          <w:ilvl w:val="0"/>
          <w:numId w:val="1"/>
        </w:numPr>
        <w:spacing w:before="217" w:after="217"/>
      </w:pPr>
      <w:bookmarkStart w:id="183" w:name="_Toc28809"/>
      <w:r>
        <w:t>农村建设用地</w:t>
      </w:r>
      <w:bookmarkEnd w:id="183"/>
    </w:p>
    <w:p w14:paraId="55CCE6F0">
      <w:pPr>
        <w:pStyle w:val="36"/>
        <w:ind w:firstLine="640"/>
        <w:rPr>
          <w:rFonts w:ascii="Times New Roman" w:hAnsi="Times New Roman"/>
          <w:szCs w:val="32"/>
        </w:rPr>
      </w:pPr>
      <w:r>
        <w:rPr>
          <w:rFonts w:ascii="Times New Roman" w:hAnsi="Times New Roman"/>
          <w:szCs w:val="32"/>
        </w:rPr>
        <w:t>对居民点建成区内部用地进行更新和改造，提高使用功能、景观和环境质量，提升整体形象和居住条件。有序开展宅基地优化整理，充分利用现状集体经营性建设用地。在村屯居民点建设用地规划范围内，可优先将腾退的宅基地等闲散建设用地，集中用于农业产业发展。</w:t>
      </w:r>
    </w:p>
    <w:p w14:paraId="30C46852">
      <w:pPr>
        <w:pStyle w:val="36"/>
        <w:ind w:firstLine="640"/>
        <w:rPr>
          <w:rFonts w:ascii="Times New Roman" w:hAnsi="Times New Roman"/>
          <w:szCs w:val="32"/>
        </w:rPr>
      </w:pPr>
      <w:r>
        <w:rPr>
          <w:rFonts w:ascii="Times New Roman" w:hAnsi="Times New Roman"/>
          <w:szCs w:val="32"/>
        </w:rPr>
        <w:t>加强居民点内部风貌整治引导。改善居民点公共环境，开展庭院环境整治，解决脏乱差问题，发展庭院经济，实现乡镇形象和居民收入双提升。突出乡土特色、民族特色，弘扬农耕文化，新建房屋严格控制体量和风貌，已有房屋结合质量安全改造提升风貌，传统建筑在严格保护的前提下加以修缮。实施国土绿化行动，开展居民点街巷绿化，因地制宜种植树木花草，提高居民点绿化水平。</w:t>
      </w:r>
    </w:p>
    <w:p w14:paraId="79E2D12D">
      <w:pPr>
        <w:pStyle w:val="36"/>
        <w:ind w:firstLine="640"/>
        <w:rPr>
          <w:rFonts w:ascii="Times New Roman" w:hAnsi="Times New Roman"/>
          <w:szCs w:val="32"/>
        </w:rPr>
      </w:pPr>
      <w:r>
        <w:rPr>
          <w:rFonts w:ascii="Times New Roman" w:hAnsi="Times New Roman"/>
          <w:szCs w:val="32"/>
        </w:rPr>
        <w:t>加强居民点基础设施，进一步配套道路建设、自来水供给、污水处理、公共交通、宽带网络、电气等基础设施。统筹垃圾处置点和污水处理设施的规划布局，因地制宜发展分散型、生态型的小型垃圾污水处理设施。</w:t>
      </w:r>
    </w:p>
    <w:p w14:paraId="0D7F9ED1">
      <w:pPr>
        <w:pStyle w:val="36"/>
        <w:ind w:firstLine="640"/>
        <w:rPr>
          <w:rFonts w:ascii="Times New Roman" w:hAnsi="Times New Roman"/>
          <w:szCs w:val="32"/>
        </w:rPr>
      </w:pPr>
      <w:r>
        <w:rPr>
          <w:rFonts w:ascii="Times New Roman" w:hAnsi="Times New Roman"/>
          <w:szCs w:val="32"/>
        </w:rPr>
        <w:t>加强各级居民点建筑控制和规范管理，包括建筑物高度、密度、外观等的规划和管理，提高建筑的品质和城市形象。优化乡镇整体交通组织和交通流量，同时加强停车场规划与管理，提升交通便利性和出行效率。改善各级居民点设施与服务水平，包括教育、医疗、文化、体育等公共服务设施。</w:t>
      </w:r>
    </w:p>
    <w:p w14:paraId="73FC67F4">
      <w:pPr>
        <w:pStyle w:val="4"/>
        <w:numPr>
          <w:ilvl w:val="0"/>
          <w:numId w:val="2"/>
        </w:numPr>
        <w:tabs>
          <w:tab w:val="left" w:pos="0"/>
        </w:tabs>
        <w:spacing w:before="217" w:after="217"/>
        <w:rPr>
          <w:b/>
          <w:bCs w:val="0"/>
          <w:kern w:val="2"/>
          <w:szCs w:val="36"/>
        </w:rPr>
      </w:pPr>
      <w:r>
        <w:rPr>
          <w:sz w:val="32"/>
          <w:szCs w:val="32"/>
        </w:rPr>
        <w:br w:type="page"/>
      </w:r>
      <w:bookmarkStart w:id="184" w:name="_Toc183863391"/>
      <w:bookmarkStart w:id="185" w:name="_Toc183863166"/>
      <w:bookmarkStart w:id="186" w:name="_Toc183862550"/>
      <w:bookmarkStart w:id="187" w:name="_Toc14188"/>
      <w:r>
        <w:rPr>
          <w:bCs w:val="0"/>
          <w:kern w:val="2"/>
          <w:szCs w:val="36"/>
        </w:rPr>
        <w:t>第十章 规划传导与实施</w:t>
      </w:r>
      <w:bookmarkEnd w:id="184"/>
      <w:bookmarkEnd w:id="185"/>
      <w:bookmarkEnd w:id="186"/>
      <w:bookmarkEnd w:id="187"/>
    </w:p>
    <w:p w14:paraId="352CE60A">
      <w:pPr>
        <w:pStyle w:val="5"/>
        <w:numPr>
          <w:ilvl w:val="1"/>
          <w:numId w:val="0"/>
        </w:numPr>
        <w:spacing w:before="217" w:after="217"/>
        <w:rPr>
          <w:b/>
          <w:bCs w:val="0"/>
          <w:kern w:val="0"/>
        </w:rPr>
      </w:pPr>
      <w:bookmarkStart w:id="188" w:name="_Toc183862551"/>
      <w:bookmarkStart w:id="189" w:name="_Toc183863167"/>
      <w:bookmarkStart w:id="190" w:name="_Toc183863525"/>
      <w:bookmarkStart w:id="191" w:name="_Toc5551"/>
      <w:r>
        <w:rPr>
          <w:bCs w:val="0"/>
          <w:kern w:val="0"/>
        </w:rPr>
        <w:t>第一节 规划传导与管控</w:t>
      </w:r>
      <w:bookmarkEnd w:id="188"/>
      <w:bookmarkEnd w:id="189"/>
      <w:bookmarkEnd w:id="190"/>
      <w:bookmarkEnd w:id="191"/>
    </w:p>
    <w:p w14:paraId="1681E4C7">
      <w:pPr>
        <w:pStyle w:val="6"/>
        <w:numPr>
          <w:ilvl w:val="0"/>
          <w:numId w:val="1"/>
        </w:numPr>
        <w:spacing w:before="217" w:after="217"/>
      </w:pPr>
      <w:r>
        <w:t>城镇开发边界内管控</w:t>
      </w:r>
    </w:p>
    <w:p w14:paraId="1032634A">
      <w:pPr>
        <w:ind w:firstLine="640"/>
        <w:rPr>
          <w:rFonts w:ascii="Times New Roman" w:hAnsi="Times New Roman"/>
          <w:szCs w:val="32"/>
        </w:rPr>
      </w:pPr>
      <w:r>
        <w:rPr>
          <w:rFonts w:ascii="Times New Roman" w:hAnsi="Times New Roman"/>
          <w:szCs w:val="32"/>
        </w:rPr>
        <w:t>明确需要向各编制单元传导的功能定位、核心指标、管控边界和要求。其中建设用地规模、容积率、建筑密度以及绿地和水域面积、道路网密度等应作为约束性指标向下传递，城市黄线、蓝线、绿线、紫线以及城市快速路和主次干路的走向、红线宽度应作为刚性要素层层落实。总体规划层面无法具体落位的公共服务设施和市政基础设施，应对总量、结构、布局等提出分解落实要求。根据不同控制单元主导功能，提出差异化的引导要求，生活区应突出不同等级社区生活圈的构建，生产区应突出土地效能的提升，生态区应突出生态价值的发挥。还应对高度、风貌等空间形态、历史遗产保护、城市设计及其他内容提出控制引导要求。</w:t>
      </w:r>
    </w:p>
    <w:p w14:paraId="2E4CDB89">
      <w:pPr>
        <w:pStyle w:val="5"/>
        <w:numPr>
          <w:ilvl w:val="1"/>
          <w:numId w:val="0"/>
        </w:numPr>
        <w:spacing w:before="217" w:after="217"/>
        <w:rPr>
          <w:b/>
          <w:bCs w:val="0"/>
          <w:kern w:val="0"/>
        </w:rPr>
      </w:pPr>
      <w:bookmarkStart w:id="192" w:name="_Toc183863168"/>
      <w:bookmarkStart w:id="193" w:name="_Toc183863526"/>
      <w:bookmarkStart w:id="194" w:name="_Toc183862552"/>
      <w:bookmarkStart w:id="195" w:name="_Toc17764"/>
      <w:r>
        <w:rPr>
          <w:bCs w:val="0"/>
          <w:kern w:val="0"/>
        </w:rPr>
        <w:t>第二节 规划实施</w:t>
      </w:r>
      <w:bookmarkEnd w:id="192"/>
      <w:bookmarkEnd w:id="193"/>
      <w:bookmarkEnd w:id="194"/>
      <w:bookmarkEnd w:id="195"/>
    </w:p>
    <w:p w14:paraId="558EE272">
      <w:pPr>
        <w:pStyle w:val="6"/>
        <w:numPr>
          <w:ilvl w:val="0"/>
          <w:numId w:val="1"/>
        </w:numPr>
        <w:spacing w:before="217" w:after="217"/>
      </w:pPr>
      <w:r>
        <w:t>近期建设目标</w:t>
      </w:r>
    </w:p>
    <w:p w14:paraId="65921AC9">
      <w:pPr>
        <w:pStyle w:val="36"/>
        <w:ind w:firstLine="640"/>
        <w:rPr>
          <w:rFonts w:ascii="Times New Roman" w:hAnsi="Times New Roman"/>
          <w:szCs w:val="32"/>
        </w:rPr>
      </w:pPr>
      <w:r>
        <w:rPr>
          <w:rFonts w:ascii="Times New Roman" w:hAnsi="Times New Roman"/>
          <w:szCs w:val="32"/>
        </w:rPr>
        <w:t>按照统一标准和要求，开展乡镇国土空间总体规划数据库建设，并及时逐级向上级自然资源主管部门汇交和更新，形成可层层叠加打开的、动态更新、权威统一的全域国土空间规划“一张图”，为统一国土空间用途管制、实施建设项目规划许可、强化规划实施监督提供依据和支撑。</w:t>
      </w:r>
    </w:p>
    <w:p w14:paraId="311A7606">
      <w:pPr>
        <w:pStyle w:val="6"/>
        <w:numPr>
          <w:ilvl w:val="0"/>
          <w:numId w:val="1"/>
        </w:numPr>
        <w:spacing w:before="217" w:after="217"/>
      </w:pPr>
      <w:r>
        <w:t>重点建设项目</w:t>
      </w:r>
    </w:p>
    <w:p w14:paraId="5F2E9853">
      <w:pPr>
        <w:pStyle w:val="36"/>
        <w:ind w:firstLine="640"/>
        <w:rPr>
          <w:rFonts w:ascii="Times New Roman" w:hAnsi="Times New Roman"/>
          <w:szCs w:val="32"/>
        </w:rPr>
      </w:pPr>
      <w:r>
        <w:rPr>
          <w:rFonts w:ascii="Times New Roman" w:hAnsi="Times New Roman"/>
          <w:szCs w:val="32"/>
        </w:rPr>
        <w:t>依托桦川县国民经济和社会发展</w:t>
      </w:r>
      <w:r>
        <w:rPr>
          <w:rFonts w:hint="eastAsia" w:ascii="Times New Roman" w:hAnsi="Times New Roman"/>
          <w:szCs w:val="32"/>
        </w:rPr>
        <w:t>“十四五”规划</w:t>
      </w:r>
      <w:r>
        <w:rPr>
          <w:rFonts w:ascii="Times New Roman" w:hAnsi="Times New Roman"/>
          <w:szCs w:val="32"/>
        </w:rPr>
        <w:t>，落实桦川县国土空间总体规划近期重点建设项目，保障规划实施期间的重点项目建设用地需求，对近期的国土空间开发、保护、利用项目做出安排并制定近期实施计划，切实为近期重点项目用地提</w:t>
      </w:r>
      <w:r>
        <w:rPr>
          <w:rFonts w:hint="eastAsia" w:ascii="Times New Roman" w:hAnsi="Times New Roman"/>
          <w:szCs w:val="32"/>
        </w:rPr>
        <w:t>供</w:t>
      </w:r>
      <w:r>
        <w:rPr>
          <w:rFonts w:ascii="Times New Roman" w:hAnsi="Times New Roman"/>
          <w:szCs w:val="32"/>
        </w:rPr>
        <w:t>保障。按项目类别对重点项目进行分类，涉及交通类、水利类、能源类、电力类、民生类和其他项目等51个。（详见表8）</w:t>
      </w:r>
    </w:p>
    <w:p w14:paraId="19968152">
      <w:pPr>
        <w:pStyle w:val="5"/>
        <w:numPr>
          <w:ilvl w:val="1"/>
          <w:numId w:val="0"/>
        </w:numPr>
        <w:spacing w:before="217" w:after="217"/>
        <w:rPr>
          <w:bCs w:val="0"/>
          <w:kern w:val="0"/>
        </w:rPr>
      </w:pPr>
      <w:bookmarkStart w:id="196" w:name="_Toc183862553"/>
      <w:bookmarkStart w:id="197" w:name="_Toc183863169"/>
      <w:bookmarkStart w:id="198" w:name="_Toc183863527"/>
      <w:bookmarkStart w:id="199" w:name="_Toc21498"/>
      <w:r>
        <w:rPr>
          <w:bCs w:val="0"/>
          <w:kern w:val="0"/>
        </w:rPr>
        <w:t>第三节 实施保障</w:t>
      </w:r>
      <w:bookmarkEnd w:id="196"/>
      <w:bookmarkEnd w:id="197"/>
      <w:bookmarkEnd w:id="198"/>
      <w:bookmarkEnd w:id="199"/>
    </w:p>
    <w:p w14:paraId="3DEBE01C">
      <w:pPr>
        <w:pStyle w:val="36"/>
        <w:spacing w:line="560" w:lineRule="exact"/>
        <w:ind w:firstLine="640"/>
        <w:rPr>
          <w:rFonts w:ascii="Times New Roman" w:hAnsi="Times New Roman"/>
          <w:szCs w:val="32"/>
        </w:rPr>
      </w:pPr>
      <w:r>
        <w:rPr>
          <w:rFonts w:ascii="Times New Roman" w:hAnsi="Times New Roman"/>
          <w:szCs w:val="32"/>
        </w:rPr>
        <w:t>（一）落实党委和政府国土空间规划管理主体责任</w:t>
      </w:r>
    </w:p>
    <w:p w14:paraId="1D016A4A">
      <w:pPr>
        <w:pStyle w:val="36"/>
        <w:spacing w:line="560" w:lineRule="exact"/>
        <w:ind w:firstLine="640"/>
        <w:rPr>
          <w:rFonts w:ascii="Times New Roman" w:hAnsi="Times New Roman"/>
          <w:szCs w:val="32"/>
        </w:rPr>
      </w:pPr>
      <w:r>
        <w:rPr>
          <w:rFonts w:ascii="Times New Roman" w:hAnsi="Times New Roman"/>
          <w:szCs w:val="32"/>
        </w:rPr>
        <w:t>充分发挥党总揽全局、协调各方的领导核心作用，把党的领导贯彻到国土空间规划编制实施全过程各领域各环节。落实各级党委和政府国土空间规划管理主体责任，坚持“多规合一”，强化规划严肃性，规划一经批准，任何部门和个人不得随意修改，违规变更。</w:t>
      </w:r>
    </w:p>
    <w:p w14:paraId="5A5763BC">
      <w:pPr>
        <w:pStyle w:val="36"/>
        <w:spacing w:line="560" w:lineRule="exact"/>
        <w:ind w:firstLine="640"/>
        <w:rPr>
          <w:rFonts w:ascii="Times New Roman" w:hAnsi="Times New Roman"/>
          <w:szCs w:val="32"/>
        </w:rPr>
      </w:pPr>
      <w:r>
        <w:rPr>
          <w:rFonts w:ascii="Times New Roman" w:hAnsi="Times New Roman"/>
          <w:szCs w:val="32"/>
        </w:rPr>
        <w:t>加强部门上下联动。按照国土空间规划体系框架，建立编制实施本级国土空间规划的共同责任机制。镇域相关部门共同落实好本级国土空间规划的主要目标指标和管控要求。</w:t>
      </w:r>
    </w:p>
    <w:p w14:paraId="659A0EBE">
      <w:pPr>
        <w:pStyle w:val="36"/>
        <w:spacing w:line="560" w:lineRule="exact"/>
        <w:ind w:firstLine="640"/>
        <w:rPr>
          <w:rFonts w:ascii="Times New Roman" w:hAnsi="Times New Roman"/>
          <w:szCs w:val="32"/>
        </w:rPr>
      </w:pPr>
      <w:r>
        <w:rPr>
          <w:rFonts w:ascii="Times New Roman" w:hAnsi="Times New Roman"/>
          <w:szCs w:val="32"/>
        </w:rPr>
        <w:t>（二）健全配套政策机制</w:t>
      </w:r>
    </w:p>
    <w:p w14:paraId="62347AFE">
      <w:pPr>
        <w:pStyle w:val="36"/>
        <w:spacing w:line="560" w:lineRule="exact"/>
        <w:ind w:firstLine="640"/>
        <w:rPr>
          <w:rFonts w:ascii="Times New Roman" w:hAnsi="Times New Roman"/>
          <w:szCs w:val="32"/>
        </w:rPr>
      </w:pPr>
      <w:r>
        <w:rPr>
          <w:rFonts w:ascii="Times New Roman" w:hAnsi="Times New Roman"/>
          <w:szCs w:val="32"/>
        </w:rPr>
        <w:t>深化研究并制定国土空间规划全流程中自然资源管理等相关政策措施、实施细则及实施保障机制，提高保障力度。</w:t>
      </w:r>
    </w:p>
    <w:p w14:paraId="125F58AA">
      <w:pPr>
        <w:pStyle w:val="36"/>
        <w:spacing w:line="560" w:lineRule="exact"/>
        <w:ind w:firstLine="640"/>
        <w:rPr>
          <w:rFonts w:ascii="Times New Roman" w:hAnsi="Times New Roman"/>
          <w:szCs w:val="32"/>
        </w:rPr>
      </w:pPr>
      <w:r>
        <w:rPr>
          <w:rFonts w:ascii="Times New Roman" w:hAnsi="Times New Roman"/>
          <w:szCs w:val="32"/>
        </w:rPr>
        <w:t>（三）保障重点项目实施</w:t>
      </w:r>
    </w:p>
    <w:p w14:paraId="6ED924EE">
      <w:pPr>
        <w:pStyle w:val="36"/>
        <w:spacing w:line="560" w:lineRule="exact"/>
        <w:ind w:firstLine="640"/>
        <w:rPr>
          <w:rFonts w:ascii="Times New Roman" w:hAnsi="Times New Roman"/>
          <w:szCs w:val="32"/>
        </w:rPr>
      </w:pPr>
      <w:r>
        <w:rPr>
          <w:rFonts w:ascii="Times New Roman" w:hAnsi="Times New Roman"/>
          <w:szCs w:val="32"/>
        </w:rPr>
        <w:t>落实佳木斯市及桦川县重大战略，为发展规划落地实施提供空间保障，按照市级重大项目管理要求，对纳入项目库的建设项目予以国土空间资源保障和政策支持。</w:t>
      </w:r>
    </w:p>
    <w:p w14:paraId="1B6AC0FD">
      <w:pPr>
        <w:pStyle w:val="36"/>
        <w:spacing w:line="560" w:lineRule="exact"/>
        <w:ind w:firstLine="640"/>
        <w:rPr>
          <w:rFonts w:ascii="Times New Roman" w:hAnsi="Times New Roman"/>
          <w:szCs w:val="32"/>
        </w:rPr>
      </w:pPr>
      <w:r>
        <w:rPr>
          <w:rFonts w:ascii="Times New Roman" w:hAnsi="Times New Roman"/>
          <w:szCs w:val="32"/>
        </w:rPr>
        <w:t>（四）坚持公众参与和社会协同机制</w:t>
      </w:r>
    </w:p>
    <w:p w14:paraId="697A6D91">
      <w:pPr>
        <w:pStyle w:val="36"/>
        <w:spacing w:line="560" w:lineRule="exact"/>
        <w:ind w:firstLine="640"/>
        <w:rPr>
          <w:rFonts w:ascii="Times New Roman" w:hAnsi="Times New Roman"/>
          <w:szCs w:val="32"/>
        </w:rPr>
      </w:pPr>
      <w:r>
        <w:rPr>
          <w:rFonts w:ascii="Times New Roman" w:hAnsi="Times New Roman"/>
          <w:szCs w:val="32"/>
        </w:rPr>
        <w:t>在规划编制阶段，广泛调研社会各界意见和需求，深入了解人民群众所需所急所盼；完善部门协作机制，共同推进规划编制工作。在方案论证阶段，要形成通俗易懂可视化的中间成果，充分征求有关部门、社会各界意见。规划获批后，应在符合国家保密管理和地图管理等有关规定的基础上及时公开，并接受社会公众监督。</w:t>
      </w:r>
    </w:p>
    <w:p w14:paraId="25204EFD">
      <w:pPr>
        <w:pStyle w:val="4"/>
        <w:numPr>
          <w:ilvl w:val="0"/>
          <w:numId w:val="2"/>
        </w:numPr>
        <w:tabs>
          <w:tab w:val="left" w:pos="0"/>
        </w:tabs>
        <w:spacing w:before="217" w:after="217"/>
        <w:rPr>
          <w:b/>
          <w:bCs w:val="0"/>
          <w:kern w:val="2"/>
          <w:szCs w:val="36"/>
        </w:rPr>
      </w:pPr>
      <w:r>
        <w:rPr>
          <w:sz w:val="32"/>
          <w:szCs w:val="32"/>
        </w:rPr>
        <w:br w:type="page"/>
      </w:r>
      <w:bookmarkStart w:id="200" w:name="_Toc183862554"/>
      <w:bookmarkStart w:id="201" w:name="_Toc183863170"/>
      <w:bookmarkStart w:id="202" w:name="_Toc183863392"/>
      <w:bookmarkStart w:id="203" w:name="_Toc6019"/>
      <w:r>
        <w:rPr>
          <w:bCs w:val="0"/>
          <w:kern w:val="2"/>
          <w:szCs w:val="36"/>
        </w:rPr>
        <w:t>第十一章 村庄“通则式”规划管理规定</w:t>
      </w:r>
      <w:bookmarkEnd w:id="200"/>
      <w:bookmarkEnd w:id="201"/>
      <w:bookmarkEnd w:id="202"/>
      <w:bookmarkEnd w:id="203"/>
    </w:p>
    <w:p w14:paraId="63831254">
      <w:pPr>
        <w:pStyle w:val="36"/>
        <w:ind w:firstLine="640"/>
        <w:rPr>
          <w:rFonts w:ascii="Times New Roman" w:hAnsi="Times New Roman"/>
          <w:szCs w:val="32"/>
        </w:rPr>
      </w:pPr>
      <w:r>
        <w:rPr>
          <w:rFonts w:ascii="Times New Roman" w:hAnsi="Times New Roman"/>
          <w:szCs w:val="32"/>
        </w:rPr>
        <w:t>村庄</w:t>
      </w:r>
      <w:r>
        <w:rPr>
          <w:rFonts w:hint="eastAsia" w:ascii="Times New Roman" w:hAnsi="Times New Roman"/>
          <w:szCs w:val="32"/>
        </w:rPr>
        <w:t>“</w:t>
      </w:r>
      <w:r>
        <w:rPr>
          <w:rFonts w:ascii="Times New Roman" w:hAnsi="Times New Roman"/>
          <w:szCs w:val="32"/>
        </w:rPr>
        <w:t>通则式</w:t>
      </w:r>
      <w:r>
        <w:rPr>
          <w:rFonts w:hint="eastAsia" w:ascii="Times New Roman" w:hAnsi="Times New Roman"/>
          <w:szCs w:val="32"/>
        </w:rPr>
        <w:t>”</w:t>
      </w:r>
      <w:r>
        <w:rPr>
          <w:rFonts w:ascii="Times New Roman" w:hAnsi="Times New Roman"/>
          <w:szCs w:val="32"/>
        </w:rPr>
        <w:t>规划管理规定适用于城镇开发边界外暂不编制村庄规划的村庄，村庄建设项目的规划管理</w:t>
      </w:r>
      <w:r>
        <w:rPr>
          <w:rFonts w:hint="eastAsia" w:ascii="Times New Roman" w:hAnsi="Times New Roman"/>
          <w:szCs w:val="32"/>
        </w:rPr>
        <w:t>，</w:t>
      </w:r>
      <w:r>
        <w:rPr>
          <w:rFonts w:ascii="Times New Roman" w:hAnsi="Times New Roman"/>
          <w:szCs w:val="32"/>
        </w:rPr>
        <w:t>主要包括宅</w:t>
      </w:r>
      <w:r>
        <w:rPr>
          <w:rFonts w:hint="eastAsia" w:ascii="Times New Roman" w:hAnsi="Times New Roman"/>
          <w:szCs w:val="32"/>
        </w:rPr>
        <w:t>基</w:t>
      </w:r>
      <w:r>
        <w:rPr>
          <w:rFonts w:ascii="Times New Roman" w:hAnsi="Times New Roman"/>
          <w:szCs w:val="32"/>
        </w:rPr>
        <w:t>地、</w:t>
      </w:r>
      <w:r>
        <w:rPr>
          <w:rFonts w:hint="eastAsia" w:ascii="Times New Roman" w:hAnsi="Times New Roman"/>
          <w:szCs w:val="32"/>
        </w:rPr>
        <w:t>公共服务</w:t>
      </w:r>
      <w:r>
        <w:rPr>
          <w:rFonts w:ascii="Times New Roman" w:hAnsi="Times New Roman"/>
          <w:szCs w:val="32"/>
        </w:rPr>
        <w:t>设施用地、乡村产业用地</w:t>
      </w:r>
      <w:r>
        <w:rPr>
          <w:rFonts w:hint="eastAsia" w:ascii="Times New Roman" w:hAnsi="Times New Roman"/>
          <w:szCs w:val="32"/>
        </w:rPr>
        <w:t>、基础设施用地</w:t>
      </w:r>
      <w:r>
        <w:rPr>
          <w:rFonts w:ascii="Times New Roman" w:hAnsi="Times New Roman"/>
          <w:szCs w:val="32"/>
        </w:rPr>
        <w:t>等各类项目的新建、改建、扩建。</w:t>
      </w:r>
      <w:r>
        <w:rPr>
          <w:rFonts w:hint="eastAsia" w:ascii="Times New Roman" w:hAnsi="Times New Roman"/>
          <w:szCs w:val="32"/>
        </w:rPr>
        <w:t>已编制并</w:t>
      </w:r>
      <w:r>
        <w:rPr>
          <w:rFonts w:ascii="Times New Roman" w:hAnsi="Times New Roman"/>
          <w:szCs w:val="32"/>
        </w:rPr>
        <w:t>依法批准详细规划（村庄规划）</w:t>
      </w:r>
      <w:r>
        <w:rPr>
          <w:rFonts w:hint="eastAsia" w:ascii="Times New Roman" w:hAnsi="Times New Roman"/>
          <w:szCs w:val="32"/>
        </w:rPr>
        <w:t>的，以</w:t>
      </w:r>
      <w:r>
        <w:rPr>
          <w:rFonts w:ascii="Times New Roman" w:hAnsi="Times New Roman"/>
          <w:szCs w:val="32"/>
        </w:rPr>
        <w:t>详细规划（村庄规划）</w:t>
      </w:r>
      <w:r>
        <w:rPr>
          <w:rFonts w:hint="eastAsia" w:ascii="Times New Roman" w:hAnsi="Times New Roman"/>
          <w:szCs w:val="32"/>
        </w:rPr>
        <w:t>为依据。</w:t>
      </w:r>
    </w:p>
    <w:p w14:paraId="64231134">
      <w:pPr>
        <w:pStyle w:val="2"/>
        <w:ind w:left="640" w:firstLine="560"/>
        <w:rPr>
          <w:rFonts w:eastAsia="仿宋"/>
          <w:sz w:val="28"/>
          <w:szCs w:val="28"/>
        </w:rPr>
      </w:pPr>
    </w:p>
    <w:sectPr>
      <w:headerReference r:id="rId14" w:type="default"/>
      <w:footerReference r:id="rId15" w:type="default"/>
      <w:pgSz w:w="11906" w:h="16838"/>
      <w:pgMar w:top="1440" w:right="1800" w:bottom="1440" w:left="1800" w:header="851" w:footer="992" w:gutter="0"/>
      <w:pgNumType w:start="1"/>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_GBK">
    <w:panose1 w:val="02000000000000000000"/>
    <w:charset w:val="86"/>
    <w:family w:val="script"/>
    <w:pitch w:val="default"/>
    <w:sig w:usb0="A00002BF" w:usb1="38CF7CFA" w:usb2="00082016" w:usb3="00000000" w:csb0="00040001"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964475">
    <w:pPr>
      <w:pStyle w:val="18"/>
      <w:ind w:firstLine="360"/>
      <w:jc w:val="center"/>
    </w:pPr>
  </w:p>
  <w:p w14:paraId="02CD081C">
    <w:pPr>
      <w:pStyle w:val="18"/>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52CA43">
    <w:pPr>
      <w:pStyle w:val="18"/>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D394CE">
    <w:pPr>
      <w:pStyle w:val="18"/>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38975222"/>
      <w:docPartObj>
        <w:docPartGallery w:val="autotext"/>
      </w:docPartObj>
    </w:sdtPr>
    <w:sdtContent>
      <w:p w14:paraId="591DB1A2">
        <w:pPr>
          <w:pStyle w:val="18"/>
          <w:ind w:firstLine="360"/>
          <w:jc w:val="center"/>
        </w:pPr>
        <w:r>
          <w:fldChar w:fldCharType="begin"/>
        </w:r>
        <w:r>
          <w:instrText xml:space="preserve">PAGE   \* MERGEFORMAT</w:instrText>
        </w:r>
        <w:r>
          <w:fldChar w:fldCharType="separate"/>
        </w:r>
        <w:r>
          <w:rPr>
            <w:lang w:val="zh-CN"/>
          </w:rPr>
          <w:t>I</w:t>
        </w:r>
        <w:r>
          <w:fldChar w:fldCharType="end"/>
        </w:r>
      </w:p>
    </w:sdtContent>
  </w:sdt>
  <w:p w14:paraId="633469B8">
    <w:pPr>
      <w:pStyle w:val="18"/>
      <w:ind w:firstLine="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BAC66C">
    <w:pPr>
      <w:pStyle w:val="18"/>
      <w:ind w:firstLine="36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286385" cy="3810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286385" cy="381000"/>
                      </a:xfrm>
                      <a:prstGeom prst="rect">
                        <a:avLst/>
                      </a:prstGeom>
                      <a:noFill/>
                      <a:ln>
                        <a:noFill/>
                      </a:ln>
                      <a:effectLst/>
                    </wps:spPr>
                    <wps:txbx>
                      <w:txbxContent>
                        <w:p w14:paraId="7BE1F45F">
                          <w:pPr>
                            <w:pStyle w:val="18"/>
                            <w:ind w:firstLine="360"/>
                            <w:rPr>
                              <w:rFonts w:ascii="Times New Roman" w:hAnsi="Times New Roman"/>
                            </w:rPr>
                          </w:pPr>
                          <w:r>
                            <w:rPr>
                              <w:rFonts w:ascii="Times New Roman" w:hAnsi="Times New Roman"/>
                            </w:rPr>
                            <w:fldChar w:fldCharType="begin"/>
                          </w:r>
                          <w:r>
                            <w:rPr>
                              <w:rFonts w:ascii="Times New Roman" w:hAnsi="Times New Roman"/>
                            </w:rPr>
                            <w:instrText xml:space="preserve"> PAGE  \* MERGEFORMAT </w:instrText>
                          </w:r>
                          <w:r>
                            <w:rPr>
                              <w:rFonts w:ascii="Times New Roman" w:hAnsi="Times New Roman"/>
                            </w:rPr>
                            <w:fldChar w:fldCharType="separate"/>
                          </w:r>
                          <w:r>
                            <w:rPr>
                              <w:rFonts w:ascii="Times New Roman" w:hAnsi="Times New Roman"/>
                            </w:rPr>
                            <w:t>3</w:t>
                          </w:r>
                          <w:r>
                            <w:rPr>
                              <w:rFonts w:ascii="Times New Roman" w:hAnsi="Times New Roman"/>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30pt;width:22.55pt;mso-position-horizontal:center;mso-position-horizontal-relative:margin;mso-wrap-style:none;z-index:251659264;mso-width-relative:page;mso-height-relative:page;" filled="f" stroked="f" coordsize="21600,21600" o:gfxdata="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xzAdL9EAAAADAQAADwAAAAAAAAABACAAAAAiAAAAZHJzL2Rvd25y&#10;ZXYueG1sUEsBAhQAFAAAAAgAh07iQBv890nMAQAAmQMAAA4AAAAAAAAAAQAgAAAAIAEAAGRycy9l&#10;Mm9Eb2MueG1sUEsFBgAAAAAGAAYAWQEAAF4FAAAAAA==&#10;">
              <v:fill on="f" focussize="0,0"/>
              <v:stroke on="f"/>
              <v:imagedata o:title=""/>
              <o:lock v:ext="edit" aspectratio="f"/>
              <v:textbox inset="0mm,0mm,0mm,0mm" style="mso-fit-shape-to-text:t;">
                <w:txbxContent>
                  <w:p w14:paraId="7BE1F45F">
                    <w:pPr>
                      <w:pStyle w:val="18"/>
                      <w:ind w:firstLine="360"/>
                      <w:rPr>
                        <w:rFonts w:ascii="Times New Roman" w:hAnsi="Times New Roman"/>
                      </w:rPr>
                    </w:pPr>
                    <w:r>
                      <w:rPr>
                        <w:rFonts w:ascii="Times New Roman" w:hAnsi="Times New Roman"/>
                      </w:rPr>
                      <w:fldChar w:fldCharType="begin"/>
                    </w:r>
                    <w:r>
                      <w:rPr>
                        <w:rFonts w:ascii="Times New Roman" w:hAnsi="Times New Roman"/>
                      </w:rPr>
                      <w:instrText xml:space="preserve"> PAGE  \* MERGEFORMAT </w:instrText>
                    </w:r>
                    <w:r>
                      <w:rPr>
                        <w:rFonts w:ascii="Times New Roman" w:hAnsi="Times New Roman"/>
                      </w:rPr>
                      <w:fldChar w:fldCharType="separate"/>
                    </w:r>
                    <w:r>
                      <w:rPr>
                        <w:rFonts w:ascii="Times New Roman" w:hAnsi="Times New Roman"/>
                      </w:rPr>
                      <w:t>3</w:t>
                    </w:r>
                    <w:r>
                      <w:rPr>
                        <w:rFonts w:ascii="Times New Roman" w:hAnsi="Times New Roman"/>
                      </w:rP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C1E391">
    <w:pPr>
      <w:pStyle w:val="18"/>
      <w:ind w:firstLine="360"/>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286385" cy="3810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286385" cy="381000"/>
                      </a:xfrm>
                      <a:prstGeom prst="rect">
                        <a:avLst/>
                      </a:prstGeom>
                      <a:noFill/>
                      <a:ln>
                        <a:noFill/>
                      </a:ln>
                      <a:effectLst/>
                    </wps:spPr>
                    <wps:txbx>
                      <w:txbxContent>
                        <w:p w14:paraId="0472BFE0">
                          <w:pPr>
                            <w:pStyle w:val="18"/>
                            <w:ind w:firstLine="360"/>
                            <w:rPr>
                              <w:rFonts w:ascii="Times New Roman" w:hAnsi="Times New Roman"/>
                            </w:rPr>
                          </w:pPr>
                          <w:r>
                            <w:rPr>
                              <w:rFonts w:ascii="Times New Roman" w:hAnsi="Times New Roman"/>
                            </w:rPr>
                            <w:fldChar w:fldCharType="begin"/>
                          </w:r>
                          <w:r>
                            <w:rPr>
                              <w:rFonts w:ascii="Times New Roman" w:hAnsi="Times New Roman"/>
                            </w:rPr>
                            <w:instrText xml:space="preserve"> PAGE  \* MERGEFORMAT </w:instrText>
                          </w:r>
                          <w:r>
                            <w:rPr>
                              <w:rFonts w:ascii="Times New Roman" w:hAnsi="Times New Roman"/>
                            </w:rPr>
                            <w:fldChar w:fldCharType="separate"/>
                          </w:r>
                          <w:r>
                            <w:rPr>
                              <w:rFonts w:ascii="Times New Roman" w:hAnsi="Times New Roman"/>
                            </w:rPr>
                            <w:t>3</w:t>
                          </w:r>
                          <w:r>
                            <w:rPr>
                              <w:rFonts w:ascii="Times New Roman" w:hAnsi="Times New Roman"/>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30pt;width:22.55pt;mso-position-horizontal:center;mso-position-horizontal-relative:margin;mso-wrap-style:none;z-index:251660288;mso-width-relative:page;mso-height-relative:page;" filled="f" stroked="f" coordsize="21600,21600" o:gfxdata="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xzAdL9EAAAADAQAADwAAAAAAAAABACAAAAAiAAAAZHJzL2Rvd25y&#10;ZXYueG1sUEsBAhQAFAAAAAgAh07iQAtXLhHMAQAAmQMAAA4AAAAAAAAAAQAgAAAAIAEAAGRycy9l&#10;Mm9Eb2MueG1sUEsFBgAAAAAGAAYAWQEAAF4FAAAAAA==&#10;">
              <v:fill on="f" focussize="0,0"/>
              <v:stroke on="f"/>
              <v:imagedata o:title=""/>
              <o:lock v:ext="edit" aspectratio="f"/>
              <v:textbox inset="0mm,0mm,0mm,0mm" style="mso-fit-shape-to-text:t;">
                <w:txbxContent>
                  <w:p w14:paraId="0472BFE0">
                    <w:pPr>
                      <w:pStyle w:val="18"/>
                      <w:ind w:firstLine="360"/>
                      <w:rPr>
                        <w:rFonts w:ascii="Times New Roman" w:hAnsi="Times New Roman"/>
                      </w:rPr>
                    </w:pPr>
                    <w:r>
                      <w:rPr>
                        <w:rFonts w:ascii="Times New Roman" w:hAnsi="Times New Roman"/>
                      </w:rPr>
                      <w:fldChar w:fldCharType="begin"/>
                    </w:r>
                    <w:r>
                      <w:rPr>
                        <w:rFonts w:ascii="Times New Roman" w:hAnsi="Times New Roman"/>
                      </w:rPr>
                      <w:instrText xml:space="preserve"> PAGE  \* MERGEFORMAT </w:instrText>
                    </w:r>
                    <w:r>
                      <w:rPr>
                        <w:rFonts w:ascii="Times New Roman" w:hAnsi="Times New Roman"/>
                      </w:rPr>
                      <w:fldChar w:fldCharType="separate"/>
                    </w:r>
                    <w:r>
                      <w:rPr>
                        <w:rFonts w:ascii="Times New Roman" w:hAnsi="Times New Roman"/>
                      </w:rPr>
                      <w:t>3</w:t>
                    </w:r>
                    <w:r>
                      <w:rPr>
                        <w:rFonts w:ascii="Times New Roman" w:hAnsi="Times New Roman"/>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25E3D6">
    <w:pPr>
      <w:spacing w:line="240" w:lineRule="auto"/>
      <w:ind w:firstLine="0" w:firstLineChars="0"/>
      <w:jc w:val="center"/>
      <w:rPr>
        <w:sz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DE4E13">
    <w:pPr>
      <w:pStyle w:val="19"/>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BF78BE">
    <w:pPr>
      <w:pStyle w:val="19"/>
      <w:ind w:firstLine="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F8EFE0">
    <w:pPr>
      <w:ind w:left="640" w:firstLine="0" w:firstLineChars="0"/>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BDD68E">
    <w:pPr>
      <w:ind w:left="640" w:firstLine="0" w:firstLineChars="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163708B"/>
    <w:multiLevelType w:val="multilevel"/>
    <w:tmpl w:val="6163708B"/>
    <w:lvl w:ilvl="0" w:tentative="0">
      <w:start w:val="1"/>
      <w:numFmt w:val="decimal"/>
      <w:suff w:val="space"/>
      <w:lvlText w:val="第%1条"/>
      <w:lvlJc w:val="left"/>
      <w:pPr>
        <w:ind w:left="0" w:firstLine="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6AD06C6B"/>
    <w:multiLevelType w:val="multilevel"/>
    <w:tmpl w:val="6AD06C6B"/>
    <w:lvl w:ilvl="0" w:tentative="0">
      <w:start w:val="1"/>
      <w:numFmt w:val="decimal"/>
      <w:suff w:val="space"/>
      <w:lvlText w:val="%1"/>
      <w:lvlJc w:val="left"/>
      <w:pPr>
        <w:ind w:left="0" w:firstLine="0"/>
      </w:pPr>
      <w:rPr>
        <w:rFonts w:hint="default" w:ascii="Times New Roman" w:hAnsi="Times New Roman"/>
        <w:b w:val="0"/>
        <w:i w:val="0"/>
        <w:color w:val="FFFFFF"/>
        <w:sz w:val="2"/>
      </w:rPr>
    </w:lvl>
    <w:lvl w:ilvl="1" w:tentative="0">
      <w:start w:val="1"/>
      <w:numFmt w:val="decimal"/>
      <w:suff w:val="space"/>
      <w:lvlText w:val="%1.%2"/>
      <w:lvlJc w:val="left"/>
      <w:pPr>
        <w:ind w:left="0" w:firstLine="0"/>
      </w:pPr>
      <w:rPr>
        <w:rFonts w:hint="eastAsia"/>
      </w:rPr>
    </w:lvl>
    <w:lvl w:ilvl="2" w:tentative="0">
      <w:start w:val="1"/>
      <w:numFmt w:val="decimal"/>
      <w:suff w:val="space"/>
      <w:lvlText w:val="%1.%2.%3"/>
      <w:lvlJc w:val="left"/>
      <w:pPr>
        <w:ind w:left="0" w:firstLine="0"/>
      </w:pPr>
      <w:rPr>
        <w:rFonts w:hint="eastAsia" w:ascii="Times New Roman" w:hAnsi="Times New Roman" w:eastAsia="黑体"/>
      </w:rPr>
    </w:lvl>
    <w:lvl w:ilvl="3" w:tentative="0">
      <w:start w:val="1"/>
      <w:numFmt w:val="none"/>
      <w:suff w:val="nothing"/>
      <w:lvlText w:val=""/>
      <w:lvlJc w:val="left"/>
      <w:pPr>
        <w:ind w:left="0" w:firstLine="0"/>
      </w:pPr>
      <w:rPr>
        <w:rFonts w:hint="eastAsia"/>
      </w:rPr>
    </w:lvl>
    <w:lvl w:ilvl="4" w:tentative="0">
      <w:start w:val="1"/>
      <w:numFmt w:val="none"/>
      <w:suff w:val="nothing"/>
      <w:lvlText w:val=""/>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0"/>
  <w:drawingGridHorizontalSpacing w:val="160"/>
  <w:drawingGridVerticalSpacing w:val="435"/>
  <w:displayHorizontalDrawingGridEvery w:val="2"/>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WJjMDczOWRlMDI4NTYzYzIxOTlkMTk1N2RkMDg1ODcifQ=="/>
  </w:docVars>
  <w:rsids>
    <w:rsidRoot w:val="00F90051"/>
    <w:rsid w:val="000070FC"/>
    <w:rsid w:val="00012407"/>
    <w:rsid w:val="00030E9F"/>
    <w:rsid w:val="00040D79"/>
    <w:rsid w:val="0005400D"/>
    <w:rsid w:val="000625E5"/>
    <w:rsid w:val="0007229F"/>
    <w:rsid w:val="000746CF"/>
    <w:rsid w:val="00076CF9"/>
    <w:rsid w:val="00084322"/>
    <w:rsid w:val="000865C9"/>
    <w:rsid w:val="00091BAE"/>
    <w:rsid w:val="0009260B"/>
    <w:rsid w:val="0009319F"/>
    <w:rsid w:val="000954F1"/>
    <w:rsid w:val="000955BB"/>
    <w:rsid w:val="000962CA"/>
    <w:rsid w:val="00097AF4"/>
    <w:rsid w:val="000A1679"/>
    <w:rsid w:val="000A496A"/>
    <w:rsid w:val="000B1C2D"/>
    <w:rsid w:val="000B41CE"/>
    <w:rsid w:val="000C37EC"/>
    <w:rsid w:val="000C6010"/>
    <w:rsid w:val="000D2462"/>
    <w:rsid w:val="000D252E"/>
    <w:rsid w:val="000D37B1"/>
    <w:rsid w:val="000E00A9"/>
    <w:rsid w:val="000E0E6C"/>
    <w:rsid w:val="000E2D50"/>
    <w:rsid w:val="000F284D"/>
    <w:rsid w:val="000F3ADD"/>
    <w:rsid w:val="000F3E92"/>
    <w:rsid w:val="001004E7"/>
    <w:rsid w:val="00101B5F"/>
    <w:rsid w:val="00102F72"/>
    <w:rsid w:val="00103B19"/>
    <w:rsid w:val="00104DB1"/>
    <w:rsid w:val="0010555E"/>
    <w:rsid w:val="0010609A"/>
    <w:rsid w:val="0010765A"/>
    <w:rsid w:val="0011568C"/>
    <w:rsid w:val="001205DA"/>
    <w:rsid w:val="00121422"/>
    <w:rsid w:val="001319EB"/>
    <w:rsid w:val="00135220"/>
    <w:rsid w:val="001436C3"/>
    <w:rsid w:val="00147720"/>
    <w:rsid w:val="00150557"/>
    <w:rsid w:val="00150EAD"/>
    <w:rsid w:val="0015185C"/>
    <w:rsid w:val="00152DA2"/>
    <w:rsid w:val="00152F78"/>
    <w:rsid w:val="0015316C"/>
    <w:rsid w:val="00155C8E"/>
    <w:rsid w:val="001604C6"/>
    <w:rsid w:val="00160826"/>
    <w:rsid w:val="00161D01"/>
    <w:rsid w:val="00172486"/>
    <w:rsid w:val="00174836"/>
    <w:rsid w:val="00186EFA"/>
    <w:rsid w:val="001A28E9"/>
    <w:rsid w:val="001A75A3"/>
    <w:rsid w:val="001B1349"/>
    <w:rsid w:val="001D367B"/>
    <w:rsid w:val="001D4AAE"/>
    <w:rsid w:val="001E5106"/>
    <w:rsid w:val="001E518B"/>
    <w:rsid w:val="001F0098"/>
    <w:rsid w:val="001F0728"/>
    <w:rsid w:val="001F7A6F"/>
    <w:rsid w:val="00203877"/>
    <w:rsid w:val="002113A8"/>
    <w:rsid w:val="00214F6E"/>
    <w:rsid w:val="002204C1"/>
    <w:rsid w:val="00230AC9"/>
    <w:rsid w:val="00232DB3"/>
    <w:rsid w:val="002342C2"/>
    <w:rsid w:val="002342C3"/>
    <w:rsid w:val="00246CDC"/>
    <w:rsid w:val="00252C35"/>
    <w:rsid w:val="00254AA3"/>
    <w:rsid w:val="0025799C"/>
    <w:rsid w:val="00260976"/>
    <w:rsid w:val="00261440"/>
    <w:rsid w:val="00261D52"/>
    <w:rsid w:val="002672DA"/>
    <w:rsid w:val="002829F7"/>
    <w:rsid w:val="002A0C99"/>
    <w:rsid w:val="002A1F5C"/>
    <w:rsid w:val="002B0527"/>
    <w:rsid w:val="002B43F5"/>
    <w:rsid w:val="002B5A0E"/>
    <w:rsid w:val="002C0429"/>
    <w:rsid w:val="002C18AD"/>
    <w:rsid w:val="002C659F"/>
    <w:rsid w:val="002D126F"/>
    <w:rsid w:val="002E0D1E"/>
    <w:rsid w:val="002E1394"/>
    <w:rsid w:val="002E3462"/>
    <w:rsid w:val="002E7B4C"/>
    <w:rsid w:val="002F58BD"/>
    <w:rsid w:val="002F7A9F"/>
    <w:rsid w:val="0030723B"/>
    <w:rsid w:val="0031517A"/>
    <w:rsid w:val="0032153A"/>
    <w:rsid w:val="003300D0"/>
    <w:rsid w:val="0033464E"/>
    <w:rsid w:val="0034018F"/>
    <w:rsid w:val="00341753"/>
    <w:rsid w:val="003472EE"/>
    <w:rsid w:val="00352D5E"/>
    <w:rsid w:val="00353B5B"/>
    <w:rsid w:val="00360AB8"/>
    <w:rsid w:val="003639A3"/>
    <w:rsid w:val="003764B3"/>
    <w:rsid w:val="00382083"/>
    <w:rsid w:val="003828DB"/>
    <w:rsid w:val="00387A4F"/>
    <w:rsid w:val="0039038D"/>
    <w:rsid w:val="00392F8C"/>
    <w:rsid w:val="00396999"/>
    <w:rsid w:val="003977DE"/>
    <w:rsid w:val="003A22C8"/>
    <w:rsid w:val="003A35A1"/>
    <w:rsid w:val="003C0729"/>
    <w:rsid w:val="003C1007"/>
    <w:rsid w:val="003D765B"/>
    <w:rsid w:val="0040088E"/>
    <w:rsid w:val="004116D7"/>
    <w:rsid w:val="00413506"/>
    <w:rsid w:val="00415B28"/>
    <w:rsid w:val="00420A32"/>
    <w:rsid w:val="00444716"/>
    <w:rsid w:val="00454FE9"/>
    <w:rsid w:val="00473D43"/>
    <w:rsid w:val="00477344"/>
    <w:rsid w:val="0048478C"/>
    <w:rsid w:val="004910B9"/>
    <w:rsid w:val="004959AA"/>
    <w:rsid w:val="00495AA7"/>
    <w:rsid w:val="004A2F02"/>
    <w:rsid w:val="004A35BD"/>
    <w:rsid w:val="004A6A50"/>
    <w:rsid w:val="004B1DB2"/>
    <w:rsid w:val="004B55BC"/>
    <w:rsid w:val="004C32E6"/>
    <w:rsid w:val="004C406F"/>
    <w:rsid w:val="004C52F5"/>
    <w:rsid w:val="004D2E41"/>
    <w:rsid w:val="004D7FCC"/>
    <w:rsid w:val="004E4F78"/>
    <w:rsid w:val="004E673A"/>
    <w:rsid w:val="004F1084"/>
    <w:rsid w:val="00504448"/>
    <w:rsid w:val="005049D2"/>
    <w:rsid w:val="00505A91"/>
    <w:rsid w:val="00507ADB"/>
    <w:rsid w:val="0051252A"/>
    <w:rsid w:val="005164F5"/>
    <w:rsid w:val="00523469"/>
    <w:rsid w:val="00525C04"/>
    <w:rsid w:val="00534A0C"/>
    <w:rsid w:val="00534B90"/>
    <w:rsid w:val="00537965"/>
    <w:rsid w:val="00544AD5"/>
    <w:rsid w:val="00544CE9"/>
    <w:rsid w:val="00546812"/>
    <w:rsid w:val="00546A35"/>
    <w:rsid w:val="00552B86"/>
    <w:rsid w:val="00553FF2"/>
    <w:rsid w:val="0055454F"/>
    <w:rsid w:val="0055603F"/>
    <w:rsid w:val="00573D8F"/>
    <w:rsid w:val="00574F79"/>
    <w:rsid w:val="00575A58"/>
    <w:rsid w:val="005806A7"/>
    <w:rsid w:val="00583C10"/>
    <w:rsid w:val="00586E4E"/>
    <w:rsid w:val="005938A6"/>
    <w:rsid w:val="00596890"/>
    <w:rsid w:val="005B02F4"/>
    <w:rsid w:val="005B0F7E"/>
    <w:rsid w:val="005B42BF"/>
    <w:rsid w:val="005B60D6"/>
    <w:rsid w:val="005C7DFF"/>
    <w:rsid w:val="005D0760"/>
    <w:rsid w:val="005D1091"/>
    <w:rsid w:val="005D4488"/>
    <w:rsid w:val="005D4A8A"/>
    <w:rsid w:val="005D676B"/>
    <w:rsid w:val="005E3ECD"/>
    <w:rsid w:val="005E628F"/>
    <w:rsid w:val="005E7804"/>
    <w:rsid w:val="005F3584"/>
    <w:rsid w:val="005F51A0"/>
    <w:rsid w:val="006138DA"/>
    <w:rsid w:val="00613D90"/>
    <w:rsid w:val="00621576"/>
    <w:rsid w:val="00622637"/>
    <w:rsid w:val="00632B8B"/>
    <w:rsid w:val="006449EF"/>
    <w:rsid w:val="0066616A"/>
    <w:rsid w:val="0067181D"/>
    <w:rsid w:val="0067459D"/>
    <w:rsid w:val="00680A62"/>
    <w:rsid w:val="006918DC"/>
    <w:rsid w:val="006A74F0"/>
    <w:rsid w:val="006B2CD2"/>
    <w:rsid w:val="006B4759"/>
    <w:rsid w:val="006B6518"/>
    <w:rsid w:val="006C19C4"/>
    <w:rsid w:val="006C2DEB"/>
    <w:rsid w:val="006C3FA7"/>
    <w:rsid w:val="006E75CE"/>
    <w:rsid w:val="006F0F77"/>
    <w:rsid w:val="006F16DC"/>
    <w:rsid w:val="006F23A0"/>
    <w:rsid w:val="006F413B"/>
    <w:rsid w:val="00707277"/>
    <w:rsid w:val="0070783A"/>
    <w:rsid w:val="00710F24"/>
    <w:rsid w:val="00714C86"/>
    <w:rsid w:val="00720E50"/>
    <w:rsid w:val="00723AC3"/>
    <w:rsid w:val="00725F1D"/>
    <w:rsid w:val="00731129"/>
    <w:rsid w:val="007353CD"/>
    <w:rsid w:val="00745DD0"/>
    <w:rsid w:val="00760F54"/>
    <w:rsid w:val="00761AB1"/>
    <w:rsid w:val="00765A5B"/>
    <w:rsid w:val="00771AE0"/>
    <w:rsid w:val="007722F5"/>
    <w:rsid w:val="00774111"/>
    <w:rsid w:val="00790F95"/>
    <w:rsid w:val="007A0B2C"/>
    <w:rsid w:val="007A583F"/>
    <w:rsid w:val="007B1A5F"/>
    <w:rsid w:val="007C470C"/>
    <w:rsid w:val="007C57C4"/>
    <w:rsid w:val="007D2208"/>
    <w:rsid w:val="007E2687"/>
    <w:rsid w:val="007E6B9C"/>
    <w:rsid w:val="007E7CC0"/>
    <w:rsid w:val="007F273C"/>
    <w:rsid w:val="007F3180"/>
    <w:rsid w:val="007F7AC6"/>
    <w:rsid w:val="00804BEB"/>
    <w:rsid w:val="00805AAB"/>
    <w:rsid w:val="0081165F"/>
    <w:rsid w:val="008131A2"/>
    <w:rsid w:val="00822724"/>
    <w:rsid w:val="00834185"/>
    <w:rsid w:val="00834D12"/>
    <w:rsid w:val="008361B1"/>
    <w:rsid w:val="008369BF"/>
    <w:rsid w:val="00850774"/>
    <w:rsid w:val="008576DE"/>
    <w:rsid w:val="00863764"/>
    <w:rsid w:val="00870153"/>
    <w:rsid w:val="00871A97"/>
    <w:rsid w:val="008738A1"/>
    <w:rsid w:val="008753A6"/>
    <w:rsid w:val="0088059E"/>
    <w:rsid w:val="00882694"/>
    <w:rsid w:val="0088471B"/>
    <w:rsid w:val="00886F03"/>
    <w:rsid w:val="008A1790"/>
    <w:rsid w:val="008B218E"/>
    <w:rsid w:val="008B379A"/>
    <w:rsid w:val="008C4C2C"/>
    <w:rsid w:val="008C708C"/>
    <w:rsid w:val="008C7909"/>
    <w:rsid w:val="008D1BAA"/>
    <w:rsid w:val="008D25E6"/>
    <w:rsid w:val="008D4BD8"/>
    <w:rsid w:val="008D604D"/>
    <w:rsid w:val="008E5A12"/>
    <w:rsid w:val="008F27EF"/>
    <w:rsid w:val="008F3A75"/>
    <w:rsid w:val="008F7243"/>
    <w:rsid w:val="00902170"/>
    <w:rsid w:val="0090370E"/>
    <w:rsid w:val="00903748"/>
    <w:rsid w:val="0091328D"/>
    <w:rsid w:val="00914F1F"/>
    <w:rsid w:val="00920376"/>
    <w:rsid w:val="00934408"/>
    <w:rsid w:val="00936D3F"/>
    <w:rsid w:val="00936F19"/>
    <w:rsid w:val="00940AF4"/>
    <w:rsid w:val="0095461E"/>
    <w:rsid w:val="00956396"/>
    <w:rsid w:val="00960BF3"/>
    <w:rsid w:val="009620D4"/>
    <w:rsid w:val="00964EFE"/>
    <w:rsid w:val="00975749"/>
    <w:rsid w:val="009761AE"/>
    <w:rsid w:val="00982C28"/>
    <w:rsid w:val="00983513"/>
    <w:rsid w:val="00984333"/>
    <w:rsid w:val="009906B1"/>
    <w:rsid w:val="00990AC7"/>
    <w:rsid w:val="00992C33"/>
    <w:rsid w:val="009936EE"/>
    <w:rsid w:val="00996C35"/>
    <w:rsid w:val="00997853"/>
    <w:rsid w:val="009A1E6A"/>
    <w:rsid w:val="009A31A0"/>
    <w:rsid w:val="009B24DB"/>
    <w:rsid w:val="009B5568"/>
    <w:rsid w:val="009C13D5"/>
    <w:rsid w:val="009C14E3"/>
    <w:rsid w:val="009C6C6F"/>
    <w:rsid w:val="009D16BA"/>
    <w:rsid w:val="009D483A"/>
    <w:rsid w:val="009D7BCD"/>
    <w:rsid w:val="009E15C8"/>
    <w:rsid w:val="009E2264"/>
    <w:rsid w:val="009E3764"/>
    <w:rsid w:val="00A02A69"/>
    <w:rsid w:val="00A257BF"/>
    <w:rsid w:val="00A274D9"/>
    <w:rsid w:val="00A3103C"/>
    <w:rsid w:val="00A37756"/>
    <w:rsid w:val="00A4030F"/>
    <w:rsid w:val="00A41535"/>
    <w:rsid w:val="00A426DA"/>
    <w:rsid w:val="00A43CBD"/>
    <w:rsid w:val="00A6072A"/>
    <w:rsid w:val="00A64D42"/>
    <w:rsid w:val="00A665A9"/>
    <w:rsid w:val="00A6728B"/>
    <w:rsid w:val="00A84BC0"/>
    <w:rsid w:val="00A8683A"/>
    <w:rsid w:val="00A93E1F"/>
    <w:rsid w:val="00A94FF1"/>
    <w:rsid w:val="00A95CA3"/>
    <w:rsid w:val="00A97985"/>
    <w:rsid w:val="00AA300B"/>
    <w:rsid w:val="00AA7BD3"/>
    <w:rsid w:val="00AA7D6D"/>
    <w:rsid w:val="00AB6305"/>
    <w:rsid w:val="00AC3A62"/>
    <w:rsid w:val="00AC66C0"/>
    <w:rsid w:val="00AD0D9A"/>
    <w:rsid w:val="00AD2AEB"/>
    <w:rsid w:val="00AD3288"/>
    <w:rsid w:val="00AD4F5E"/>
    <w:rsid w:val="00AE0F1A"/>
    <w:rsid w:val="00AE1902"/>
    <w:rsid w:val="00AE273E"/>
    <w:rsid w:val="00AE69A5"/>
    <w:rsid w:val="00B04D95"/>
    <w:rsid w:val="00B056D8"/>
    <w:rsid w:val="00B1024A"/>
    <w:rsid w:val="00B230D0"/>
    <w:rsid w:val="00B24BA9"/>
    <w:rsid w:val="00B275CE"/>
    <w:rsid w:val="00B27C61"/>
    <w:rsid w:val="00B344F5"/>
    <w:rsid w:val="00B34F5C"/>
    <w:rsid w:val="00B374F5"/>
    <w:rsid w:val="00B37D0D"/>
    <w:rsid w:val="00B42D09"/>
    <w:rsid w:val="00B46E1D"/>
    <w:rsid w:val="00B562AE"/>
    <w:rsid w:val="00B63D47"/>
    <w:rsid w:val="00B77DFC"/>
    <w:rsid w:val="00B83C6C"/>
    <w:rsid w:val="00B863B5"/>
    <w:rsid w:val="00B86676"/>
    <w:rsid w:val="00B86E7F"/>
    <w:rsid w:val="00B910E7"/>
    <w:rsid w:val="00B92E81"/>
    <w:rsid w:val="00B969EF"/>
    <w:rsid w:val="00BB19B0"/>
    <w:rsid w:val="00BC0285"/>
    <w:rsid w:val="00BC0EB8"/>
    <w:rsid w:val="00BC4441"/>
    <w:rsid w:val="00BC4A97"/>
    <w:rsid w:val="00BE5BD0"/>
    <w:rsid w:val="00BF287A"/>
    <w:rsid w:val="00C04F3B"/>
    <w:rsid w:val="00C06C05"/>
    <w:rsid w:val="00C11057"/>
    <w:rsid w:val="00C14D41"/>
    <w:rsid w:val="00C172A1"/>
    <w:rsid w:val="00C172D9"/>
    <w:rsid w:val="00C27B0A"/>
    <w:rsid w:val="00C27C90"/>
    <w:rsid w:val="00C32246"/>
    <w:rsid w:val="00C33028"/>
    <w:rsid w:val="00C40530"/>
    <w:rsid w:val="00C438DB"/>
    <w:rsid w:val="00C50B93"/>
    <w:rsid w:val="00C5297E"/>
    <w:rsid w:val="00C5630A"/>
    <w:rsid w:val="00C6415E"/>
    <w:rsid w:val="00C708DE"/>
    <w:rsid w:val="00C71838"/>
    <w:rsid w:val="00C74E7C"/>
    <w:rsid w:val="00C80436"/>
    <w:rsid w:val="00C8422C"/>
    <w:rsid w:val="00C848E7"/>
    <w:rsid w:val="00C85B5C"/>
    <w:rsid w:val="00C91019"/>
    <w:rsid w:val="00C91181"/>
    <w:rsid w:val="00C93C29"/>
    <w:rsid w:val="00CA1229"/>
    <w:rsid w:val="00CA1E86"/>
    <w:rsid w:val="00CA3078"/>
    <w:rsid w:val="00CA6CE9"/>
    <w:rsid w:val="00CB5290"/>
    <w:rsid w:val="00CB720D"/>
    <w:rsid w:val="00CC501C"/>
    <w:rsid w:val="00CC54E1"/>
    <w:rsid w:val="00CC77EE"/>
    <w:rsid w:val="00CD58E5"/>
    <w:rsid w:val="00CE27F8"/>
    <w:rsid w:val="00CF0788"/>
    <w:rsid w:val="00CF08FB"/>
    <w:rsid w:val="00CF4D82"/>
    <w:rsid w:val="00CF76E9"/>
    <w:rsid w:val="00D15270"/>
    <w:rsid w:val="00D15A82"/>
    <w:rsid w:val="00D22567"/>
    <w:rsid w:val="00D31E4B"/>
    <w:rsid w:val="00D365C5"/>
    <w:rsid w:val="00D43F4C"/>
    <w:rsid w:val="00D45A57"/>
    <w:rsid w:val="00D52F0B"/>
    <w:rsid w:val="00D60EA7"/>
    <w:rsid w:val="00D636F6"/>
    <w:rsid w:val="00D718C7"/>
    <w:rsid w:val="00D71A5A"/>
    <w:rsid w:val="00D75278"/>
    <w:rsid w:val="00D7630C"/>
    <w:rsid w:val="00D811EC"/>
    <w:rsid w:val="00D90A5F"/>
    <w:rsid w:val="00D90FAE"/>
    <w:rsid w:val="00D922E4"/>
    <w:rsid w:val="00D96794"/>
    <w:rsid w:val="00D97F5A"/>
    <w:rsid w:val="00DA2885"/>
    <w:rsid w:val="00DB3635"/>
    <w:rsid w:val="00DB5438"/>
    <w:rsid w:val="00DC0E04"/>
    <w:rsid w:val="00DD1860"/>
    <w:rsid w:val="00DD22DB"/>
    <w:rsid w:val="00DD583A"/>
    <w:rsid w:val="00DE06D6"/>
    <w:rsid w:val="00DE7826"/>
    <w:rsid w:val="00DF47E2"/>
    <w:rsid w:val="00DF48A6"/>
    <w:rsid w:val="00DF7D1F"/>
    <w:rsid w:val="00E005A2"/>
    <w:rsid w:val="00E05B1F"/>
    <w:rsid w:val="00E14792"/>
    <w:rsid w:val="00E16086"/>
    <w:rsid w:val="00E235C2"/>
    <w:rsid w:val="00E26B43"/>
    <w:rsid w:val="00E27F24"/>
    <w:rsid w:val="00E323CE"/>
    <w:rsid w:val="00E33BC8"/>
    <w:rsid w:val="00E3634A"/>
    <w:rsid w:val="00E426B3"/>
    <w:rsid w:val="00E464E4"/>
    <w:rsid w:val="00E475AD"/>
    <w:rsid w:val="00E5229E"/>
    <w:rsid w:val="00E621B8"/>
    <w:rsid w:val="00E6664D"/>
    <w:rsid w:val="00E80C4C"/>
    <w:rsid w:val="00E85DD3"/>
    <w:rsid w:val="00E86398"/>
    <w:rsid w:val="00E86C46"/>
    <w:rsid w:val="00E90699"/>
    <w:rsid w:val="00E91487"/>
    <w:rsid w:val="00E93D75"/>
    <w:rsid w:val="00EB19D1"/>
    <w:rsid w:val="00EB54A4"/>
    <w:rsid w:val="00EC068F"/>
    <w:rsid w:val="00EC4990"/>
    <w:rsid w:val="00ED72C1"/>
    <w:rsid w:val="00EE6425"/>
    <w:rsid w:val="00EF32F6"/>
    <w:rsid w:val="00EF7EFE"/>
    <w:rsid w:val="00F05CA2"/>
    <w:rsid w:val="00F1035A"/>
    <w:rsid w:val="00F15691"/>
    <w:rsid w:val="00F15F38"/>
    <w:rsid w:val="00F23E40"/>
    <w:rsid w:val="00F303B6"/>
    <w:rsid w:val="00F309AA"/>
    <w:rsid w:val="00F31E80"/>
    <w:rsid w:val="00F325A8"/>
    <w:rsid w:val="00F357CA"/>
    <w:rsid w:val="00F35B90"/>
    <w:rsid w:val="00F36FE3"/>
    <w:rsid w:val="00F43EF0"/>
    <w:rsid w:val="00F501AE"/>
    <w:rsid w:val="00F516E9"/>
    <w:rsid w:val="00F55C7B"/>
    <w:rsid w:val="00F56C7D"/>
    <w:rsid w:val="00F70BD6"/>
    <w:rsid w:val="00F77D70"/>
    <w:rsid w:val="00F77DDB"/>
    <w:rsid w:val="00F90051"/>
    <w:rsid w:val="00F9742A"/>
    <w:rsid w:val="00FA2FFB"/>
    <w:rsid w:val="00FB2420"/>
    <w:rsid w:val="00FB738C"/>
    <w:rsid w:val="00FC59B4"/>
    <w:rsid w:val="00FC5D87"/>
    <w:rsid w:val="00FD19C6"/>
    <w:rsid w:val="00FD6125"/>
    <w:rsid w:val="00FE58B3"/>
    <w:rsid w:val="00FE6BFE"/>
    <w:rsid w:val="0280009A"/>
    <w:rsid w:val="03B85882"/>
    <w:rsid w:val="05790EF7"/>
    <w:rsid w:val="0B727CFD"/>
    <w:rsid w:val="0B9A722C"/>
    <w:rsid w:val="0C403229"/>
    <w:rsid w:val="11515182"/>
    <w:rsid w:val="12A01D9B"/>
    <w:rsid w:val="16B82BA9"/>
    <w:rsid w:val="194F322A"/>
    <w:rsid w:val="1DDE72A1"/>
    <w:rsid w:val="258C4F3C"/>
    <w:rsid w:val="2C907989"/>
    <w:rsid w:val="3430563F"/>
    <w:rsid w:val="35434A64"/>
    <w:rsid w:val="38662370"/>
    <w:rsid w:val="3BDF7F94"/>
    <w:rsid w:val="3F767047"/>
    <w:rsid w:val="41910C2E"/>
    <w:rsid w:val="464B15F0"/>
    <w:rsid w:val="467748F0"/>
    <w:rsid w:val="49F3320E"/>
    <w:rsid w:val="50A459B4"/>
    <w:rsid w:val="52AA4850"/>
    <w:rsid w:val="57220D9F"/>
    <w:rsid w:val="5783681D"/>
    <w:rsid w:val="70222A9E"/>
    <w:rsid w:val="760F645A"/>
    <w:rsid w:val="78604894"/>
    <w:rsid w:val="78CB0019"/>
    <w:rsid w:val="7D62593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uiPriority="99" w:name="footnote text"/>
    <w:lsdException w:qFormat="1" w:uiPriority="0" w:semiHidden="0" w:name="annotation text"/>
    <w:lsdException w:qFormat="1" w:uiPriority="99" w:semiHidden="0" w:name="header"/>
    <w:lsdException w:qFormat="1" w:uiPriority="99"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qFormat="1" w:uiPriority="0"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qFormat="1" w:uiPriority="0" w:semiHidden="0"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600" w:lineRule="exact"/>
      <w:ind w:firstLine="200" w:firstLineChars="200"/>
      <w:jc w:val="both"/>
    </w:pPr>
    <w:rPr>
      <w:rFonts w:ascii="Calibri" w:hAnsi="Calibri" w:eastAsia="仿宋_GB2312" w:cs="Times New Roman"/>
      <w:kern w:val="2"/>
      <w:sz w:val="32"/>
      <w:szCs w:val="24"/>
      <w:lang w:val="en-US" w:eastAsia="zh-CN" w:bidi="ar-SA"/>
    </w:rPr>
  </w:style>
  <w:style w:type="paragraph" w:styleId="4">
    <w:name w:val="heading 1"/>
    <w:basedOn w:val="1"/>
    <w:next w:val="1"/>
    <w:link w:val="33"/>
    <w:qFormat/>
    <w:uiPriority w:val="0"/>
    <w:pPr>
      <w:keepNext/>
      <w:keepLines/>
      <w:spacing w:before="50" w:beforeLines="50" w:after="50" w:afterLines="50"/>
      <w:ind w:firstLine="0" w:firstLineChars="0"/>
      <w:jc w:val="center"/>
      <w:outlineLvl w:val="0"/>
    </w:pPr>
    <w:rPr>
      <w:rFonts w:ascii="Times New Roman" w:hAnsi="Times New Roman" w:eastAsia="方正小标宋简体"/>
      <w:bCs/>
      <w:kern w:val="44"/>
      <w:sz w:val="36"/>
      <w:szCs w:val="44"/>
    </w:rPr>
  </w:style>
  <w:style w:type="paragraph" w:styleId="5">
    <w:name w:val="heading 2"/>
    <w:basedOn w:val="1"/>
    <w:next w:val="1"/>
    <w:link w:val="32"/>
    <w:unhideWhenUsed/>
    <w:qFormat/>
    <w:uiPriority w:val="0"/>
    <w:pPr>
      <w:keepNext/>
      <w:keepLines/>
      <w:spacing w:before="50" w:beforeLines="50" w:after="50" w:afterLines="50"/>
      <w:ind w:firstLine="0" w:firstLineChars="0"/>
      <w:jc w:val="center"/>
      <w:outlineLvl w:val="1"/>
    </w:pPr>
    <w:rPr>
      <w:rFonts w:ascii="Times New Roman" w:hAnsi="Times New Roman" w:eastAsia="黑体"/>
      <w:bCs/>
      <w:szCs w:val="32"/>
    </w:rPr>
  </w:style>
  <w:style w:type="paragraph" w:styleId="6">
    <w:name w:val="heading 3"/>
    <w:basedOn w:val="1"/>
    <w:next w:val="1"/>
    <w:link w:val="37"/>
    <w:unhideWhenUsed/>
    <w:qFormat/>
    <w:uiPriority w:val="9"/>
    <w:pPr>
      <w:keepNext/>
      <w:keepLines/>
      <w:spacing w:before="50" w:beforeLines="50" w:after="50" w:afterLines="50"/>
      <w:ind w:firstLine="0" w:firstLineChars="0"/>
      <w:outlineLvl w:val="2"/>
    </w:pPr>
    <w:rPr>
      <w:rFonts w:ascii="Times New Roman" w:hAnsi="Times New Roman"/>
      <w:bCs/>
      <w:szCs w:val="32"/>
    </w:rPr>
  </w:style>
  <w:style w:type="paragraph" w:styleId="7">
    <w:name w:val="heading 7"/>
    <w:basedOn w:val="1"/>
    <w:next w:val="1"/>
    <w:link w:val="39"/>
    <w:semiHidden/>
    <w:unhideWhenUsed/>
    <w:qFormat/>
    <w:uiPriority w:val="9"/>
    <w:pPr>
      <w:keepNext/>
      <w:keepLines/>
      <w:spacing w:before="240" w:after="64" w:line="320" w:lineRule="auto"/>
      <w:outlineLvl w:val="6"/>
    </w:pPr>
    <w:rPr>
      <w:b/>
      <w:bCs/>
      <w:sz w:val="24"/>
    </w:rPr>
  </w:style>
  <w:style w:type="character" w:default="1" w:styleId="29">
    <w:name w:val="Default Paragraph Font"/>
    <w:semiHidden/>
    <w:unhideWhenUsed/>
    <w:qFormat/>
    <w:uiPriority w:val="1"/>
  </w:style>
  <w:style w:type="table" w:default="1" w:styleId="27">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qFormat/>
    <w:uiPriority w:val="0"/>
    <w:pPr>
      <w:spacing w:after="120"/>
      <w:ind w:left="420" w:leftChars="200" w:firstLine="420"/>
    </w:pPr>
    <w:rPr>
      <w:rFonts w:ascii="Times New Roman" w:hAnsi="Times New Roman"/>
      <w:sz w:val="21"/>
    </w:rPr>
  </w:style>
  <w:style w:type="paragraph" w:styleId="3">
    <w:name w:val="Body Text Indent"/>
    <w:basedOn w:val="1"/>
    <w:qFormat/>
    <w:uiPriority w:val="0"/>
    <w:pPr>
      <w:ind w:firstLine="870"/>
    </w:pPr>
    <w:rPr>
      <w:sz w:val="28"/>
    </w:rPr>
  </w:style>
  <w:style w:type="paragraph" w:styleId="8">
    <w:name w:val="toc 7"/>
    <w:basedOn w:val="1"/>
    <w:next w:val="1"/>
    <w:autoRedefine/>
    <w:unhideWhenUsed/>
    <w:qFormat/>
    <w:uiPriority w:val="39"/>
    <w:pPr>
      <w:spacing w:line="240" w:lineRule="auto"/>
      <w:ind w:left="2520" w:leftChars="1200" w:firstLine="0" w:firstLineChars="0"/>
    </w:pPr>
    <w:rPr>
      <w:rFonts w:asciiTheme="minorHAnsi" w:hAnsiTheme="minorHAnsi" w:eastAsiaTheme="minorEastAsia" w:cstheme="minorBidi"/>
      <w:sz w:val="21"/>
      <w:szCs w:val="22"/>
    </w:rPr>
  </w:style>
  <w:style w:type="paragraph" w:styleId="9">
    <w:name w:val="Normal Indent"/>
    <w:basedOn w:val="1"/>
    <w:next w:val="1"/>
    <w:qFormat/>
    <w:uiPriority w:val="0"/>
    <w:pPr>
      <w:widowControl/>
      <w:ind w:firstLine="420"/>
      <w:jc w:val="left"/>
    </w:pPr>
    <w:rPr>
      <w:rFonts w:ascii="Times New Roman" w:hAnsi="Times New Roman"/>
      <w:kern w:val="0"/>
      <w:lang w:eastAsia="en-US" w:bidi="en-US"/>
    </w:rPr>
  </w:style>
  <w:style w:type="paragraph" w:styleId="10">
    <w:name w:val="caption"/>
    <w:basedOn w:val="1"/>
    <w:next w:val="1"/>
    <w:qFormat/>
    <w:uiPriority w:val="0"/>
    <w:pPr>
      <w:ind w:firstLine="1044"/>
    </w:pPr>
    <w:rPr>
      <w:rFonts w:ascii="Arial" w:hAnsi="Arial" w:eastAsia="黑体"/>
      <w:sz w:val="20"/>
    </w:rPr>
  </w:style>
  <w:style w:type="paragraph" w:styleId="11">
    <w:name w:val="annotation text"/>
    <w:basedOn w:val="1"/>
    <w:link w:val="47"/>
    <w:unhideWhenUsed/>
    <w:qFormat/>
    <w:uiPriority w:val="0"/>
    <w:pPr>
      <w:jc w:val="left"/>
    </w:pPr>
  </w:style>
  <w:style w:type="paragraph" w:styleId="12">
    <w:name w:val="Body Text"/>
    <w:basedOn w:val="1"/>
    <w:link w:val="38"/>
    <w:qFormat/>
    <w:uiPriority w:val="0"/>
    <w:pPr>
      <w:adjustRightInd w:val="0"/>
      <w:spacing w:line="360" w:lineRule="auto"/>
      <w:ind w:firstLine="1044"/>
      <w:jc w:val="center"/>
      <w:textAlignment w:val="baseline"/>
    </w:pPr>
    <w:rPr>
      <w:rFonts w:ascii="Times New Roman" w:hAnsi="Times New Roman"/>
      <w:kern w:val="0"/>
      <w:sz w:val="24"/>
      <w:szCs w:val="20"/>
    </w:rPr>
  </w:style>
  <w:style w:type="paragraph" w:styleId="13">
    <w:name w:val="toc 5"/>
    <w:basedOn w:val="1"/>
    <w:next w:val="1"/>
    <w:autoRedefine/>
    <w:unhideWhenUsed/>
    <w:qFormat/>
    <w:uiPriority w:val="39"/>
    <w:pPr>
      <w:spacing w:line="240" w:lineRule="auto"/>
      <w:ind w:left="1680" w:leftChars="800" w:firstLine="0" w:firstLineChars="0"/>
    </w:pPr>
    <w:rPr>
      <w:rFonts w:asciiTheme="minorHAnsi" w:hAnsiTheme="minorHAnsi" w:eastAsiaTheme="minorEastAsia" w:cstheme="minorBidi"/>
      <w:sz w:val="21"/>
      <w:szCs w:val="22"/>
    </w:rPr>
  </w:style>
  <w:style w:type="paragraph" w:styleId="14">
    <w:name w:val="toc 3"/>
    <w:basedOn w:val="1"/>
    <w:next w:val="1"/>
    <w:autoRedefine/>
    <w:unhideWhenUsed/>
    <w:qFormat/>
    <w:uiPriority w:val="39"/>
    <w:pPr>
      <w:ind w:left="840" w:leftChars="400"/>
    </w:pPr>
  </w:style>
  <w:style w:type="paragraph" w:styleId="15">
    <w:name w:val="toc 8"/>
    <w:basedOn w:val="1"/>
    <w:next w:val="1"/>
    <w:autoRedefine/>
    <w:unhideWhenUsed/>
    <w:qFormat/>
    <w:uiPriority w:val="39"/>
    <w:pPr>
      <w:spacing w:line="240" w:lineRule="auto"/>
      <w:ind w:left="2940" w:leftChars="1400" w:firstLine="0" w:firstLineChars="0"/>
    </w:pPr>
    <w:rPr>
      <w:rFonts w:asciiTheme="minorHAnsi" w:hAnsiTheme="minorHAnsi" w:eastAsiaTheme="minorEastAsia" w:cstheme="minorBidi"/>
      <w:sz w:val="21"/>
      <w:szCs w:val="22"/>
    </w:rPr>
  </w:style>
  <w:style w:type="paragraph" w:styleId="16">
    <w:name w:val="Body Text Indent 2"/>
    <w:basedOn w:val="1"/>
    <w:link w:val="49"/>
    <w:unhideWhenUsed/>
    <w:qFormat/>
    <w:uiPriority w:val="0"/>
    <w:pPr>
      <w:spacing w:after="120" w:line="480" w:lineRule="auto"/>
      <w:ind w:left="420" w:leftChars="200" w:firstLine="1044"/>
    </w:pPr>
    <w:rPr>
      <w:rFonts w:ascii="Times New Roman" w:hAnsi="Times New Roman"/>
    </w:rPr>
  </w:style>
  <w:style w:type="paragraph" w:styleId="17">
    <w:name w:val="Balloon Text"/>
    <w:basedOn w:val="1"/>
    <w:link w:val="45"/>
    <w:semiHidden/>
    <w:unhideWhenUsed/>
    <w:qFormat/>
    <w:uiPriority w:val="99"/>
    <w:rPr>
      <w:sz w:val="18"/>
      <w:szCs w:val="18"/>
    </w:rPr>
  </w:style>
  <w:style w:type="paragraph" w:styleId="18">
    <w:name w:val="footer"/>
    <w:basedOn w:val="1"/>
    <w:link w:val="35"/>
    <w:unhideWhenUsed/>
    <w:qFormat/>
    <w:uiPriority w:val="99"/>
    <w:pPr>
      <w:tabs>
        <w:tab w:val="center" w:pos="4153"/>
        <w:tab w:val="right" w:pos="8306"/>
      </w:tabs>
      <w:snapToGrid w:val="0"/>
      <w:jc w:val="left"/>
    </w:pPr>
    <w:rPr>
      <w:rFonts w:ascii="等线" w:hAnsi="等线" w:eastAsia="等线"/>
      <w:sz w:val="18"/>
      <w:szCs w:val="18"/>
    </w:rPr>
  </w:style>
  <w:style w:type="paragraph" w:styleId="19">
    <w:name w:val="header"/>
    <w:basedOn w:val="1"/>
    <w:link w:val="34"/>
    <w:unhideWhenUsed/>
    <w:qFormat/>
    <w:uiPriority w:val="99"/>
    <w:pPr>
      <w:pBdr>
        <w:bottom w:val="single" w:color="auto" w:sz="6" w:space="1"/>
      </w:pBdr>
      <w:tabs>
        <w:tab w:val="center" w:pos="4153"/>
        <w:tab w:val="right" w:pos="8306"/>
      </w:tabs>
      <w:snapToGrid w:val="0"/>
      <w:jc w:val="center"/>
    </w:pPr>
    <w:rPr>
      <w:rFonts w:ascii="等线" w:hAnsi="等线" w:eastAsia="等线"/>
      <w:sz w:val="18"/>
      <w:szCs w:val="18"/>
    </w:rPr>
  </w:style>
  <w:style w:type="paragraph" w:styleId="20">
    <w:name w:val="toc 1"/>
    <w:basedOn w:val="1"/>
    <w:next w:val="1"/>
    <w:unhideWhenUsed/>
    <w:qFormat/>
    <w:uiPriority w:val="39"/>
    <w:pPr>
      <w:jc w:val="left"/>
    </w:pPr>
    <w:rPr>
      <w:sz w:val="28"/>
    </w:rPr>
  </w:style>
  <w:style w:type="paragraph" w:styleId="21">
    <w:name w:val="toc 4"/>
    <w:basedOn w:val="1"/>
    <w:next w:val="1"/>
    <w:autoRedefine/>
    <w:unhideWhenUsed/>
    <w:qFormat/>
    <w:uiPriority w:val="39"/>
    <w:pPr>
      <w:spacing w:line="240" w:lineRule="auto"/>
      <w:ind w:left="1260" w:leftChars="600" w:firstLine="0" w:firstLineChars="0"/>
    </w:pPr>
    <w:rPr>
      <w:rFonts w:asciiTheme="minorHAnsi" w:hAnsiTheme="minorHAnsi" w:eastAsiaTheme="minorEastAsia" w:cstheme="minorBidi"/>
      <w:sz w:val="21"/>
      <w:szCs w:val="22"/>
    </w:rPr>
  </w:style>
  <w:style w:type="paragraph" w:styleId="22">
    <w:name w:val="toc 6"/>
    <w:basedOn w:val="1"/>
    <w:next w:val="1"/>
    <w:autoRedefine/>
    <w:unhideWhenUsed/>
    <w:qFormat/>
    <w:uiPriority w:val="39"/>
    <w:pPr>
      <w:spacing w:line="240" w:lineRule="auto"/>
      <w:ind w:left="2100" w:leftChars="1000" w:firstLine="0" w:firstLineChars="0"/>
    </w:pPr>
    <w:rPr>
      <w:rFonts w:asciiTheme="minorHAnsi" w:hAnsiTheme="minorHAnsi" w:eastAsiaTheme="minorEastAsia" w:cstheme="minorBidi"/>
      <w:sz w:val="21"/>
      <w:szCs w:val="22"/>
    </w:rPr>
  </w:style>
  <w:style w:type="paragraph" w:styleId="23">
    <w:name w:val="toc 2"/>
    <w:basedOn w:val="1"/>
    <w:next w:val="1"/>
    <w:unhideWhenUsed/>
    <w:qFormat/>
    <w:uiPriority w:val="39"/>
    <w:pPr>
      <w:ind w:left="200" w:leftChars="200"/>
    </w:pPr>
    <w:rPr>
      <w:sz w:val="28"/>
    </w:rPr>
  </w:style>
  <w:style w:type="paragraph" w:styleId="24">
    <w:name w:val="toc 9"/>
    <w:basedOn w:val="1"/>
    <w:next w:val="1"/>
    <w:autoRedefine/>
    <w:unhideWhenUsed/>
    <w:qFormat/>
    <w:uiPriority w:val="39"/>
    <w:pPr>
      <w:spacing w:line="240" w:lineRule="auto"/>
      <w:ind w:left="3360" w:leftChars="1600" w:firstLine="0" w:firstLineChars="0"/>
    </w:pPr>
    <w:rPr>
      <w:rFonts w:asciiTheme="minorHAnsi" w:hAnsiTheme="minorHAnsi" w:eastAsiaTheme="minorEastAsia" w:cstheme="minorBidi"/>
      <w:sz w:val="21"/>
      <w:szCs w:val="22"/>
    </w:rPr>
  </w:style>
  <w:style w:type="paragraph" w:styleId="25">
    <w:name w:val="Title"/>
    <w:basedOn w:val="1"/>
    <w:next w:val="1"/>
    <w:qFormat/>
    <w:uiPriority w:val="0"/>
    <w:pPr>
      <w:spacing w:before="240" w:after="60"/>
      <w:jc w:val="center"/>
      <w:outlineLvl w:val="0"/>
    </w:pPr>
    <w:rPr>
      <w:rFonts w:ascii="Arial" w:hAnsi="Arial"/>
      <w:b/>
    </w:rPr>
  </w:style>
  <w:style w:type="paragraph" w:styleId="26">
    <w:name w:val="annotation subject"/>
    <w:basedOn w:val="11"/>
    <w:next w:val="11"/>
    <w:link w:val="48"/>
    <w:semiHidden/>
    <w:unhideWhenUsed/>
    <w:qFormat/>
    <w:uiPriority w:val="99"/>
    <w:rPr>
      <w:b/>
      <w:bCs/>
    </w:rPr>
  </w:style>
  <w:style w:type="table" w:styleId="28">
    <w:name w:val="Table Grid"/>
    <w:basedOn w:val="27"/>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0">
    <w:name w:val="Hyperlink"/>
    <w:unhideWhenUsed/>
    <w:qFormat/>
    <w:uiPriority w:val="99"/>
    <w:rPr>
      <w:color w:val="0563C1"/>
      <w:u w:val="single"/>
    </w:rPr>
  </w:style>
  <w:style w:type="character" w:styleId="31">
    <w:name w:val="annotation reference"/>
    <w:unhideWhenUsed/>
    <w:qFormat/>
    <w:uiPriority w:val="0"/>
    <w:rPr>
      <w:sz w:val="21"/>
      <w:szCs w:val="21"/>
    </w:rPr>
  </w:style>
  <w:style w:type="character" w:customStyle="1" w:styleId="32">
    <w:name w:val="标题 2 字符"/>
    <w:link w:val="5"/>
    <w:qFormat/>
    <w:uiPriority w:val="0"/>
    <w:rPr>
      <w:rFonts w:eastAsia="黑体"/>
      <w:bCs/>
      <w:kern w:val="2"/>
      <w:sz w:val="32"/>
      <w:szCs w:val="32"/>
    </w:rPr>
  </w:style>
  <w:style w:type="character" w:customStyle="1" w:styleId="33">
    <w:name w:val="标题 1 字符"/>
    <w:link w:val="4"/>
    <w:qFormat/>
    <w:uiPriority w:val="0"/>
    <w:rPr>
      <w:rFonts w:eastAsia="方正小标宋简体"/>
      <w:bCs/>
      <w:kern w:val="44"/>
      <w:sz w:val="36"/>
      <w:szCs w:val="44"/>
    </w:rPr>
  </w:style>
  <w:style w:type="character" w:customStyle="1" w:styleId="34">
    <w:name w:val="页眉 字符"/>
    <w:link w:val="19"/>
    <w:qFormat/>
    <w:uiPriority w:val="99"/>
    <w:rPr>
      <w:sz w:val="18"/>
      <w:szCs w:val="18"/>
    </w:rPr>
  </w:style>
  <w:style w:type="character" w:customStyle="1" w:styleId="35">
    <w:name w:val="页脚 字符"/>
    <w:link w:val="18"/>
    <w:qFormat/>
    <w:uiPriority w:val="99"/>
    <w:rPr>
      <w:sz w:val="18"/>
      <w:szCs w:val="18"/>
    </w:rPr>
  </w:style>
  <w:style w:type="paragraph" w:styleId="36">
    <w:name w:val="List Paragraph"/>
    <w:basedOn w:val="1"/>
    <w:qFormat/>
    <w:uiPriority w:val="34"/>
    <w:pPr>
      <w:ind w:firstLine="420"/>
    </w:pPr>
  </w:style>
  <w:style w:type="character" w:customStyle="1" w:styleId="37">
    <w:name w:val="标题 3 字符"/>
    <w:link w:val="6"/>
    <w:qFormat/>
    <w:uiPriority w:val="9"/>
    <w:rPr>
      <w:rFonts w:eastAsia="仿宋_GB2312"/>
      <w:bCs/>
      <w:kern w:val="2"/>
      <w:sz w:val="32"/>
      <w:szCs w:val="32"/>
    </w:rPr>
  </w:style>
  <w:style w:type="character" w:customStyle="1" w:styleId="38">
    <w:name w:val="正文文本 字符"/>
    <w:link w:val="12"/>
    <w:qFormat/>
    <w:uiPriority w:val="0"/>
    <w:rPr>
      <w:rFonts w:ascii="Times New Roman" w:hAnsi="Times New Roman" w:eastAsia="宋体" w:cs="Times New Roman"/>
      <w:kern w:val="0"/>
      <w:sz w:val="24"/>
      <w:szCs w:val="20"/>
    </w:rPr>
  </w:style>
  <w:style w:type="character" w:customStyle="1" w:styleId="39">
    <w:name w:val="标题 7 字符"/>
    <w:link w:val="7"/>
    <w:semiHidden/>
    <w:qFormat/>
    <w:uiPriority w:val="9"/>
    <w:rPr>
      <w:rFonts w:ascii="Calibri" w:hAnsi="Calibri" w:eastAsia="宋体" w:cs="Times New Roman"/>
      <w:b/>
      <w:bCs/>
      <w:sz w:val="24"/>
      <w:szCs w:val="24"/>
    </w:rPr>
  </w:style>
  <w:style w:type="paragraph" w:customStyle="1" w:styleId="40">
    <w:name w:val="Default"/>
    <w:qFormat/>
    <w:uiPriority w:val="0"/>
    <w:pPr>
      <w:widowControl w:val="0"/>
      <w:autoSpaceDE w:val="0"/>
      <w:autoSpaceDN w:val="0"/>
      <w:adjustRightInd w:val="0"/>
    </w:pPr>
    <w:rPr>
      <w:rFonts w:ascii="Times New Roman" w:hAnsi="Times New Roman" w:eastAsia="等线" w:cs="Times New Roman"/>
      <w:color w:val="000000"/>
      <w:sz w:val="24"/>
      <w:szCs w:val="24"/>
      <w:lang w:val="en-US" w:eastAsia="zh-CN" w:bidi="ar-SA"/>
    </w:rPr>
  </w:style>
  <w:style w:type="character" w:customStyle="1" w:styleId="41">
    <w:name w:val="font21"/>
    <w:qFormat/>
    <w:uiPriority w:val="0"/>
    <w:rPr>
      <w:rFonts w:ascii="Arial" w:hAnsi="Arial" w:cs="Arial"/>
      <w:color w:val="000000"/>
      <w:sz w:val="21"/>
      <w:szCs w:val="21"/>
      <w:u w:val="none"/>
    </w:rPr>
  </w:style>
  <w:style w:type="paragraph" w:customStyle="1" w:styleId="42">
    <w:name w:val="WPSOffice手动目录 1"/>
    <w:qFormat/>
    <w:uiPriority w:val="0"/>
    <w:rPr>
      <w:rFonts w:ascii="Times New Roman" w:hAnsi="Times New Roman" w:eastAsia="宋体" w:cs="Times New Roman"/>
      <w:lang w:val="en-US" w:eastAsia="zh-CN" w:bidi="ar-SA"/>
    </w:rPr>
  </w:style>
  <w:style w:type="paragraph" w:customStyle="1" w:styleId="43">
    <w:name w:val="WPSOffice手动目录 2"/>
    <w:qFormat/>
    <w:uiPriority w:val="0"/>
    <w:pPr>
      <w:ind w:left="200" w:leftChars="200"/>
    </w:pPr>
    <w:rPr>
      <w:rFonts w:ascii="Times New Roman" w:hAnsi="Times New Roman" w:eastAsia="宋体" w:cs="Times New Roman"/>
      <w:lang w:val="en-US" w:eastAsia="zh-CN" w:bidi="ar-SA"/>
    </w:rPr>
  </w:style>
  <w:style w:type="character" w:customStyle="1" w:styleId="44">
    <w:name w:val="font11"/>
    <w:qFormat/>
    <w:uiPriority w:val="0"/>
    <w:rPr>
      <w:rFonts w:ascii="仿宋_GB2312" w:hAnsi="仿宋_GB2312" w:eastAsia="仿宋_GB2312" w:cs="仿宋_GB2312"/>
      <w:color w:val="000000"/>
      <w:sz w:val="20"/>
      <w:szCs w:val="20"/>
      <w:u w:val="none"/>
    </w:rPr>
  </w:style>
  <w:style w:type="character" w:customStyle="1" w:styleId="45">
    <w:name w:val="批注框文本 字符"/>
    <w:link w:val="17"/>
    <w:semiHidden/>
    <w:qFormat/>
    <w:uiPriority w:val="99"/>
    <w:rPr>
      <w:rFonts w:ascii="Calibri" w:hAnsi="Calibri"/>
      <w:kern w:val="2"/>
      <w:sz w:val="18"/>
      <w:szCs w:val="18"/>
    </w:rPr>
  </w:style>
  <w:style w:type="paragraph" w:customStyle="1" w:styleId="46">
    <w:name w:val="0条 福州文本"/>
    <w:basedOn w:val="1"/>
    <w:autoRedefine/>
    <w:qFormat/>
    <w:uiPriority w:val="0"/>
    <w:pPr>
      <w:spacing w:beforeLines="100" w:after="100" w:afterAutospacing="1"/>
      <w:ind w:firstLine="0" w:firstLineChars="0"/>
      <w:jc w:val="center"/>
      <w:outlineLvl w:val="2"/>
    </w:pPr>
    <w:rPr>
      <w:rFonts w:ascii="黑体" w:hAnsi="黑体" w:eastAsia="黑体" w:cs="宋体"/>
      <w:b/>
      <w:sz w:val="30"/>
      <w:szCs w:val="30"/>
    </w:rPr>
  </w:style>
  <w:style w:type="character" w:customStyle="1" w:styleId="47">
    <w:name w:val="批注文字 字符"/>
    <w:basedOn w:val="29"/>
    <w:link w:val="11"/>
    <w:qFormat/>
    <w:uiPriority w:val="0"/>
    <w:rPr>
      <w:rFonts w:ascii="Calibri" w:hAnsi="Calibri" w:eastAsia="仿宋_GB2312"/>
      <w:kern w:val="2"/>
      <w:sz w:val="32"/>
      <w:szCs w:val="24"/>
    </w:rPr>
  </w:style>
  <w:style w:type="character" w:customStyle="1" w:styleId="48">
    <w:name w:val="批注主题 字符"/>
    <w:basedOn w:val="47"/>
    <w:link w:val="26"/>
    <w:semiHidden/>
    <w:qFormat/>
    <w:uiPriority w:val="99"/>
    <w:rPr>
      <w:rFonts w:ascii="Calibri" w:hAnsi="Calibri" w:eastAsia="仿宋_GB2312"/>
      <w:b/>
      <w:bCs/>
      <w:kern w:val="2"/>
      <w:sz w:val="32"/>
      <w:szCs w:val="24"/>
    </w:rPr>
  </w:style>
  <w:style w:type="character" w:customStyle="1" w:styleId="49">
    <w:name w:val="正文文本缩进 2 字符"/>
    <w:basedOn w:val="29"/>
    <w:link w:val="16"/>
    <w:qFormat/>
    <w:uiPriority w:val="0"/>
    <w:rPr>
      <w:rFonts w:eastAsia="仿宋_GB2312"/>
      <w:kern w:val="2"/>
      <w:sz w:val="32"/>
      <w:szCs w:val="24"/>
    </w:rPr>
  </w:style>
  <w:style w:type="paragraph" w:customStyle="1" w:styleId="50">
    <w:name w:val="TOC 标题1"/>
    <w:basedOn w:val="4"/>
    <w:next w:val="1"/>
    <w:unhideWhenUsed/>
    <w:qFormat/>
    <w:uiPriority w:val="39"/>
    <w:pPr>
      <w:widowControl/>
      <w:spacing w:before="240" w:after="0" w:line="259" w:lineRule="auto"/>
      <w:jc w:val="left"/>
      <w:outlineLvl w:val="9"/>
    </w:pPr>
    <w:rPr>
      <w:rFonts w:asciiTheme="majorHAnsi" w:hAnsiTheme="majorHAnsi" w:eastAsiaTheme="majorEastAsia" w:cstheme="majorBidi"/>
      <w:b/>
      <w:bCs w:val="0"/>
      <w:color w:val="2E75B6" w:themeColor="accent1" w:themeShade="BF"/>
      <w:kern w:val="0"/>
      <w:sz w:val="32"/>
      <w:szCs w:val="32"/>
    </w:rPr>
  </w:style>
  <w:style w:type="paragraph" w:customStyle="1" w:styleId="51">
    <w:name w:val="Revision"/>
    <w:hidden/>
    <w:semiHidden/>
    <w:qFormat/>
    <w:uiPriority w:val="99"/>
    <w:rPr>
      <w:rFonts w:ascii="Calibri" w:hAnsi="Calibri" w:eastAsia="仿宋_GB2312" w:cs="Times New Roman"/>
      <w:kern w:val="2"/>
      <w:sz w:val="32"/>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customXml" Target="../customXml/item2.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theme" Target="theme/theme1.xml"/><Relationship Id="rId15" Type="http://schemas.openxmlformats.org/officeDocument/2006/relationships/footer" Target="footer6.xml"/><Relationship Id="rId14" Type="http://schemas.openxmlformats.org/officeDocument/2006/relationships/header" Target="header5.xml"/><Relationship Id="rId13" Type="http://schemas.openxmlformats.org/officeDocument/2006/relationships/footer" Target="footer5.xml"/><Relationship Id="rId12" Type="http://schemas.openxmlformats.org/officeDocument/2006/relationships/header" Target="header4.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7C653E5-33E4-4E5E-A35A-20C306DD5455}">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52</Pages>
  <Words>10469</Words>
  <Characters>10924</Characters>
  <Lines>327</Lines>
  <Paragraphs>92</Paragraphs>
  <TotalTime>12</TotalTime>
  <ScaleCrop>false</ScaleCrop>
  <LinksUpToDate>false</LinksUpToDate>
  <CharactersWithSpaces>11090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2025-04-03T08:05:00Z</dcterms:created>
  <dc:creator>win10</dc:creator>
  <cp:lastModifiedBy>国富</cp:lastModifiedBy>
  <cp:lastPrinted>2025-09-02T03:01:00Z</cp:lastPrinted>
  <dcterms:modified xsi:type="dcterms:W3CDTF">2026-09-02T08:56:41Z</dcterms:modified>
  <cp:revision>113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7FAC62E7934F4338BE30C48BE729CABF_13</vt:lpwstr>
  </property>
  <property fmtid="{D5CDD505-2E9C-101B-9397-08002B2CF9AE}" pid="4" name="KSOTemplateDocerSaveRecord">
    <vt:lpwstr>eyJoZGlkIjoiZTFiNGU3MzM2ZDEwNTRlZTUwYzY4MGQ1NjVkMTJhOWUiLCJ1c2VySWQiOiI2MzU1Mjg2NzAifQ==</vt:lpwstr>
  </property>
</Properties>
</file>