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62E73">
      <w:pPr>
        <w:spacing w:line="240" w:lineRule="auto"/>
        <w:ind w:firstLine="0" w:firstLineChars="0"/>
        <w:jc w:val="center"/>
        <w:rPr>
          <w:rFonts w:hint="eastAsia" w:eastAsia="方正小标宋简体" w:cs="Times New Roman"/>
          <w:szCs w:val="32"/>
          <w:lang w:eastAsia="zh-CN"/>
        </w:rPr>
      </w:pPr>
    </w:p>
    <w:p w14:paraId="257DD684">
      <w:pPr>
        <w:spacing w:line="240" w:lineRule="auto"/>
        <w:ind w:firstLine="0" w:firstLineChars="0"/>
        <w:jc w:val="center"/>
        <w:rPr>
          <w:rFonts w:hint="eastAsia" w:eastAsia="方正小标宋简体" w:cs="Times New Roman"/>
          <w:szCs w:val="32"/>
          <w:lang w:eastAsia="zh-CN"/>
        </w:rPr>
      </w:pPr>
    </w:p>
    <w:p w14:paraId="09ED7F16">
      <w:pPr>
        <w:spacing w:line="240" w:lineRule="auto"/>
        <w:ind w:firstLine="0" w:firstLineChars="0"/>
        <w:jc w:val="center"/>
        <w:rPr>
          <w:rFonts w:hint="eastAsia" w:eastAsia="方正小标宋简体" w:cs="Times New Roman"/>
          <w:szCs w:val="32"/>
          <w:lang w:eastAsia="zh-CN"/>
        </w:rPr>
      </w:pPr>
    </w:p>
    <w:p w14:paraId="13695267">
      <w:pPr>
        <w:bidi w:val="0"/>
        <w:ind w:firstLine="0" w:firstLineChars="0"/>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val="en-US" w:eastAsia="zh-CN"/>
        </w:rPr>
        <w:t>桦川</w:t>
      </w:r>
      <w:r>
        <w:rPr>
          <w:rFonts w:ascii="Times New Roman" w:hAnsi="Times New Roman" w:eastAsia="方正小标宋简体" w:cs="Times New Roman"/>
          <w:sz w:val="44"/>
          <w:szCs w:val="44"/>
        </w:rPr>
        <w:t>县</w:t>
      </w:r>
      <w:r>
        <w:rPr>
          <w:rFonts w:hint="eastAsia" w:ascii="Times New Roman" w:hAnsi="Times New Roman" w:eastAsia="方正小标宋简体" w:cs="Times New Roman"/>
          <w:sz w:val="44"/>
          <w:szCs w:val="44"/>
          <w:lang w:val="en-US" w:eastAsia="zh-CN"/>
        </w:rPr>
        <w:t>悦来镇</w:t>
      </w:r>
      <w:r>
        <w:rPr>
          <w:rFonts w:ascii="Times New Roman" w:hAnsi="Times New Roman" w:eastAsia="方正小标宋简体" w:cs="Times New Roman"/>
          <w:sz w:val="44"/>
          <w:szCs w:val="44"/>
        </w:rPr>
        <w:t>国土空间总体规划</w:t>
      </w:r>
    </w:p>
    <w:p w14:paraId="05AC117F">
      <w:pPr>
        <w:ind w:firstLine="0" w:firstLineChars="0"/>
        <w:jc w:val="center"/>
        <w:rPr>
          <w:rFonts w:eastAsia="方正小标宋简体" w:cs="Times New Roman"/>
          <w:sz w:val="44"/>
          <w:szCs w:val="44"/>
        </w:rPr>
      </w:pPr>
    </w:p>
    <w:p w14:paraId="4A8AE6AD">
      <w:pPr>
        <w:ind w:firstLine="0" w:firstLineChars="0"/>
        <w:jc w:val="center"/>
        <w:rPr>
          <w:rFonts w:eastAsia="方正小标宋简体" w:cs="Times New Roman"/>
          <w:sz w:val="44"/>
          <w:szCs w:val="44"/>
        </w:rPr>
      </w:pPr>
      <w:r>
        <w:rPr>
          <w:rFonts w:eastAsia="方正小标宋简体" w:cs="Times New Roman"/>
          <w:sz w:val="44"/>
          <w:szCs w:val="44"/>
        </w:rPr>
        <w:t>（2021-2035年）</w:t>
      </w:r>
    </w:p>
    <w:p w14:paraId="4DC04999">
      <w:pPr>
        <w:ind w:firstLine="0" w:firstLineChars="0"/>
        <w:jc w:val="center"/>
        <w:rPr>
          <w:rFonts w:eastAsia="方正小标宋简体" w:cs="Times New Roman"/>
          <w:sz w:val="44"/>
          <w:szCs w:val="44"/>
        </w:rPr>
      </w:pPr>
    </w:p>
    <w:p w14:paraId="64D448BF">
      <w:pPr>
        <w:ind w:firstLine="0" w:firstLineChars="0"/>
        <w:jc w:val="center"/>
        <w:rPr>
          <w:rFonts w:eastAsia="方正小标宋简体" w:cs="Times New Roman"/>
          <w:sz w:val="44"/>
          <w:szCs w:val="44"/>
        </w:rPr>
      </w:pPr>
    </w:p>
    <w:p w14:paraId="3EF7C33E">
      <w:pPr>
        <w:ind w:firstLine="0" w:firstLineChars="0"/>
        <w:jc w:val="center"/>
        <w:rPr>
          <w:rFonts w:eastAsia="方正小标宋简体" w:cs="Times New Roman"/>
          <w:sz w:val="44"/>
          <w:szCs w:val="44"/>
        </w:rPr>
      </w:pPr>
    </w:p>
    <w:p w14:paraId="420A0507">
      <w:pPr>
        <w:ind w:firstLine="0" w:firstLineChars="0"/>
        <w:jc w:val="center"/>
        <w:rPr>
          <w:rFonts w:eastAsia="方正小标宋简体" w:cs="Times New Roman"/>
          <w:sz w:val="44"/>
          <w:szCs w:val="44"/>
        </w:rPr>
      </w:pPr>
    </w:p>
    <w:p w14:paraId="156FBFC7">
      <w:pPr>
        <w:ind w:firstLine="0" w:firstLineChars="0"/>
        <w:jc w:val="center"/>
        <w:rPr>
          <w:rFonts w:eastAsia="方正小标宋简体" w:cs="Times New Roman"/>
          <w:sz w:val="44"/>
          <w:szCs w:val="44"/>
        </w:rPr>
      </w:pPr>
    </w:p>
    <w:p w14:paraId="7B1CEDC9">
      <w:pPr>
        <w:ind w:firstLine="0" w:firstLineChars="0"/>
        <w:jc w:val="center"/>
        <w:rPr>
          <w:rFonts w:eastAsia="方正小标宋简体" w:cs="Times New Roman"/>
          <w:sz w:val="44"/>
          <w:szCs w:val="44"/>
        </w:rPr>
      </w:pPr>
    </w:p>
    <w:p w14:paraId="37C9774D">
      <w:pPr>
        <w:ind w:firstLine="0" w:firstLineChars="0"/>
        <w:jc w:val="center"/>
        <w:rPr>
          <w:rFonts w:eastAsia="方正小标宋简体" w:cs="Times New Roman"/>
          <w:sz w:val="44"/>
          <w:szCs w:val="44"/>
        </w:rPr>
      </w:pPr>
    </w:p>
    <w:p w14:paraId="46F28CE7">
      <w:pPr>
        <w:ind w:firstLine="0" w:firstLineChars="0"/>
        <w:jc w:val="center"/>
        <w:rPr>
          <w:rFonts w:eastAsia="方正小标宋简体" w:cs="Times New Roman"/>
          <w:sz w:val="44"/>
          <w:szCs w:val="44"/>
        </w:rPr>
      </w:pPr>
      <w:bookmarkStart w:id="190" w:name="_GoBack"/>
      <w:bookmarkEnd w:id="190"/>
    </w:p>
    <w:p w14:paraId="62146224">
      <w:pPr>
        <w:ind w:firstLine="0" w:firstLineChars="0"/>
        <w:jc w:val="center"/>
        <w:rPr>
          <w:rFonts w:eastAsia="方正小标宋简体" w:cs="Times New Roman"/>
          <w:sz w:val="44"/>
          <w:szCs w:val="44"/>
        </w:rPr>
      </w:pPr>
    </w:p>
    <w:p w14:paraId="4305F251">
      <w:pPr>
        <w:ind w:firstLine="0" w:firstLineChars="0"/>
        <w:jc w:val="center"/>
        <w:rPr>
          <w:rFonts w:eastAsia="方正小标宋简体" w:cs="Times New Roman"/>
          <w:sz w:val="44"/>
          <w:szCs w:val="44"/>
        </w:rPr>
      </w:pPr>
    </w:p>
    <w:p w14:paraId="562DF533">
      <w:pPr>
        <w:ind w:firstLine="0" w:firstLineChars="0"/>
        <w:jc w:val="center"/>
        <w:rPr>
          <w:rFonts w:eastAsia="方正小标宋简体" w:cs="Times New Roman"/>
          <w:sz w:val="44"/>
          <w:szCs w:val="44"/>
        </w:rPr>
      </w:pPr>
    </w:p>
    <w:p w14:paraId="3C249552">
      <w:pPr>
        <w:ind w:firstLine="0" w:firstLineChars="0"/>
        <w:jc w:val="center"/>
        <w:rPr>
          <w:rFonts w:eastAsia="方正小标宋简体" w:cs="Times New Roman"/>
          <w:szCs w:val="32"/>
        </w:rPr>
      </w:pPr>
      <w:r>
        <w:rPr>
          <w:rFonts w:hint="eastAsia" w:eastAsia="方正小标宋简体" w:cs="Times New Roman"/>
          <w:szCs w:val="32"/>
          <w:lang w:val="en-US" w:eastAsia="zh-CN"/>
        </w:rPr>
        <w:t>悦来镇</w:t>
      </w:r>
      <w:r>
        <w:rPr>
          <w:rFonts w:eastAsia="方正小标宋简体" w:cs="Times New Roman"/>
          <w:szCs w:val="32"/>
        </w:rPr>
        <w:t>人民政府</w:t>
      </w:r>
    </w:p>
    <w:p w14:paraId="63421987">
      <w:pPr>
        <w:spacing w:line="240" w:lineRule="auto"/>
        <w:ind w:firstLine="0" w:firstLineChars="0"/>
        <w:jc w:val="center"/>
        <w:rPr>
          <w:rFonts w:hint="eastAsia" w:eastAsia="方正小标宋简体" w:cs="Times New Roman"/>
          <w:szCs w:val="32"/>
          <w:lang w:eastAsia="zh-CN"/>
        </w:rPr>
      </w:pPr>
      <w:r>
        <w:rPr>
          <w:rFonts w:eastAsia="方正小标宋简体" w:cs="Times New Roman"/>
          <w:szCs w:val="32"/>
        </w:rPr>
        <w:t>二</w:t>
      </w:r>
      <w:r>
        <w:rPr>
          <w:rFonts w:eastAsia="宋体" w:cs="Times New Roman"/>
          <w:szCs w:val="32"/>
        </w:rPr>
        <w:t>〇</w:t>
      </w:r>
      <w:r>
        <w:rPr>
          <w:rFonts w:eastAsia="方正小标宋简体" w:cs="Times New Roman"/>
          <w:szCs w:val="32"/>
        </w:rPr>
        <w:t>二</w:t>
      </w:r>
      <w:r>
        <w:rPr>
          <w:rFonts w:hint="eastAsia" w:eastAsia="方正小标宋简体" w:cs="Times New Roman"/>
          <w:szCs w:val="32"/>
          <w:lang w:val="en-US" w:eastAsia="zh-CN"/>
        </w:rPr>
        <w:t>五</w:t>
      </w:r>
      <w:r>
        <w:rPr>
          <w:rFonts w:eastAsia="方正小标宋简体" w:cs="Times New Roman"/>
          <w:szCs w:val="32"/>
        </w:rPr>
        <w:t>年</w:t>
      </w:r>
      <w:r>
        <w:rPr>
          <w:rFonts w:hint="eastAsia" w:eastAsia="方正小标宋简体" w:cs="Times New Roman"/>
          <w:szCs w:val="32"/>
          <w:lang w:val="en-US" w:eastAsia="zh-CN"/>
        </w:rPr>
        <w:t>五</w:t>
      </w:r>
      <w:r>
        <w:rPr>
          <w:rFonts w:eastAsia="方正小标宋简体" w:cs="Times New Roman"/>
          <w:szCs w:val="32"/>
        </w:rPr>
        <w:t>月</w:t>
      </w:r>
    </w:p>
    <w:p w14:paraId="23668912">
      <w:pPr>
        <w:pageBreakBefore w:val="0"/>
        <w:widowControl w:val="0"/>
        <w:kinsoku/>
        <w:wordWrap/>
        <w:overflowPunct/>
        <w:topLinePunct w:val="0"/>
        <w:autoSpaceDE/>
        <w:autoSpaceDN/>
        <w:bidi w:val="0"/>
        <w:adjustRightInd/>
        <w:snapToGrid/>
        <w:spacing w:line="600" w:lineRule="atLeast"/>
        <w:ind w:left="0" w:leftChars="0"/>
        <w:jc w:val="center"/>
        <w:textAlignment w:val="auto"/>
        <w:rPr>
          <w:rFonts w:hint="eastAsia" w:ascii="黑体" w:hAnsi="黑体" w:eastAsia="黑体" w:cs="黑体"/>
          <w:b w:val="0"/>
          <w:bCs w:val="0"/>
          <w:color w:val="auto"/>
          <w:sz w:val="32"/>
          <w:szCs w:val="32"/>
          <w:highlight w:val="none"/>
        </w:rPr>
        <w:sectPr>
          <w:footerReference r:id="rId5" w:type="default"/>
          <w:pgSz w:w="11906" w:h="16838"/>
          <w:pgMar w:top="1440" w:right="1803" w:bottom="1440" w:left="1803" w:header="851" w:footer="992" w:gutter="0"/>
          <w:paperSrc/>
          <w:pgNumType w:fmt="lowerRoman" w:start="1"/>
          <w:cols w:space="0" w:num="1"/>
          <w:rtlGutter w:val="0"/>
          <w:docGrid w:type="lines" w:linePitch="436" w:charSpace="0"/>
        </w:sectPr>
      </w:pPr>
    </w:p>
    <w:sdt>
      <w:sdtPr>
        <w:rPr>
          <w:rFonts w:hint="eastAsia" w:ascii="黑体" w:hAnsi="黑体" w:eastAsia="黑体" w:cs="黑体"/>
          <w:b w:val="0"/>
          <w:bCs w:val="0"/>
          <w:color w:val="auto"/>
          <w:sz w:val="32"/>
          <w:szCs w:val="32"/>
          <w:highlight w:val="none"/>
        </w:rPr>
        <w:id w:val="147453878"/>
        <w15:color w:val="DBDBDB"/>
        <w:docPartObj>
          <w:docPartGallery w:val="Table of Contents"/>
          <w:docPartUnique/>
        </w:docPartObj>
      </w:sdtPr>
      <w:sdtEndPr>
        <w:rPr>
          <w:rFonts w:hint="default" w:ascii="Times New Roman" w:hAnsi="Times New Roman" w:eastAsia="宋体" w:cs="Times New Roman"/>
          <w:b w:val="0"/>
          <w:bCs w:val="0"/>
          <w:color w:val="auto"/>
          <w:sz w:val="21"/>
          <w:szCs w:val="32"/>
          <w:highlight w:val="none"/>
        </w:rPr>
      </w:sdtEndPr>
      <w:sdtContent>
        <w:p w14:paraId="1DEEB762">
          <w:pPr>
            <w:pageBreakBefore w:val="0"/>
            <w:widowControl w:val="0"/>
            <w:kinsoku/>
            <w:wordWrap/>
            <w:overflowPunct/>
            <w:topLinePunct w:val="0"/>
            <w:autoSpaceDE/>
            <w:autoSpaceDN/>
            <w:bidi w:val="0"/>
            <w:adjustRightInd/>
            <w:snapToGrid/>
            <w:spacing w:before="156" w:beforeLines="50" w:after="156" w:afterLines="50" w:line="600" w:lineRule="atLeast"/>
            <w:ind w:left="0" w:leftChars="0" w:firstLine="0" w:firstLineChars="0"/>
            <w:jc w:val="center"/>
            <w:textAlignment w:val="auto"/>
            <w:rPr>
              <w:rFonts w:hint="default" w:ascii="Times New Roman" w:hAnsi="Times New Roman" w:eastAsia="仿宋_GB2312" w:cs="Times New Roman"/>
              <w:b w:val="0"/>
              <w:bCs w:val="0"/>
              <w:color w:val="auto"/>
              <w:kern w:val="2"/>
              <w:sz w:val="32"/>
              <w:szCs w:val="20"/>
              <w:highlight w:val="none"/>
              <w:lang w:val="en-US" w:eastAsia="zh-CN" w:bidi="ar-SA"/>
            </w:rPr>
          </w:pPr>
          <w:r>
            <w:rPr>
              <w:rFonts w:hint="eastAsia" w:eastAsia="黑体" w:cs="Times New Roman"/>
              <w:szCs w:val="32"/>
            </w:rPr>
            <w:t xml:space="preserve">目 </w:t>
          </w:r>
          <w:r>
            <w:rPr>
              <w:rFonts w:eastAsia="黑体" w:cs="Times New Roman"/>
              <w:szCs w:val="32"/>
            </w:rPr>
            <w:t xml:space="preserve"> </w:t>
          </w:r>
          <w:r>
            <w:rPr>
              <w:rFonts w:hint="eastAsia" w:eastAsia="黑体" w:cs="Times New Roman"/>
              <w:szCs w:val="32"/>
            </w:rPr>
            <w:t>录</w:t>
          </w:r>
          <w:r>
            <w:rPr>
              <w:rFonts w:hint="default" w:ascii="Times New Roman" w:hAnsi="Times New Roman" w:eastAsia="宋体" w:cs="Times New Roman"/>
              <w:b w:val="0"/>
              <w:bCs w:val="0"/>
              <w:color w:val="auto"/>
              <w:kern w:val="0"/>
              <w:sz w:val="20"/>
              <w:szCs w:val="20"/>
              <w:highlight w:val="none"/>
            </w:rPr>
            <w:fldChar w:fldCharType="begin"/>
          </w:r>
          <w:r>
            <w:rPr>
              <w:rFonts w:hint="default" w:ascii="Times New Roman" w:hAnsi="Times New Roman" w:cs="Times New Roman"/>
              <w:b w:val="0"/>
              <w:bCs w:val="0"/>
              <w:color w:val="auto"/>
              <w:sz w:val="20"/>
              <w:szCs w:val="20"/>
              <w:highlight w:val="none"/>
            </w:rPr>
            <w:instrText xml:space="preserve">TOC \o "1-2" \h \u </w:instrText>
          </w:r>
          <w:r>
            <w:rPr>
              <w:rFonts w:hint="default" w:ascii="Times New Roman" w:hAnsi="Times New Roman" w:eastAsia="宋体" w:cs="Times New Roman"/>
              <w:b w:val="0"/>
              <w:bCs w:val="0"/>
              <w:color w:val="auto"/>
              <w:kern w:val="0"/>
              <w:sz w:val="20"/>
              <w:szCs w:val="20"/>
              <w:highlight w:val="none"/>
            </w:rPr>
            <w:fldChar w:fldCharType="separate"/>
          </w:r>
        </w:p>
        <w:p w14:paraId="3D3D6EFF">
          <w:pPr>
            <w:pStyle w:val="11"/>
            <w:tabs>
              <w:tab w:val="right" w:leader="dot" w:pos="8300"/>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_Toc14449 </w:instrText>
          </w:r>
          <w:r>
            <w:rPr>
              <w:rFonts w:hint="default" w:ascii="Times New Roman" w:hAnsi="Times New Roman" w:cs="Times New Roman"/>
              <w:bCs w:val="0"/>
              <w:szCs w:val="20"/>
              <w:highlight w:val="none"/>
            </w:rPr>
            <w:fldChar w:fldCharType="separate"/>
          </w:r>
          <w:r>
            <w:rPr>
              <w:rFonts w:hint="eastAsia" w:ascii="宋体" w:hAnsi="宋体" w:eastAsia="方正小标宋简体" w:cs="方正小标宋简体"/>
              <w:bCs w:val="0"/>
              <w:szCs w:val="36"/>
              <w:lang w:val="en-US" w:eastAsia="zh-CN"/>
            </w:rPr>
            <w:t xml:space="preserve">第一章 </w:t>
          </w:r>
          <w:r>
            <w:rPr>
              <w:rFonts w:hint="eastAsia"/>
              <w:lang w:val="en-US" w:eastAsia="zh-CN"/>
            </w:rPr>
            <w:t>总则</w:t>
          </w:r>
          <w:r>
            <w:tab/>
          </w:r>
          <w:r>
            <w:fldChar w:fldCharType="begin"/>
          </w:r>
          <w:r>
            <w:instrText xml:space="preserve"> PAGEREF _Toc14449 \h </w:instrText>
          </w:r>
          <w:r>
            <w:fldChar w:fldCharType="separate"/>
          </w:r>
          <w:r>
            <w:t>3</w:t>
          </w:r>
          <w:r>
            <w:fldChar w:fldCharType="end"/>
          </w:r>
          <w:r>
            <w:rPr>
              <w:rFonts w:hint="default" w:ascii="Times New Roman" w:hAnsi="Times New Roman" w:cs="Times New Roman"/>
              <w:bCs w:val="0"/>
              <w:color w:val="auto"/>
              <w:szCs w:val="20"/>
              <w:highlight w:val="none"/>
            </w:rPr>
            <w:fldChar w:fldCharType="end"/>
          </w:r>
        </w:p>
        <w:p w14:paraId="0977BD3A">
          <w:pPr>
            <w:pStyle w:val="11"/>
            <w:tabs>
              <w:tab w:val="right" w:leader="dot" w:pos="8300"/>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_Toc1694 </w:instrText>
          </w:r>
          <w:r>
            <w:rPr>
              <w:rFonts w:hint="default" w:ascii="Times New Roman" w:hAnsi="Times New Roman" w:cs="Times New Roman"/>
              <w:bCs w:val="0"/>
              <w:szCs w:val="20"/>
              <w:highlight w:val="none"/>
            </w:rPr>
            <w:fldChar w:fldCharType="separate"/>
          </w:r>
          <w:r>
            <w:rPr>
              <w:rFonts w:hint="eastAsia" w:ascii="宋体" w:hAnsi="宋体" w:eastAsia="方正小标宋简体" w:cs="方正小标宋简体"/>
              <w:bCs w:val="0"/>
              <w:szCs w:val="36"/>
              <w:lang w:val="en-US"/>
            </w:rPr>
            <w:t xml:space="preserve">第二章 </w:t>
          </w:r>
          <w:r>
            <w:rPr>
              <w:rFonts w:hint="eastAsia"/>
              <w:lang w:val="en-US" w:eastAsia="zh-CN"/>
            </w:rPr>
            <w:t>目标定位与空间策略</w:t>
          </w:r>
          <w:r>
            <w:tab/>
          </w:r>
          <w:r>
            <w:fldChar w:fldCharType="begin"/>
          </w:r>
          <w:r>
            <w:instrText xml:space="preserve"> PAGEREF _Toc1694 \h </w:instrText>
          </w:r>
          <w:r>
            <w:fldChar w:fldCharType="separate"/>
          </w:r>
          <w:r>
            <w:t>9</w:t>
          </w:r>
          <w:r>
            <w:fldChar w:fldCharType="end"/>
          </w:r>
          <w:r>
            <w:rPr>
              <w:rFonts w:hint="default" w:ascii="Times New Roman" w:hAnsi="Times New Roman" w:cs="Times New Roman"/>
              <w:bCs w:val="0"/>
              <w:color w:val="auto"/>
              <w:szCs w:val="20"/>
              <w:highlight w:val="none"/>
            </w:rPr>
            <w:fldChar w:fldCharType="end"/>
          </w:r>
        </w:p>
        <w:p w14:paraId="14CA2A2E">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_Toc3055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rPr>
            <w:t xml:space="preserve">第一节 </w:t>
          </w:r>
          <w:r>
            <w:t>规划目标</w:t>
          </w:r>
          <w:r>
            <w:rPr>
              <w:rFonts w:hint="eastAsia"/>
            </w:rPr>
            <w:t>与指标体系</w:t>
          </w:r>
          <w:r>
            <w:tab/>
          </w:r>
          <w:r>
            <w:fldChar w:fldCharType="begin"/>
          </w:r>
          <w:r>
            <w:instrText xml:space="preserve"> PAGEREF _Toc3055 \h </w:instrText>
          </w:r>
          <w:r>
            <w:fldChar w:fldCharType="separate"/>
          </w:r>
          <w:r>
            <w:t>9</w:t>
          </w:r>
          <w:r>
            <w:fldChar w:fldCharType="end"/>
          </w:r>
          <w:r>
            <w:rPr>
              <w:rFonts w:hint="default" w:ascii="Times New Roman" w:hAnsi="Times New Roman" w:cs="Times New Roman"/>
              <w:bCs w:val="0"/>
              <w:color w:val="auto"/>
              <w:szCs w:val="20"/>
              <w:highlight w:val="none"/>
            </w:rPr>
            <w:fldChar w:fldCharType="end"/>
          </w:r>
        </w:p>
        <w:p w14:paraId="592F6D20">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_Toc5215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lang w:val="en-US"/>
            </w:rPr>
            <w:t xml:space="preserve">第二节 </w:t>
          </w:r>
          <w:r>
            <w:rPr>
              <w:rFonts w:hint="eastAsia"/>
              <w:lang w:val="en-US" w:eastAsia="zh-CN"/>
            </w:rPr>
            <w:t>空间策略</w:t>
          </w:r>
          <w:r>
            <w:tab/>
          </w:r>
          <w:r>
            <w:fldChar w:fldCharType="begin"/>
          </w:r>
          <w:r>
            <w:instrText xml:space="preserve"> PAGEREF _Toc5215 \h </w:instrText>
          </w:r>
          <w:r>
            <w:fldChar w:fldCharType="separate"/>
          </w:r>
          <w:r>
            <w:t>11</w:t>
          </w:r>
          <w:r>
            <w:fldChar w:fldCharType="end"/>
          </w:r>
          <w:r>
            <w:rPr>
              <w:rFonts w:hint="default" w:ascii="Times New Roman" w:hAnsi="Times New Roman" w:cs="Times New Roman"/>
              <w:bCs w:val="0"/>
              <w:color w:val="auto"/>
              <w:szCs w:val="20"/>
              <w:highlight w:val="none"/>
            </w:rPr>
            <w:fldChar w:fldCharType="end"/>
          </w:r>
        </w:p>
        <w:p w14:paraId="3CF11156">
          <w:pPr>
            <w:pStyle w:val="11"/>
            <w:tabs>
              <w:tab w:val="right" w:leader="dot" w:pos="8300"/>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_Toc14866 </w:instrText>
          </w:r>
          <w:r>
            <w:rPr>
              <w:rFonts w:hint="default" w:ascii="Times New Roman" w:hAnsi="Times New Roman" w:cs="Times New Roman"/>
              <w:bCs w:val="0"/>
              <w:szCs w:val="20"/>
              <w:highlight w:val="none"/>
            </w:rPr>
            <w:fldChar w:fldCharType="separate"/>
          </w:r>
          <w:r>
            <w:rPr>
              <w:rFonts w:hint="eastAsia" w:ascii="宋体" w:hAnsi="宋体" w:eastAsia="方正小标宋简体" w:cs="方正小标宋简体"/>
              <w:bCs w:val="0"/>
              <w:szCs w:val="36"/>
            </w:rPr>
            <w:t xml:space="preserve">第三章 </w:t>
          </w:r>
          <w:r>
            <w:rPr>
              <w:rFonts w:hint="default"/>
            </w:rPr>
            <w:t>构筑国土空间开发保护新格局</w:t>
          </w:r>
          <w:r>
            <w:tab/>
          </w:r>
          <w:r>
            <w:fldChar w:fldCharType="begin"/>
          </w:r>
          <w:r>
            <w:instrText xml:space="preserve"> PAGEREF _Toc14866 \h </w:instrText>
          </w:r>
          <w:r>
            <w:fldChar w:fldCharType="separate"/>
          </w:r>
          <w:r>
            <w:t>13</w:t>
          </w:r>
          <w:r>
            <w:fldChar w:fldCharType="end"/>
          </w:r>
          <w:r>
            <w:rPr>
              <w:rFonts w:hint="default" w:ascii="Times New Roman" w:hAnsi="Times New Roman" w:cs="Times New Roman"/>
              <w:bCs w:val="0"/>
              <w:color w:val="auto"/>
              <w:szCs w:val="20"/>
              <w:highlight w:val="none"/>
            </w:rPr>
            <w:fldChar w:fldCharType="end"/>
          </w:r>
        </w:p>
        <w:p w14:paraId="7547C380">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_Toc13154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lang w:val="en-US" w:eastAsia="zh-CN"/>
            </w:rPr>
            <w:t xml:space="preserve">第一节 </w:t>
          </w:r>
          <w:r>
            <w:rPr>
              <w:rFonts w:hint="eastAsia"/>
              <w:lang w:val="en-US" w:eastAsia="zh-CN"/>
            </w:rPr>
            <w:t>区域协调</w:t>
          </w:r>
          <w:r>
            <w:tab/>
          </w:r>
          <w:r>
            <w:fldChar w:fldCharType="begin"/>
          </w:r>
          <w:r>
            <w:instrText xml:space="preserve"> PAGEREF _Toc13154 \h </w:instrText>
          </w:r>
          <w:r>
            <w:fldChar w:fldCharType="separate"/>
          </w:r>
          <w:r>
            <w:t>13</w:t>
          </w:r>
          <w:r>
            <w:fldChar w:fldCharType="end"/>
          </w:r>
          <w:r>
            <w:rPr>
              <w:rFonts w:hint="default" w:ascii="Times New Roman" w:hAnsi="Times New Roman" w:cs="Times New Roman"/>
              <w:bCs w:val="0"/>
              <w:color w:val="auto"/>
              <w:szCs w:val="20"/>
              <w:highlight w:val="none"/>
            </w:rPr>
            <w:fldChar w:fldCharType="end"/>
          </w:r>
        </w:p>
        <w:p w14:paraId="4D86CC39">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_Toc20973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lang w:val="en-US" w:eastAsia="zh-CN"/>
            </w:rPr>
            <w:t xml:space="preserve">第二节 </w:t>
          </w:r>
          <w:r>
            <w:rPr>
              <w:rFonts w:hint="eastAsia"/>
              <w:lang w:val="en-US" w:eastAsia="zh-CN"/>
            </w:rPr>
            <w:t>落实主体功能区战略</w:t>
          </w:r>
          <w:r>
            <w:tab/>
          </w:r>
          <w:r>
            <w:fldChar w:fldCharType="begin"/>
          </w:r>
          <w:r>
            <w:instrText xml:space="preserve"> PAGEREF _Toc20973 \h </w:instrText>
          </w:r>
          <w:r>
            <w:fldChar w:fldCharType="separate"/>
          </w:r>
          <w:r>
            <w:t>14</w:t>
          </w:r>
          <w:r>
            <w:fldChar w:fldCharType="end"/>
          </w:r>
          <w:r>
            <w:rPr>
              <w:rFonts w:hint="default" w:ascii="Times New Roman" w:hAnsi="Times New Roman" w:cs="Times New Roman"/>
              <w:bCs w:val="0"/>
              <w:color w:val="auto"/>
              <w:szCs w:val="20"/>
              <w:highlight w:val="none"/>
            </w:rPr>
            <w:fldChar w:fldCharType="end"/>
          </w:r>
        </w:p>
        <w:p w14:paraId="3AFDC4AE">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_Toc14790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lang w:val="en-US" w:eastAsia="zh-CN"/>
            </w:rPr>
            <w:t xml:space="preserve">第三节 </w:t>
          </w:r>
          <w:r>
            <w:rPr>
              <w:rFonts w:hint="default"/>
              <w:lang w:val="en-US" w:eastAsia="zh-CN"/>
            </w:rPr>
            <w:t>优化国土空间开发保护格局</w:t>
          </w:r>
          <w:r>
            <w:tab/>
          </w:r>
          <w:r>
            <w:fldChar w:fldCharType="begin"/>
          </w:r>
          <w:r>
            <w:instrText xml:space="preserve"> PAGEREF _Toc14790 \h </w:instrText>
          </w:r>
          <w:r>
            <w:fldChar w:fldCharType="separate"/>
          </w:r>
          <w:r>
            <w:t>14</w:t>
          </w:r>
          <w:r>
            <w:fldChar w:fldCharType="end"/>
          </w:r>
          <w:r>
            <w:rPr>
              <w:rFonts w:hint="default" w:ascii="Times New Roman" w:hAnsi="Times New Roman" w:cs="Times New Roman"/>
              <w:bCs w:val="0"/>
              <w:color w:val="auto"/>
              <w:szCs w:val="20"/>
              <w:highlight w:val="none"/>
            </w:rPr>
            <w:fldChar w:fldCharType="end"/>
          </w:r>
        </w:p>
        <w:p w14:paraId="5E9EB2B8">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_Toc20216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lang w:val="en-US" w:eastAsia="zh-CN"/>
            </w:rPr>
            <w:t xml:space="preserve">第四节 </w:t>
          </w:r>
          <w:r>
            <w:rPr>
              <w:rFonts w:hint="eastAsia"/>
              <w:lang w:val="en-US" w:eastAsia="zh-CN"/>
            </w:rPr>
            <w:t>规划分区</w:t>
          </w:r>
          <w:r>
            <w:tab/>
          </w:r>
          <w:r>
            <w:fldChar w:fldCharType="begin"/>
          </w:r>
          <w:r>
            <w:instrText xml:space="preserve"> PAGEREF _Toc20216 \h </w:instrText>
          </w:r>
          <w:r>
            <w:fldChar w:fldCharType="separate"/>
          </w:r>
          <w:r>
            <w:t>15</w:t>
          </w:r>
          <w:r>
            <w:fldChar w:fldCharType="end"/>
          </w:r>
          <w:r>
            <w:rPr>
              <w:rFonts w:hint="default" w:ascii="Times New Roman" w:hAnsi="Times New Roman" w:cs="Times New Roman"/>
              <w:bCs w:val="0"/>
              <w:color w:val="auto"/>
              <w:szCs w:val="20"/>
              <w:highlight w:val="none"/>
            </w:rPr>
            <w:fldChar w:fldCharType="end"/>
          </w:r>
        </w:p>
        <w:p w14:paraId="1E6AF8A1">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_Toc9120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lang w:val="en-US" w:eastAsia="zh-CN"/>
            </w:rPr>
            <w:t xml:space="preserve">第五节 </w:t>
          </w:r>
          <w:r>
            <w:rPr>
              <w:rFonts w:hint="eastAsia"/>
              <w:lang w:val="en-US" w:eastAsia="zh-CN"/>
            </w:rPr>
            <w:t>国土空间用地功能结构调整</w:t>
          </w:r>
          <w:r>
            <w:tab/>
          </w:r>
          <w:r>
            <w:fldChar w:fldCharType="begin"/>
          </w:r>
          <w:r>
            <w:instrText xml:space="preserve"> PAGEREF _Toc9120 \h </w:instrText>
          </w:r>
          <w:r>
            <w:fldChar w:fldCharType="separate"/>
          </w:r>
          <w:r>
            <w:t>16</w:t>
          </w:r>
          <w:r>
            <w:fldChar w:fldCharType="end"/>
          </w:r>
          <w:r>
            <w:rPr>
              <w:rFonts w:hint="default" w:ascii="Times New Roman" w:hAnsi="Times New Roman" w:cs="Times New Roman"/>
              <w:bCs w:val="0"/>
              <w:color w:val="auto"/>
              <w:szCs w:val="20"/>
              <w:highlight w:val="none"/>
            </w:rPr>
            <w:fldChar w:fldCharType="end"/>
          </w:r>
        </w:p>
        <w:p w14:paraId="2B4612E6">
          <w:pPr>
            <w:pStyle w:val="11"/>
            <w:tabs>
              <w:tab w:val="right" w:leader="dot" w:pos="8300"/>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_Toc14752 </w:instrText>
          </w:r>
          <w:r>
            <w:rPr>
              <w:rFonts w:hint="default" w:ascii="Times New Roman" w:hAnsi="Times New Roman" w:cs="Times New Roman"/>
              <w:bCs w:val="0"/>
              <w:szCs w:val="20"/>
              <w:highlight w:val="none"/>
            </w:rPr>
            <w:fldChar w:fldCharType="separate"/>
          </w:r>
          <w:r>
            <w:rPr>
              <w:rFonts w:hint="eastAsia" w:ascii="宋体" w:hAnsi="宋体" w:eastAsia="方正小标宋简体" w:cs="方正小标宋简体"/>
              <w:bCs w:val="0"/>
              <w:szCs w:val="36"/>
              <w:lang w:val="en-US" w:eastAsia="zh-CN"/>
            </w:rPr>
            <w:t xml:space="preserve">第四章 </w:t>
          </w:r>
          <w:r>
            <w:rPr>
              <w:rFonts w:hint="eastAsia"/>
              <w:lang w:val="en-US" w:eastAsia="zh-CN"/>
            </w:rPr>
            <w:t>空间布局优化</w:t>
          </w:r>
          <w:r>
            <w:tab/>
          </w:r>
          <w:r>
            <w:fldChar w:fldCharType="begin"/>
          </w:r>
          <w:r>
            <w:instrText xml:space="preserve"> PAGEREF _Toc14752 \h </w:instrText>
          </w:r>
          <w:r>
            <w:fldChar w:fldCharType="separate"/>
          </w:r>
          <w:r>
            <w:t>18</w:t>
          </w:r>
          <w:r>
            <w:fldChar w:fldCharType="end"/>
          </w:r>
          <w:r>
            <w:rPr>
              <w:rFonts w:hint="default" w:ascii="Times New Roman" w:hAnsi="Times New Roman" w:cs="Times New Roman"/>
              <w:bCs w:val="0"/>
              <w:color w:val="auto"/>
              <w:szCs w:val="20"/>
              <w:highlight w:val="none"/>
            </w:rPr>
            <w:fldChar w:fldCharType="end"/>
          </w:r>
        </w:p>
        <w:p w14:paraId="68208013">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_Toc2464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lang w:val="en-US" w:eastAsia="zh-CN"/>
            </w:rPr>
            <w:t xml:space="preserve">第一节 </w:t>
          </w:r>
          <w:r>
            <w:rPr>
              <w:rFonts w:hint="eastAsia"/>
              <w:lang w:val="en-US" w:eastAsia="zh-CN"/>
            </w:rPr>
            <w:t>农业生产空间</w:t>
          </w:r>
          <w:r>
            <w:tab/>
          </w:r>
          <w:r>
            <w:fldChar w:fldCharType="begin"/>
          </w:r>
          <w:r>
            <w:instrText xml:space="preserve"> PAGEREF _Toc2464 \h </w:instrText>
          </w:r>
          <w:r>
            <w:fldChar w:fldCharType="separate"/>
          </w:r>
          <w:r>
            <w:t>18</w:t>
          </w:r>
          <w:r>
            <w:fldChar w:fldCharType="end"/>
          </w:r>
          <w:r>
            <w:rPr>
              <w:rFonts w:hint="default" w:ascii="Times New Roman" w:hAnsi="Times New Roman" w:cs="Times New Roman"/>
              <w:bCs w:val="0"/>
              <w:color w:val="auto"/>
              <w:szCs w:val="20"/>
              <w:highlight w:val="none"/>
            </w:rPr>
            <w:fldChar w:fldCharType="end"/>
          </w:r>
        </w:p>
        <w:p w14:paraId="5B814D26">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_Toc14802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lang w:val="en-US" w:eastAsia="zh-CN"/>
            </w:rPr>
            <w:t xml:space="preserve">第二节 </w:t>
          </w:r>
          <w:r>
            <w:rPr>
              <w:rFonts w:hint="eastAsia"/>
              <w:lang w:val="en-US" w:eastAsia="zh-CN"/>
            </w:rPr>
            <w:t>生态功能空间</w:t>
          </w:r>
          <w:r>
            <w:tab/>
          </w:r>
          <w:r>
            <w:fldChar w:fldCharType="begin"/>
          </w:r>
          <w:r>
            <w:instrText xml:space="preserve"> PAGEREF _Toc14802 \h </w:instrText>
          </w:r>
          <w:r>
            <w:fldChar w:fldCharType="separate"/>
          </w:r>
          <w:r>
            <w:t>20</w:t>
          </w:r>
          <w:r>
            <w:fldChar w:fldCharType="end"/>
          </w:r>
          <w:r>
            <w:rPr>
              <w:rFonts w:hint="default" w:ascii="Times New Roman" w:hAnsi="Times New Roman" w:cs="Times New Roman"/>
              <w:bCs w:val="0"/>
              <w:color w:val="auto"/>
              <w:szCs w:val="20"/>
              <w:highlight w:val="none"/>
            </w:rPr>
            <w:fldChar w:fldCharType="end"/>
          </w:r>
        </w:p>
        <w:p w14:paraId="4B2E22CA">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_Toc1564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lang w:val="en-US" w:eastAsia="zh-CN"/>
            </w:rPr>
            <w:t xml:space="preserve">第三节 </w:t>
          </w:r>
          <w:r>
            <w:rPr>
              <w:rFonts w:hint="eastAsia"/>
              <w:lang w:val="en-US" w:eastAsia="zh-CN"/>
            </w:rPr>
            <w:t>构建镇村空间开发格局</w:t>
          </w:r>
          <w:r>
            <w:tab/>
          </w:r>
          <w:r>
            <w:fldChar w:fldCharType="begin"/>
          </w:r>
          <w:r>
            <w:instrText xml:space="preserve"> PAGEREF _Toc1564 \h </w:instrText>
          </w:r>
          <w:r>
            <w:fldChar w:fldCharType="separate"/>
          </w:r>
          <w:r>
            <w:t>25</w:t>
          </w:r>
          <w:r>
            <w:fldChar w:fldCharType="end"/>
          </w:r>
          <w:r>
            <w:rPr>
              <w:rFonts w:hint="default" w:ascii="Times New Roman" w:hAnsi="Times New Roman" w:cs="Times New Roman"/>
              <w:bCs w:val="0"/>
              <w:color w:val="auto"/>
              <w:szCs w:val="20"/>
              <w:highlight w:val="none"/>
            </w:rPr>
            <w:fldChar w:fldCharType="end"/>
          </w:r>
        </w:p>
        <w:p w14:paraId="1CF2644D">
          <w:pPr>
            <w:pStyle w:val="11"/>
            <w:tabs>
              <w:tab w:val="right" w:leader="dot" w:pos="8300"/>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_Toc4691 </w:instrText>
          </w:r>
          <w:r>
            <w:rPr>
              <w:rFonts w:hint="default" w:ascii="Times New Roman" w:hAnsi="Times New Roman" w:cs="Times New Roman"/>
              <w:bCs w:val="0"/>
              <w:szCs w:val="20"/>
              <w:highlight w:val="none"/>
            </w:rPr>
            <w:fldChar w:fldCharType="separate"/>
          </w:r>
          <w:r>
            <w:rPr>
              <w:rFonts w:hint="eastAsia" w:ascii="宋体" w:hAnsi="宋体" w:eastAsia="方正小标宋简体" w:cs="方正小标宋简体"/>
              <w:bCs w:val="0"/>
              <w:szCs w:val="36"/>
              <w:lang w:val="en-US"/>
            </w:rPr>
            <w:t xml:space="preserve">第五章 </w:t>
          </w:r>
          <w:r>
            <w:rPr>
              <w:rFonts w:hint="eastAsia"/>
              <w:lang w:val="en-US" w:eastAsia="zh-CN"/>
            </w:rPr>
            <w:t>镇政府驻地用地布局与结构</w:t>
          </w:r>
          <w:r>
            <w:tab/>
          </w:r>
          <w:r>
            <w:fldChar w:fldCharType="begin"/>
          </w:r>
          <w:r>
            <w:instrText xml:space="preserve"> PAGEREF _Toc4691 \h </w:instrText>
          </w:r>
          <w:r>
            <w:fldChar w:fldCharType="separate"/>
          </w:r>
          <w:r>
            <w:t>29</w:t>
          </w:r>
          <w:r>
            <w:fldChar w:fldCharType="end"/>
          </w:r>
          <w:r>
            <w:rPr>
              <w:rFonts w:hint="default" w:ascii="Times New Roman" w:hAnsi="Times New Roman" w:cs="Times New Roman"/>
              <w:bCs w:val="0"/>
              <w:color w:val="auto"/>
              <w:szCs w:val="20"/>
              <w:highlight w:val="none"/>
            </w:rPr>
            <w:fldChar w:fldCharType="end"/>
          </w:r>
        </w:p>
        <w:p w14:paraId="6952AF54">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_Toc17244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lang w:val="en-US" w:eastAsia="zh-CN"/>
            </w:rPr>
            <w:t xml:space="preserve">第一节 </w:t>
          </w:r>
          <w:r>
            <w:rPr>
              <w:rFonts w:hint="default"/>
              <w:lang w:val="en-US" w:eastAsia="zh-CN"/>
            </w:rPr>
            <w:t>优化空间结构与用地布局</w:t>
          </w:r>
          <w:r>
            <w:tab/>
          </w:r>
          <w:r>
            <w:fldChar w:fldCharType="begin"/>
          </w:r>
          <w:r>
            <w:instrText xml:space="preserve"> PAGEREF _Toc17244 \h </w:instrText>
          </w:r>
          <w:r>
            <w:fldChar w:fldCharType="separate"/>
          </w:r>
          <w:r>
            <w:t>29</w:t>
          </w:r>
          <w:r>
            <w:fldChar w:fldCharType="end"/>
          </w:r>
          <w:r>
            <w:rPr>
              <w:rFonts w:hint="default" w:ascii="Times New Roman" w:hAnsi="Times New Roman" w:cs="Times New Roman"/>
              <w:bCs w:val="0"/>
              <w:color w:val="auto"/>
              <w:szCs w:val="20"/>
              <w:highlight w:val="none"/>
            </w:rPr>
            <w:fldChar w:fldCharType="end"/>
          </w:r>
        </w:p>
        <w:p w14:paraId="146B82BD">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_Toc29796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lang w:val="en-US" w:eastAsia="zh-CN"/>
            </w:rPr>
            <w:t xml:space="preserve">第二节 </w:t>
          </w:r>
          <w:r>
            <w:rPr>
              <w:rFonts w:hint="eastAsia"/>
              <w:lang w:val="en-US" w:eastAsia="zh-CN"/>
            </w:rPr>
            <w:t>居住空间布局</w:t>
          </w:r>
          <w:r>
            <w:tab/>
          </w:r>
          <w:r>
            <w:fldChar w:fldCharType="begin"/>
          </w:r>
          <w:r>
            <w:instrText xml:space="preserve"> PAGEREF _Toc29796 \h </w:instrText>
          </w:r>
          <w:r>
            <w:fldChar w:fldCharType="separate"/>
          </w:r>
          <w:r>
            <w:t>29</w:t>
          </w:r>
          <w:r>
            <w:fldChar w:fldCharType="end"/>
          </w:r>
          <w:r>
            <w:rPr>
              <w:rFonts w:hint="default" w:ascii="Times New Roman" w:hAnsi="Times New Roman" w:cs="Times New Roman"/>
              <w:bCs w:val="0"/>
              <w:color w:val="auto"/>
              <w:szCs w:val="20"/>
              <w:highlight w:val="none"/>
            </w:rPr>
            <w:fldChar w:fldCharType="end"/>
          </w:r>
        </w:p>
        <w:p w14:paraId="75B22B9D">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_Toc1368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lang w:val="en-US" w:eastAsia="zh-CN"/>
            </w:rPr>
            <w:t xml:space="preserve">第三节 </w:t>
          </w:r>
          <w:r>
            <w:rPr>
              <w:rFonts w:hint="eastAsia"/>
              <w:lang w:val="en-US" w:eastAsia="zh-CN"/>
            </w:rPr>
            <w:t>公共服务空间布局</w:t>
          </w:r>
          <w:r>
            <w:tab/>
          </w:r>
          <w:r>
            <w:fldChar w:fldCharType="begin"/>
          </w:r>
          <w:r>
            <w:instrText xml:space="preserve"> PAGEREF _Toc1368 \h </w:instrText>
          </w:r>
          <w:r>
            <w:fldChar w:fldCharType="separate"/>
          </w:r>
          <w:r>
            <w:t>30</w:t>
          </w:r>
          <w:r>
            <w:fldChar w:fldCharType="end"/>
          </w:r>
          <w:r>
            <w:rPr>
              <w:rFonts w:hint="default" w:ascii="Times New Roman" w:hAnsi="Times New Roman" w:cs="Times New Roman"/>
              <w:bCs w:val="0"/>
              <w:color w:val="auto"/>
              <w:szCs w:val="20"/>
              <w:highlight w:val="none"/>
            </w:rPr>
            <w:fldChar w:fldCharType="end"/>
          </w:r>
        </w:p>
        <w:p w14:paraId="254C363B">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_Toc21767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lang w:val="en-US" w:eastAsia="zh-CN"/>
            </w:rPr>
            <w:t xml:space="preserve">第四节 </w:t>
          </w:r>
          <w:r>
            <w:rPr>
              <w:rFonts w:hint="eastAsia"/>
              <w:lang w:val="en-US" w:eastAsia="zh-CN"/>
            </w:rPr>
            <w:t>绿地与开敞空间布局</w:t>
          </w:r>
          <w:r>
            <w:tab/>
          </w:r>
          <w:r>
            <w:fldChar w:fldCharType="begin"/>
          </w:r>
          <w:r>
            <w:instrText xml:space="preserve"> PAGEREF _Toc21767 \h </w:instrText>
          </w:r>
          <w:r>
            <w:fldChar w:fldCharType="separate"/>
          </w:r>
          <w:r>
            <w:t>30</w:t>
          </w:r>
          <w:r>
            <w:fldChar w:fldCharType="end"/>
          </w:r>
          <w:r>
            <w:rPr>
              <w:rFonts w:hint="default" w:ascii="Times New Roman" w:hAnsi="Times New Roman" w:cs="Times New Roman"/>
              <w:bCs w:val="0"/>
              <w:color w:val="auto"/>
              <w:szCs w:val="20"/>
              <w:highlight w:val="none"/>
            </w:rPr>
            <w:fldChar w:fldCharType="end"/>
          </w:r>
        </w:p>
        <w:p w14:paraId="420070E8">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_Toc21061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lang w:val="en-US" w:eastAsia="zh-CN"/>
            </w:rPr>
            <w:t xml:space="preserve">第五节 </w:t>
          </w:r>
          <w:r>
            <w:rPr>
              <w:rFonts w:hint="default"/>
              <w:lang w:val="en-US" w:eastAsia="zh-CN"/>
            </w:rPr>
            <w:t>实施规划管控</w:t>
          </w:r>
          <w:r>
            <w:tab/>
          </w:r>
          <w:r>
            <w:fldChar w:fldCharType="begin"/>
          </w:r>
          <w:r>
            <w:instrText xml:space="preserve"> PAGEREF _Toc21061 \h </w:instrText>
          </w:r>
          <w:r>
            <w:fldChar w:fldCharType="separate"/>
          </w:r>
          <w:r>
            <w:t>30</w:t>
          </w:r>
          <w:r>
            <w:fldChar w:fldCharType="end"/>
          </w:r>
          <w:r>
            <w:rPr>
              <w:rFonts w:hint="default" w:ascii="Times New Roman" w:hAnsi="Times New Roman" w:cs="Times New Roman"/>
              <w:bCs w:val="0"/>
              <w:color w:val="auto"/>
              <w:szCs w:val="20"/>
              <w:highlight w:val="none"/>
            </w:rPr>
            <w:fldChar w:fldCharType="end"/>
          </w:r>
        </w:p>
        <w:p w14:paraId="0CB96F39">
          <w:pPr>
            <w:pStyle w:val="11"/>
            <w:tabs>
              <w:tab w:val="right" w:leader="dot" w:pos="8300"/>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_Toc31193 </w:instrText>
          </w:r>
          <w:r>
            <w:rPr>
              <w:rFonts w:hint="default" w:ascii="Times New Roman" w:hAnsi="Times New Roman" w:cs="Times New Roman"/>
              <w:bCs w:val="0"/>
              <w:szCs w:val="20"/>
              <w:highlight w:val="none"/>
            </w:rPr>
            <w:fldChar w:fldCharType="separate"/>
          </w:r>
          <w:r>
            <w:rPr>
              <w:rFonts w:hint="eastAsia" w:ascii="宋体" w:hAnsi="宋体" w:eastAsia="方正小标宋简体" w:cs="方正小标宋简体"/>
              <w:bCs w:val="0"/>
              <w:szCs w:val="36"/>
            </w:rPr>
            <w:t xml:space="preserve">第六章 </w:t>
          </w:r>
          <w:r>
            <w:rPr>
              <w:rFonts w:hint="default"/>
            </w:rPr>
            <w:t>完善</w:t>
          </w:r>
          <w:r>
            <w:rPr>
              <w:rFonts w:hint="eastAsia"/>
              <w:lang w:val="en-US" w:eastAsia="zh-CN"/>
            </w:rPr>
            <w:t>基础</w:t>
          </w:r>
          <w:r>
            <w:rPr>
              <w:rFonts w:hint="default"/>
            </w:rPr>
            <w:t>保障体系建设</w:t>
          </w:r>
          <w:r>
            <w:tab/>
          </w:r>
          <w:r>
            <w:fldChar w:fldCharType="begin"/>
          </w:r>
          <w:r>
            <w:instrText xml:space="preserve"> PAGEREF _Toc31193 \h </w:instrText>
          </w:r>
          <w:r>
            <w:fldChar w:fldCharType="separate"/>
          </w:r>
          <w:r>
            <w:t>32</w:t>
          </w:r>
          <w:r>
            <w:fldChar w:fldCharType="end"/>
          </w:r>
          <w:r>
            <w:rPr>
              <w:rFonts w:hint="default" w:ascii="Times New Roman" w:hAnsi="Times New Roman" w:cs="Times New Roman"/>
              <w:bCs w:val="0"/>
              <w:color w:val="auto"/>
              <w:szCs w:val="20"/>
              <w:highlight w:val="none"/>
            </w:rPr>
            <w:fldChar w:fldCharType="end"/>
          </w:r>
        </w:p>
        <w:p w14:paraId="11442E77">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_Toc14498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rPr>
            <w:t xml:space="preserve">第一节 </w:t>
          </w:r>
          <w:r>
            <w:rPr>
              <w:rFonts w:hint="default"/>
            </w:rPr>
            <w:t>优化</w:t>
          </w:r>
          <w:r>
            <w:rPr>
              <w:rFonts w:hint="eastAsia"/>
              <w:lang w:val="en-US" w:eastAsia="zh-CN"/>
            </w:rPr>
            <w:t>镇域</w:t>
          </w:r>
          <w:r>
            <w:rPr>
              <w:rFonts w:hint="default"/>
            </w:rPr>
            <w:t>综合交通组织</w:t>
          </w:r>
          <w:r>
            <w:tab/>
          </w:r>
          <w:r>
            <w:fldChar w:fldCharType="begin"/>
          </w:r>
          <w:r>
            <w:instrText xml:space="preserve"> PAGEREF _Toc14498 \h </w:instrText>
          </w:r>
          <w:r>
            <w:fldChar w:fldCharType="separate"/>
          </w:r>
          <w:r>
            <w:t>32</w:t>
          </w:r>
          <w:r>
            <w:fldChar w:fldCharType="end"/>
          </w:r>
          <w:r>
            <w:rPr>
              <w:rFonts w:hint="default" w:ascii="Times New Roman" w:hAnsi="Times New Roman" w:cs="Times New Roman"/>
              <w:bCs w:val="0"/>
              <w:color w:val="auto"/>
              <w:szCs w:val="20"/>
              <w:highlight w:val="none"/>
            </w:rPr>
            <w:fldChar w:fldCharType="end"/>
          </w:r>
        </w:p>
        <w:p w14:paraId="0B9EFA0A">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_Toc24936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lang w:val="en-US" w:eastAsia="zh-CN"/>
            </w:rPr>
            <w:t xml:space="preserve">第二节 </w:t>
          </w:r>
          <w:r>
            <w:rPr>
              <w:rFonts w:hint="default"/>
            </w:rPr>
            <w:t>提高公服设施均等化水平</w:t>
          </w:r>
          <w:r>
            <w:tab/>
          </w:r>
          <w:r>
            <w:fldChar w:fldCharType="begin"/>
          </w:r>
          <w:r>
            <w:instrText xml:space="preserve"> PAGEREF _Toc24936 \h </w:instrText>
          </w:r>
          <w:r>
            <w:fldChar w:fldCharType="separate"/>
          </w:r>
          <w:r>
            <w:t>34</w:t>
          </w:r>
          <w:r>
            <w:fldChar w:fldCharType="end"/>
          </w:r>
          <w:r>
            <w:rPr>
              <w:rFonts w:hint="default" w:ascii="Times New Roman" w:hAnsi="Times New Roman" w:cs="Times New Roman"/>
              <w:bCs w:val="0"/>
              <w:color w:val="auto"/>
              <w:szCs w:val="20"/>
              <w:highlight w:val="none"/>
            </w:rPr>
            <w:fldChar w:fldCharType="end"/>
          </w:r>
        </w:p>
        <w:p w14:paraId="6076974C">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_Toc26281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rPr>
            <w:t xml:space="preserve">第三节 </w:t>
          </w:r>
          <w:r>
            <w:rPr>
              <w:rFonts w:hint="default"/>
            </w:rPr>
            <w:t>优化</w:t>
          </w:r>
          <w:r>
            <w:rPr>
              <w:rFonts w:hint="eastAsia"/>
              <w:lang w:val="en-US" w:eastAsia="zh-CN"/>
            </w:rPr>
            <w:t>镇域</w:t>
          </w:r>
          <w:r>
            <w:rPr>
              <w:rFonts w:hint="default"/>
            </w:rPr>
            <w:t>基础设施空间布局</w:t>
          </w:r>
          <w:r>
            <w:tab/>
          </w:r>
          <w:r>
            <w:fldChar w:fldCharType="begin"/>
          </w:r>
          <w:r>
            <w:instrText xml:space="preserve"> PAGEREF _Toc26281 \h </w:instrText>
          </w:r>
          <w:r>
            <w:fldChar w:fldCharType="separate"/>
          </w:r>
          <w:r>
            <w:t>38</w:t>
          </w:r>
          <w:r>
            <w:fldChar w:fldCharType="end"/>
          </w:r>
          <w:r>
            <w:rPr>
              <w:rFonts w:hint="default" w:ascii="Times New Roman" w:hAnsi="Times New Roman" w:cs="Times New Roman"/>
              <w:bCs w:val="0"/>
              <w:color w:val="auto"/>
              <w:szCs w:val="20"/>
              <w:highlight w:val="none"/>
            </w:rPr>
            <w:fldChar w:fldCharType="end"/>
          </w:r>
        </w:p>
        <w:p w14:paraId="3C380BF8">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_Toc2907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lang w:val="en-US" w:eastAsia="zh-CN"/>
            </w:rPr>
            <w:t xml:space="preserve">第四节 </w:t>
          </w:r>
          <w:r>
            <w:rPr>
              <w:rFonts w:hint="eastAsia"/>
              <w:lang w:val="en-US" w:eastAsia="zh-CN"/>
            </w:rPr>
            <w:t>健全综合防灾体系</w:t>
          </w:r>
          <w:r>
            <w:tab/>
          </w:r>
          <w:r>
            <w:fldChar w:fldCharType="begin"/>
          </w:r>
          <w:r>
            <w:instrText xml:space="preserve"> PAGEREF _Toc2907 \h </w:instrText>
          </w:r>
          <w:r>
            <w:fldChar w:fldCharType="separate"/>
          </w:r>
          <w:r>
            <w:t>42</w:t>
          </w:r>
          <w:r>
            <w:fldChar w:fldCharType="end"/>
          </w:r>
          <w:r>
            <w:rPr>
              <w:rFonts w:hint="default" w:ascii="Times New Roman" w:hAnsi="Times New Roman" w:cs="Times New Roman"/>
              <w:bCs w:val="0"/>
              <w:color w:val="auto"/>
              <w:szCs w:val="20"/>
              <w:highlight w:val="none"/>
            </w:rPr>
            <w:fldChar w:fldCharType="end"/>
          </w:r>
        </w:p>
        <w:p w14:paraId="419C1DF7">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_Toc9808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rPr>
            <w:t xml:space="preserve">第五节 </w:t>
          </w:r>
          <w:r>
            <w:rPr>
              <w:rFonts w:hint="default"/>
            </w:rPr>
            <w:t>加强水利基础设施建设</w:t>
          </w:r>
          <w:r>
            <w:tab/>
          </w:r>
          <w:r>
            <w:fldChar w:fldCharType="begin"/>
          </w:r>
          <w:r>
            <w:instrText xml:space="preserve"> PAGEREF _Toc9808 \h </w:instrText>
          </w:r>
          <w:r>
            <w:fldChar w:fldCharType="separate"/>
          </w:r>
          <w:r>
            <w:t>50</w:t>
          </w:r>
          <w:r>
            <w:fldChar w:fldCharType="end"/>
          </w:r>
          <w:r>
            <w:rPr>
              <w:rFonts w:hint="default" w:ascii="Times New Roman" w:hAnsi="Times New Roman" w:cs="Times New Roman"/>
              <w:bCs w:val="0"/>
              <w:color w:val="auto"/>
              <w:szCs w:val="20"/>
              <w:highlight w:val="none"/>
            </w:rPr>
            <w:fldChar w:fldCharType="end"/>
          </w:r>
        </w:p>
        <w:p w14:paraId="54327026">
          <w:pPr>
            <w:pStyle w:val="11"/>
            <w:tabs>
              <w:tab w:val="right" w:leader="dot" w:pos="8300"/>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_Toc1791 </w:instrText>
          </w:r>
          <w:r>
            <w:rPr>
              <w:rFonts w:hint="default" w:ascii="Times New Roman" w:hAnsi="Times New Roman" w:cs="Times New Roman"/>
              <w:bCs w:val="0"/>
              <w:szCs w:val="20"/>
              <w:highlight w:val="none"/>
            </w:rPr>
            <w:fldChar w:fldCharType="separate"/>
          </w:r>
          <w:r>
            <w:rPr>
              <w:rFonts w:hint="eastAsia" w:ascii="宋体" w:hAnsi="宋体" w:eastAsia="方正小标宋简体" w:cs="方正小标宋简体"/>
              <w:bCs w:val="0"/>
              <w:szCs w:val="36"/>
              <w:lang w:val="en-US" w:eastAsia="zh-CN"/>
            </w:rPr>
            <w:t xml:space="preserve">第七章 </w:t>
          </w:r>
          <w:r>
            <w:rPr>
              <w:rFonts w:hint="default"/>
              <w:lang w:val="en-US" w:eastAsia="zh-CN"/>
            </w:rPr>
            <w:t>历史文化与景观风貌</w:t>
          </w:r>
          <w:r>
            <w:tab/>
          </w:r>
          <w:r>
            <w:fldChar w:fldCharType="begin"/>
          </w:r>
          <w:r>
            <w:instrText xml:space="preserve"> PAGEREF _Toc1791 \h </w:instrText>
          </w:r>
          <w:r>
            <w:fldChar w:fldCharType="separate"/>
          </w:r>
          <w:r>
            <w:t>51</w:t>
          </w:r>
          <w:r>
            <w:fldChar w:fldCharType="end"/>
          </w:r>
          <w:r>
            <w:rPr>
              <w:rFonts w:hint="default" w:ascii="Times New Roman" w:hAnsi="Times New Roman" w:cs="Times New Roman"/>
              <w:bCs w:val="0"/>
              <w:color w:val="auto"/>
              <w:szCs w:val="20"/>
              <w:highlight w:val="none"/>
            </w:rPr>
            <w:fldChar w:fldCharType="end"/>
          </w:r>
        </w:p>
        <w:p w14:paraId="0BC52C1D">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_Toc10811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rPr>
            <w:t xml:space="preserve">第一节 </w:t>
          </w:r>
          <w:r>
            <w:rPr>
              <w:rFonts w:hint="default"/>
            </w:rPr>
            <w:t>历史文化保护</w:t>
          </w:r>
          <w:r>
            <w:tab/>
          </w:r>
          <w:r>
            <w:fldChar w:fldCharType="begin"/>
          </w:r>
          <w:r>
            <w:instrText xml:space="preserve"> PAGEREF _Toc10811 \h </w:instrText>
          </w:r>
          <w:r>
            <w:fldChar w:fldCharType="separate"/>
          </w:r>
          <w:r>
            <w:t>51</w:t>
          </w:r>
          <w:r>
            <w:fldChar w:fldCharType="end"/>
          </w:r>
          <w:r>
            <w:rPr>
              <w:rFonts w:hint="default" w:ascii="Times New Roman" w:hAnsi="Times New Roman" w:cs="Times New Roman"/>
              <w:bCs w:val="0"/>
              <w:color w:val="auto"/>
              <w:szCs w:val="20"/>
              <w:highlight w:val="none"/>
            </w:rPr>
            <w:fldChar w:fldCharType="end"/>
          </w:r>
        </w:p>
        <w:p w14:paraId="1A5A4B3D">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_Toc8930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rPr>
            <w:t xml:space="preserve">第二节 </w:t>
          </w:r>
          <w:r>
            <w:rPr>
              <w:rFonts w:hint="default"/>
            </w:rPr>
            <w:t>景观风貌指引</w:t>
          </w:r>
          <w:r>
            <w:tab/>
          </w:r>
          <w:r>
            <w:fldChar w:fldCharType="begin"/>
          </w:r>
          <w:r>
            <w:instrText xml:space="preserve"> PAGEREF _Toc8930 \h </w:instrText>
          </w:r>
          <w:r>
            <w:fldChar w:fldCharType="separate"/>
          </w:r>
          <w:r>
            <w:t>54</w:t>
          </w:r>
          <w:r>
            <w:fldChar w:fldCharType="end"/>
          </w:r>
          <w:r>
            <w:rPr>
              <w:rFonts w:hint="default" w:ascii="Times New Roman" w:hAnsi="Times New Roman" w:cs="Times New Roman"/>
              <w:bCs w:val="0"/>
              <w:color w:val="auto"/>
              <w:szCs w:val="20"/>
              <w:highlight w:val="none"/>
            </w:rPr>
            <w:fldChar w:fldCharType="end"/>
          </w:r>
        </w:p>
        <w:p w14:paraId="787D765D">
          <w:pPr>
            <w:pStyle w:val="11"/>
            <w:tabs>
              <w:tab w:val="right" w:leader="dot" w:pos="8300"/>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_Toc15179 </w:instrText>
          </w:r>
          <w:r>
            <w:rPr>
              <w:rFonts w:hint="default" w:ascii="Times New Roman" w:hAnsi="Times New Roman" w:cs="Times New Roman"/>
              <w:bCs w:val="0"/>
              <w:szCs w:val="20"/>
              <w:highlight w:val="none"/>
            </w:rPr>
            <w:fldChar w:fldCharType="separate"/>
          </w:r>
          <w:r>
            <w:rPr>
              <w:rFonts w:hint="eastAsia" w:ascii="宋体" w:hAnsi="宋体" w:eastAsia="方正小标宋简体" w:cs="方正小标宋简体"/>
              <w:bCs w:val="0"/>
              <w:szCs w:val="36"/>
              <w:lang w:eastAsia="zh-CN"/>
            </w:rPr>
            <w:t xml:space="preserve">第八章 </w:t>
          </w:r>
          <w:r>
            <w:rPr>
              <w:rFonts w:hint="default"/>
            </w:rPr>
            <w:t>生态修复</w:t>
          </w:r>
          <w:r>
            <w:rPr>
              <w:rFonts w:hint="eastAsia"/>
              <w:lang w:val="en-US" w:eastAsia="zh-CN"/>
            </w:rPr>
            <w:t>和</w:t>
          </w:r>
          <w:r>
            <w:rPr>
              <w:rFonts w:hint="default"/>
            </w:rPr>
            <w:t>国土综合整治</w:t>
          </w:r>
          <w:r>
            <w:tab/>
          </w:r>
          <w:r>
            <w:fldChar w:fldCharType="begin"/>
          </w:r>
          <w:r>
            <w:instrText xml:space="preserve"> PAGEREF _Toc15179 \h </w:instrText>
          </w:r>
          <w:r>
            <w:fldChar w:fldCharType="separate"/>
          </w:r>
          <w:r>
            <w:t>56</w:t>
          </w:r>
          <w:r>
            <w:fldChar w:fldCharType="end"/>
          </w:r>
          <w:r>
            <w:rPr>
              <w:rFonts w:hint="default" w:ascii="Times New Roman" w:hAnsi="Times New Roman" w:cs="Times New Roman"/>
              <w:bCs w:val="0"/>
              <w:color w:val="auto"/>
              <w:szCs w:val="20"/>
              <w:highlight w:val="none"/>
            </w:rPr>
            <w:fldChar w:fldCharType="end"/>
          </w:r>
        </w:p>
        <w:p w14:paraId="66E3CAA7">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_Toc11944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rPr>
            <w:t xml:space="preserve">第一节 </w:t>
          </w:r>
          <w:r>
            <w:rPr>
              <w:rFonts w:hint="default"/>
              <w:lang w:val="en-US" w:eastAsia="zh-CN"/>
            </w:rPr>
            <w:t>推进山水林田湖草沙系统</w:t>
          </w:r>
          <w:r>
            <w:rPr>
              <w:rFonts w:hint="default"/>
            </w:rPr>
            <w:t>修复</w:t>
          </w:r>
          <w:r>
            <w:tab/>
          </w:r>
          <w:r>
            <w:fldChar w:fldCharType="begin"/>
          </w:r>
          <w:r>
            <w:instrText xml:space="preserve"> PAGEREF _Toc11944 \h </w:instrText>
          </w:r>
          <w:r>
            <w:fldChar w:fldCharType="separate"/>
          </w:r>
          <w:r>
            <w:t>56</w:t>
          </w:r>
          <w:r>
            <w:fldChar w:fldCharType="end"/>
          </w:r>
          <w:r>
            <w:rPr>
              <w:rFonts w:hint="default" w:ascii="Times New Roman" w:hAnsi="Times New Roman" w:cs="Times New Roman"/>
              <w:bCs w:val="0"/>
              <w:color w:val="auto"/>
              <w:szCs w:val="20"/>
              <w:highlight w:val="none"/>
            </w:rPr>
            <w:fldChar w:fldCharType="end"/>
          </w:r>
        </w:p>
        <w:p w14:paraId="2FB43929">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_Toc5046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lang w:val="en-US" w:eastAsia="zh-CN"/>
            </w:rPr>
            <w:t xml:space="preserve">第二节 </w:t>
          </w:r>
          <w:r>
            <w:rPr>
              <w:rFonts w:hint="eastAsia"/>
              <w:lang w:val="en-US" w:eastAsia="zh-CN"/>
            </w:rPr>
            <w:t>全域土地综合整治</w:t>
          </w:r>
          <w:r>
            <w:tab/>
          </w:r>
          <w:r>
            <w:fldChar w:fldCharType="begin"/>
          </w:r>
          <w:r>
            <w:instrText xml:space="preserve"> PAGEREF _Toc5046 \h </w:instrText>
          </w:r>
          <w:r>
            <w:fldChar w:fldCharType="separate"/>
          </w:r>
          <w:r>
            <w:t>57</w:t>
          </w:r>
          <w:r>
            <w:fldChar w:fldCharType="end"/>
          </w:r>
          <w:r>
            <w:rPr>
              <w:rFonts w:hint="default" w:ascii="Times New Roman" w:hAnsi="Times New Roman" w:cs="Times New Roman"/>
              <w:bCs w:val="0"/>
              <w:color w:val="auto"/>
              <w:szCs w:val="20"/>
              <w:highlight w:val="none"/>
            </w:rPr>
            <w:fldChar w:fldCharType="end"/>
          </w:r>
        </w:p>
        <w:p w14:paraId="47DF8122">
          <w:pPr>
            <w:pStyle w:val="11"/>
            <w:tabs>
              <w:tab w:val="right" w:leader="dot" w:pos="8300"/>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_Toc2121 </w:instrText>
          </w:r>
          <w:r>
            <w:rPr>
              <w:rFonts w:hint="default" w:ascii="Times New Roman" w:hAnsi="Times New Roman" w:cs="Times New Roman"/>
              <w:bCs w:val="0"/>
              <w:szCs w:val="20"/>
              <w:highlight w:val="none"/>
            </w:rPr>
            <w:fldChar w:fldCharType="separate"/>
          </w:r>
          <w:r>
            <w:rPr>
              <w:rFonts w:hint="eastAsia" w:ascii="宋体" w:hAnsi="宋体" w:eastAsia="方正小标宋简体" w:cs="方正小标宋简体"/>
              <w:bCs w:val="0"/>
              <w:szCs w:val="36"/>
              <w:lang w:val="en-US"/>
            </w:rPr>
            <w:t xml:space="preserve">第九章 </w:t>
          </w:r>
          <w:r>
            <w:rPr>
              <w:rFonts w:hint="eastAsia"/>
              <w:lang w:val="en-US" w:eastAsia="zh-CN"/>
            </w:rPr>
            <w:t>规划传导与管控</w:t>
          </w:r>
          <w:r>
            <w:tab/>
          </w:r>
          <w:r>
            <w:fldChar w:fldCharType="begin"/>
          </w:r>
          <w:r>
            <w:instrText xml:space="preserve"> PAGEREF _Toc2121 \h </w:instrText>
          </w:r>
          <w:r>
            <w:fldChar w:fldCharType="separate"/>
          </w:r>
          <w:r>
            <w:t>61</w:t>
          </w:r>
          <w:r>
            <w:fldChar w:fldCharType="end"/>
          </w:r>
          <w:r>
            <w:rPr>
              <w:rFonts w:hint="default" w:ascii="Times New Roman" w:hAnsi="Times New Roman" w:cs="Times New Roman"/>
              <w:bCs w:val="0"/>
              <w:color w:val="auto"/>
              <w:szCs w:val="20"/>
              <w:highlight w:val="none"/>
            </w:rPr>
            <w:fldChar w:fldCharType="end"/>
          </w:r>
        </w:p>
        <w:p w14:paraId="3CE1F023">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_Toc23498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lang w:val="en-US" w:eastAsia="zh-CN"/>
            </w:rPr>
            <w:t xml:space="preserve">第一节 </w:t>
          </w:r>
          <w:r>
            <w:rPr>
              <w:rFonts w:hint="eastAsia"/>
              <w:lang w:val="en-US" w:eastAsia="zh-CN"/>
            </w:rPr>
            <w:t>加强党的领导</w:t>
          </w:r>
          <w:r>
            <w:tab/>
          </w:r>
          <w:r>
            <w:fldChar w:fldCharType="begin"/>
          </w:r>
          <w:r>
            <w:instrText xml:space="preserve"> PAGEREF _Toc23498 \h </w:instrText>
          </w:r>
          <w:r>
            <w:fldChar w:fldCharType="separate"/>
          </w:r>
          <w:r>
            <w:t>61</w:t>
          </w:r>
          <w:r>
            <w:fldChar w:fldCharType="end"/>
          </w:r>
          <w:r>
            <w:rPr>
              <w:rFonts w:hint="default" w:ascii="Times New Roman" w:hAnsi="Times New Roman" w:cs="Times New Roman"/>
              <w:bCs w:val="0"/>
              <w:color w:val="auto"/>
              <w:szCs w:val="20"/>
              <w:highlight w:val="none"/>
            </w:rPr>
            <w:fldChar w:fldCharType="end"/>
          </w:r>
        </w:p>
        <w:p w14:paraId="10AC7F64">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_Toc14407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lang w:val="en-US" w:eastAsia="zh-CN"/>
            </w:rPr>
            <w:t xml:space="preserve">第二节 </w:t>
          </w:r>
          <w:r>
            <w:rPr>
              <w:rFonts w:hint="eastAsia"/>
              <w:lang w:val="en-US" w:eastAsia="zh-CN"/>
            </w:rPr>
            <w:t>全域规划传导与管控</w:t>
          </w:r>
          <w:r>
            <w:tab/>
          </w:r>
          <w:r>
            <w:fldChar w:fldCharType="begin"/>
          </w:r>
          <w:r>
            <w:instrText xml:space="preserve"> PAGEREF _Toc14407 \h </w:instrText>
          </w:r>
          <w:r>
            <w:fldChar w:fldCharType="separate"/>
          </w:r>
          <w:r>
            <w:t>62</w:t>
          </w:r>
          <w:r>
            <w:fldChar w:fldCharType="end"/>
          </w:r>
          <w:r>
            <w:rPr>
              <w:rFonts w:hint="default" w:ascii="Times New Roman" w:hAnsi="Times New Roman" w:cs="Times New Roman"/>
              <w:bCs w:val="0"/>
              <w:color w:val="auto"/>
              <w:szCs w:val="20"/>
              <w:highlight w:val="none"/>
            </w:rPr>
            <w:fldChar w:fldCharType="end"/>
          </w:r>
        </w:p>
        <w:p w14:paraId="373668A1">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_Toc7619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lang w:val="en-US" w:eastAsia="zh-CN"/>
            </w:rPr>
            <w:t xml:space="preserve">第三节 </w:t>
          </w:r>
          <w:r>
            <w:rPr>
              <w:rFonts w:hint="eastAsia"/>
              <w:lang w:val="en-US" w:eastAsia="zh-CN"/>
            </w:rPr>
            <w:t>建设国土空间规划“一张图”</w:t>
          </w:r>
          <w:r>
            <w:tab/>
          </w:r>
          <w:r>
            <w:fldChar w:fldCharType="begin"/>
          </w:r>
          <w:r>
            <w:instrText xml:space="preserve"> PAGEREF _Toc7619 \h </w:instrText>
          </w:r>
          <w:r>
            <w:fldChar w:fldCharType="separate"/>
          </w:r>
          <w:r>
            <w:t>63</w:t>
          </w:r>
          <w:r>
            <w:fldChar w:fldCharType="end"/>
          </w:r>
          <w:r>
            <w:rPr>
              <w:rFonts w:hint="default" w:ascii="Times New Roman" w:hAnsi="Times New Roman" w:cs="Times New Roman"/>
              <w:bCs w:val="0"/>
              <w:color w:val="auto"/>
              <w:szCs w:val="20"/>
              <w:highlight w:val="none"/>
            </w:rPr>
            <w:fldChar w:fldCharType="end"/>
          </w:r>
        </w:p>
        <w:p w14:paraId="3871D61E">
          <w:pPr>
            <w:pStyle w:val="12"/>
            <w:tabs>
              <w:tab w:val="right" w:leader="dot" w:pos="8300"/>
              <w:tab w:val="clear" w:pos="8306"/>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_Toc15527 </w:instrText>
          </w:r>
          <w:r>
            <w:rPr>
              <w:rFonts w:hint="default" w:ascii="Times New Roman" w:hAnsi="Times New Roman" w:cs="Times New Roman"/>
              <w:bCs w:val="0"/>
              <w:szCs w:val="20"/>
              <w:highlight w:val="none"/>
            </w:rPr>
            <w:fldChar w:fldCharType="separate"/>
          </w:r>
          <w:r>
            <w:rPr>
              <w:rFonts w:hint="eastAsia" w:ascii="宋体" w:hAnsi="宋体" w:eastAsia="黑体" w:cs="黑体"/>
              <w:szCs w:val="32"/>
              <w:lang w:val="en-US" w:eastAsia="zh-CN"/>
            </w:rPr>
            <w:t xml:space="preserve">第四节 </w:t>
          </w:r>
          <w:r>
            <w:rPr>
              <w:rFonts w:hint="eastAsia"/>
              <w:lang w:val="en-US" w:eastAsia="zh-CN"/>
            </w:rPr>
            <w:t>实施规划全生命周期管理</w:t>
          </w:r>
          <w:r>
            <w:tab/>
          </w:r>
          <w:r>
            <w:fldChar w:fldCharType="begin"/>
          </w:r>
          <w:r>
            <w:instrText xml:space="preserve"> PAGEREF _Toc15527 \h </w:instrText>
          </w:r>
          <w:r>
            <w:fldChar w:fldCharType="separate"/>
          </w:r>
          <w:r>
            <w:t>64</w:t>
          </w:r>
          <w:r>
            <w:fldChar w:fldCharType="end"/>
          </w:r>
          <w:r>
            <w:rPr>
              <w:rFonts w:hint="default" w:ascii="Times New Roman" w:hAnsi="Times New Roman" w:cs="Times New Roman"/>
              <w:bCs w:val="0"/>
              <w:color w:val="auto"/>
              <w:szCs w:val="20"/>
              <w:highlight w:val="none"/>
            </w:rPr>
            <w:fldChar w:fldCharType="end"/>
          </w:r>
        </w:p>
        <w:p w14:paraId="7B8BECF6">
          <w:pPr>
            <w:pStyle w:val="11"/>
            <w:tabs>
              <w:tab w:val="right" w:leader="dot" w:pos="8300"/>
            </w:tabs>
          </w:pPr>
          <w:r>
            <w:rPr>
              <w:rFonts w:hint="default" w:ascii="Times New Roman" w:hAnsi="Times New Roman" w:cs="Times New Roman"/>
              <w:bCs w:val="0"/>
              <w:color w:val="auto"/>
              <w:szCs w:val="20"/>
              <w:highlight w:val="none"/>
            </w:rPr>
            <w:fldChar w:fldCharType="begin"/>
          </w:r>
          <w:r>
            <w:rPr>
              <w:rFonts w:hint="default" w:ascii="Times New Roman" w:hAnsi="Times New Roman" w:cs="Times New Roman"/>
              <w:bCs w:val="0"/>
              <w:szCs w:val="20"/>
              <w:highlight w:val="none"/>
            </w:rPr>
            <w:instrText xml:space="preserve"> HYPERLINK \l _Toc29024 </w:instrText>
          </w:r>
          <w:r>
            <w:rPr>
              <w:rFonts w:hint="default" w:ascii="Times New Roman" w:hAnsi="Times New Roman" w:cs="Times New Roman"/>
              <w:bCs w:val="0"/>
              <w:szCs w:val="20"/>
              <w:highlight w:val="none"/>
            </w:rPr>
            <w:fldChar w:fldCharType="separate"/>
          </w:r>
          <w:r>
            <w:rPr>
              <w:rFonts w:hint="eastAsia" w:ascii="宋体" w:hAnsi="宋体" w:eastAsia="方正小标宋简体" w:cs="方正小标宋简体"/>
              <w:bCs w:val="0"/>
              <w:szCs w:val="36"/>
              <w:lang w:val="en-US" w:eastAsia="zh-CN"/>
            </w:rPr>
            <w:t xml:space="preserve">第十章 </w:t>
          </w:r>
          <w:r>
            <w:rPr>
              <w:rFonts w:hint="eastAsia"/>
            </w:rPr>
            <w:t>村庄“通则式”规划管理规定</w:t>
          </w:r>
          <w:r>
            <w:tab/>
          </w:r>
          <w:r>
            <w:fldChar w:fldCharType="begin"/>
          </w:r>
          <w:r>
            <w:instrText xml:space="preserve"> PAGEREF _Toc29024 \h </w:instrText>
          </w:r>
          <w:r>
            <w:fldChar w:fldCharType="separate"/>
          </w:r>
          <w:r>
            <w:t>65</w:t>
          </w:r>
          <w:r>
            <w:fldChar w:fldCharType="end"/>
          </w:r>
          <w:r>
            <w:rPr>
              <w:rFonts w:hint="default" w:ascii="Times New Roman" w:hAnsi="Times New Roman" w:cs="Times New Roman"/>
              <w:bCs w:val="0"/>
              <w:color w:val="auto"/>
              <w:szCs w:val="20"/>
              <w:highlight w:val="none"/>
            </w:rPr>
            <w:fldChar w:fldCharType="end"/>
          </w:r>
        </w:p>
        <w:p w14:paraId="1D56D1EE">
          <w:pPr>
            <w:pageBreakBefore w:val="0"/>
            <w:widowControl w:val="0"/>
            <w:kinsoku/>
            <w:wordWrap/>
            <w:overflowPunct/>
            <w:topLinePunct w:val="0"/>
            <w:autoSpaceDE/>
            <w:autoSpaceDN/>
            <w:bidi w:val="0"/>
            <w:adjustRightInd/>
            <w:snapToGrid/>
            <w:spacing w:before="156" w:beforeLines="50" w:after="156" w:afterLines="50" w:line="600" w:lineRule="atLeast"/>
            <w:ind w:left="0" w:leftChars="0" w:firstLine="0" w:firstLineChars="0"/>
            <w:jc w:val="center"/>
            <w:textAlignment w:val="auto"/>
            <w:rPr>
              <w:rFonts w:hint="default"/>
            </w:rPr>
          </w:pPr>
          <w:r>
            <w:rPr>
              <w:rFonts w:hint="default" w:ascii="Times New Roman" w:hAnsi="Times New Roman" w:cs="Times New Roman"/>
              <w:b w:val="0"/>
              <w:bCs w:val="0"/>
              <w:color w:val="auto"/>
              <w:szCs w:val="20"/>
              <w:highlight w:val="none"/>
            </w:rPr>
            <w:fldChar w:fldCharType="end"/>
          </w:r>
        </w:p>
      </w:sdtContent>
    </w:sdt>
    <w:p w14:paraId="77573CEE">
      <w:pPr>
        <w:bidi w:val="0"/>
        <w:rPr>
          <w:rFonts w:hint="default"/>
        </w:rPr>
        <w:sectPr>
          <w:footerReference r:id="rId6" w:type="default"/>
          <w:pgSz w:w="11906" w:h="16838"/>
          <w:pgMar w:top="1440" w:right="1803" w:bottom="1440" w:left="1803" w:header="851" w:footer="992" w:gutter="0"/>
          <w:paperSrc/>
          <w:pgNumType w:fmt="lowerRoman" w:start="1"/>
          <w:cols w:space="0" w:num="1"/>
          <w:rtlGutter w:val="0"/>
          <w:docGrid w:type="lines" w:linePitch="436" w:charSpace="0"/>
        </w:sectPr>
      </w:pPr>
    </w:p>
    <w:p w14:paraId="165E23DC">
      <w:pPr>
        <w:pStyle w:val="2"/>
        <w:bidi w:val="0"/>
        <w:rPr>
          <w:rFonts w:hint="eastAsia"/>
          <w:lang w:val="en-US" w:eastAsia="zh-CN"/>
        </w:rPr>
      </w:pPr>
      <w:bookmarkStart w:id="0" w:name="_Toc14449"/>
      <w:r>
        <w:rPr>
          <w:rFonts w:hint="eastAsia"/>
          <w:lang w:val="en-US" w:eastAsia="zh-CN"/>
        </w:rPr>
        <w:t>总则</w:t>
      </w:r>
      <w:bookmarkEnd w:id="0"/>
    </w:p>
    <w:p w14:paraId="5869D464">
      <w:pPr>
        <w:pStyle w:val="4"/>
        <w:bidi w:val="0"/>
        <w:rPr>
          <w:rFonts w:hint="default"/>
        </w:rPr>
      </w:pPr>
      <w:bookmarkStart w:id="1" w:name="_Toc11751"/>
      <w:bookmarkStart w:id="2" w:name="_Toc23548"/>
      <w:r>
        <w:rPr>
          <w:rFonts w:hint="default"/>
        </w:rPr>
        <w:t>规划目的</w:t>
      </w:r>
      <w:bookmarkEnd w:id="1"/>
      <w:bookmarkEnd w:id="2"/>
    </w:p>
    <w:p w14:paraId="77C412D5">
      <w:pPr>
        <w:bidi w:val="0"/>
        <w:rPr>
          <w:rFonts w:hint="eastAsia"/>
        </w:rPr>
      </w:pPr>
      <w:r>
        <w:rPr>
          <w:rFonts w:hint="eastAsia"/>
        </w:rPr>
        <w:t>为贯彻《</w:t>
      </w:r>
      <w:r>
        <w:rPr>
          <w:rFonts w:hint="eastAsia"/>
          <w:highlight w:val="none"/>
          <w:lang w:eastAsia="zh-CN"/>
        </w:rPr>
        <w:t>中共中央、国务院</w:t>
      </w:r>
      <w:r>
        <w:rPr>
          <w:rFonts w:hint="eastAsia"/>
        </w:rPr>
        <w:t>关于建立国土空间规划体系并监督实施的若干意见》（中发〔2019〕18号），落实《自然资源部关于全面开展国土空间规划工作的通知》（自然资发〔2019〕87号）和《中共黑龙江省委</w:t>
      </w:r>
      <w:r>
        <w:rPr>
          <w:rFonts w:hint="eastAsia"/>
          <w:lang w:val="en-US" w:eastAsia="zh-CN"/>
        </w:rPr>
        <w:t xml:space="preserve"> </w:t>
      </w:r>
      <w:r>
        <w:rPr>
          <w:rFonts w:hint="eastAsia"/>
        </w:rPr>
        <w:t>黑龙江省人民政府关于建立全省国土空间规划体系并监督实施的意见》的相关要求，建立和完善</w:t>
      </w:r>
      <w:r>
        <w:rPr>
          <w:rFonts w:hint="eastAsia"/>
          <w:lang w:val="en-US" w:eastAsia="zh-CN"/>
        </w:rPr>
        <w:t>桦川</w:t>
      </w:r>
      <w:r>
        <w:rPr>
          <w:rFonts w:hint="eastAsia"/>
        </w:rPr>
        <w:t>县国土空间规划体系，提升</w:t>
      </w:r>
      <w:r>
        <w:rPr>
          <w:rFonts w:hint="eastAsia"/>
          <w:lang w:val="en-US" w:eastAsia="zh-CN"/>
        </w:rPr>
        <w:t>悦来镇</w:t>
      </w:r>
      <w:r>
        <w:rPr>
          <w:rFonts w:hint="eastAsia"/>
        </w:rPr>
        <w:t>空间治理能力，实现高质量发展和高标准建设，编制《桦川县</w:t>
      </w:r>
      <w:r>
        <w:rPr>
          <w:rFonts w:hint="eastAsia"/>
          <w:lang w:eastAsia="zh-CN"/>
        </w:rPr>
        <w:t>悦来</w:t>
      </w:r>
      <w:r>
        <w:rPr>
          <w:rFonts w:hint="eastAsia"/>
        </w:rPr>
        <w:t>镇国土空间总体规划（2021</w:t>
      </w:r>
      <w:r>
        <w:rPr>
          <w:rFonts w:hint="eastAsia"/>
          <w:lang w:eastAsia="zh-CN"/>
        </w:rPr>
        <w:t>—</w:t>
      </w:r>
      <w:r>
        <w:rPr>
          <w:rFonts w:hint="eastAsia"/>
        </w:rPr>
        <w:t>2035年）》（以下简称《规划》）。</w:t>
      </w:r>
    </w:p>
    <w:p w14:paraId="0367B0E4">
      <w:pPr>
        <w:pStyle w:val="4"/>
        <w:bidi w:val="0"/>
        <w:rPr>
          <w:rFonts w:hint="default"/>
        </w:rPr>
      </w:pPr>
      <w:r>
        <w:rPr>
          <w:rFonts w:hint="default"/>
        </w:rPr>
        <w:t>规划定位</w:t>
      </w:r>
    </w:p>
    <w:p w14:paraId="4760A12E">
      <w:pPr>
        <w:bidi w:val="0"/>
        <w:rPr>
          <w:rFonts w:hint="eastAsia"/>
          <w:lang w:val="en-US" w:eastAsia="zh-CN"/>
        </w:rPr>
      </w:pPr>
      <w:r>
        <w:rPr>
          <w:rFonts w:hint="eastAsia"/>
          <w:lang w:val="en-US" w:eastAsia="zh-CN"/>
        </w:rPr>
        <w:t>《规划》是对佳木斯市和桦川县国土空间总体规划要求的细化落实，是对悦来镇域国土空间保护开发作出的具体安排，是悦来镇进行空间治理的工具，是编制城镇开发边界内详细规划和城镇开发边界外的村庄规划、实施国土空间用途管制的基本依据。</w:t>
      </w:r>
    </w:p>
    <w:p w14:paraId="2470FE54">
      <w:pPr>
        <w:pStyle w:val="4"/>
        <w:bidi w:val="0"/>
        <w:rPr>
          <w:rFonts w:hint="default"/>
        </w:rPr>
      </w:pPr>
      <w:bookmarkStart w:id="3" w:name="_Toc24055"/>
      <w:bookmarkStart w:id="4" w:name="_Toc18321"/>
      <w:r>
        <w:rPr>
          <w:rFonts w:hint="default"/>
        </w:rPr>
        <w:t>指导思想</w:t>
      </w:r>
      <w:bookmarkEnd w:id="3"/>
      <w:bookmarkEnd w:id="4"/>
    </w:p>
    <w:p w14:paraId="094CFF65">
      <w:pPr>
        <w:bidi w:val="0"/>
        <w:rPr>
          <w:rFonts w:hint="default"/>
        </w:rPr>
      </w:pPr>
      <w:r>
        <w:rPr>
          <w:rFonts w:hint="default"/>
        </w:rPr>
        <w:t>以习近平新时代中国特色社会主义思想和习近平总书记历次在东北地区及黑龙江省考察的重要讲话精神为统领，全面贯彻党的二十大精神，统筹推进</w:t>
      </w:r>
      <w:r>
        <w:rPr>
          <w:rFonts w:hint="eastAsia"/>
          <w:lang w:eastAsia="zh-CN"/>
        </w:rPr>
        <w:t>“</w:t>
      </w:r>
      <w:r>
        <w:rPr>
          <w:rFonts w:hint="default"/>
        </w:rPr>
        <w:t>五位一体</w:t>
      </w:r>
      <w:r>
        <w:rPr>
          <w:rFonts w:hint="eastAsia"/>
          <w:lang w:eastAsia="zh-CN"/>
        </w:rPr>
        <w:t>”</w:t>
      </w:r>
      <w:r>
        <w:rPr>
          <w:rFonts w:hint="default"/>
        </w:rPr>
        <w:t>总体布局，协调推进</w:t>
      </w:r>
      <w:r>
        <w:rPr>
          <w:rFonts w:hint="eastAsia"/>
          <w:lang w:eastAsia="zh-CN"/>
        </w:rPr>
        <w:t>“</w:t>
      </w:r>
      <w:r>
        <w:rPr>
          <w:rFonts w:hint="default"/>
        </w:rPr>
        <w:t>四个全面</w:t>
      </w:r>
      <w:r>
        <w:rPr>
          <w:rFonts w:hint="eastAsia"/>
          <w:lang w:eastAsia="zh-CN"/>
        </w:rPr>
        <w:t>”</w:t>
      </w:r>
      <w:r>
        <w:rPr>
          <w:rFonts w:hint="default"/>
        </w:rPr>
        <w:t>战略布局，立足新发展阶段，完整、准确、全面贯彻新发展理念，服务和融入新发展格局。立足服务国家</w:t>
      </w:r>
      <w:r>
        <w:rPr>
          <w:rFonts w:hint="eastAsia"/>
          <w:lang w:eastAsia="zh-CN"/>
        </w:rPr>
        <w:t>“</w:t>
      </w:r>
      <w:r>
        <w:rPr>
          <w:rFonts w:hint="default"/>
        </w:rPr>
        <w:t>五大安全</w:t>
      </w:r>
      <w:r>
        <w:rPr>
          <w:rFonts w:hint="eastAsia"/>
          <w:lang w:eastAsia="zh-CN"/>
        </w:rPr>
        <w:t>”</w:t>
      </w:r>
      <w:r>
        <w:rPr>
          <w:rFonts w:hint="default"/>
        </w:rPr>
        <w:t>战略和省建设</w:t>
      </w:r>
      <w:r>
        <w:rPr>
          <w:rFonts w:hint="eastAsia"/>
          <w:lang w:eastAsia="zh-CN"/>
        </w:rPr>
        <w:t>“</w:t>
      </w:r>
      <w:r>
        <w:rPr>
          <w:rFonts w:hint="default"/>
        </w:rPr>
        <w:t>六个龙江</w:t>
      </w:r>
      <w:r>
        <w:rPr>
          <w:rFonts w:hint="eastAsia"/>
          <w:lang w:eastAsia="zh-CN"/>
        </w:rPr>
        <w:t>”“</w:t>
      </w:r>
      <w:r>
        <w:rPr>
          <w:rFonts w:hint="default"/>
        </w:rPr>
        <w:t>八个振兴</w:t>
      </w:r>
      <w:r>
        <w:rPr>
          <w:rFonts w:hint="eastAsia"/>
          <w:lang w:eastAsia="zh-CN"/>
        </w:rPr>
        <w:t>”“</w:t>
      </w:r>
      <w:r>
        <w:rPr>
          <w:rFonts w:hint="default"/>
        </w:rPr>
        <w:t>九个坚定不移</w:t>
      </w:r>
      <w:r>
        <w:rPr>
          <w:rFonts w:hint="eastAsia"/>
          <w:lang w:eastAsia="zh-CN"/>
        </w:rPr>
        <w:t>”</w:t>
      </w:r>
      <w:r>
        <w:rPr>
          <w:rFonts w:hint="default"/>
        </w:rPr>
        <w:t>目标任务，落实</w:t>
      </w:r>
      <w:r>
        <w:rPr>
          <w:rFonts w:hint="eastAsia"/>
          <w:lang w:eastAsia="zh-CN"/>
        </w:rPr>
        <w:t>佳木斯市“</w:t>
      </w:r>
      <w:r>
        <w:rPr>
          <w:rFonts w:hint="eastAsia"/>
        </w:rPr>
        <w:t>夯实现代农业基础，推动建设农业强市</w:t>
      </w:r>
      <w:r>
        <w:rPr>
          <w:rFonts w:hint="eastAsia"/>
          <w:lang w:eastAsia="zh-CN"/>
        </w:rPr>
        <w:t>；</w:t>
      </w:r>
      <w:r>
        <w:rPr>
          <w:rFonts w:hint="eastAsia"/>
        </w:rPr>
        <w:t>坚持创新驱动，促进产业动能提升</w:t>
      </w:r>
      <w:r>
        <w:rPr>
          <w:rFonts w:hint="eastAsia"/>
          <w:lang w:eastAsia="zh-CN"/>
        </w:rPr>
        <w:t>；</w:t>
      </w:r>
      <w:r>
        <w:rPr>
          <w:rFonts w:hint="eastAsia"/>
        </w:rPr>
        <w:t>强化核心引领，推进城市群整体协同发展</w:t>
      </w:r>
      <w:r>
        <w:rPr>
          <w:rFonts w:hint="eastAsia"/>
          <w:lang w:eastAsia="zh-CN"/>
        </w:rPr>
        <w:t>；</w:t>
      </w:r>
      <w:r>
        <w:rPr>
          <w:rFonts w:hint="eastAsia"/>
        </w:rPr>
        <w:t>强化核心引领，推进城市群整体协同发展</w:t>
      </w:r>
      <w:r>
        <w:rPr>
          <w:rFonts w:hint="eastAsia"/>
          <w:lang w:eastAsia="zh-CN"/>
        </w:rPr>
        <w:t>；</w:t>
      </w:r>
      <w:r>
        <w:rPr>
          <w:rFonts w:hint="eastAsia"/>
        </w:rPr>
        <w:t>筑牢生态本底，推动生态价值转换</w:t>
      </w:r>
      <w:r>
        <w:rPr>
          <w:rFonts w:hint="eastAsia"/>
          <w:lang w:eastAsia="zh-CN"/>
        </w:rPr>
        <w:t>；</w:t>
      </w:r>
      <w:r>
        <w:rPr>
          <w:rFonts w:hint="eastAsia"/>
        </w:rPr>
        <w:t>围绕一桥一岛，提升对外开放能级</w:t>
      </w:r>
      <w:r>
        <w:rPr>
          <w:rFonts w:hint="eastAsia"/>
          <w:lang w:eastAsia="zh-CN"/>
        </w:rPr>
        <w:t>；</w:t>
      </w:r>
      <w:r>
        <w:rPr>
          <w:rFonts w:hint="eastAsia"/>
        </w:rPr>
        <w:t>推进共建共享，实施幸福宜居战略</w:t>
      </w:r>
      <w:r>
        <w:rPr>
          <w:rFonts w:hint="eastAsia"/>
          <w:lang w:eastAsia="zh-CN"/>
        </w:rPr>
        <w:t>”</w:t>
      </w:r>
      <w:r>
        <w:rPr>
          <w:rFonts w:hint="default"/>
        </w:rPr>
        <w:t>的开发保护战略，综合考虑</w:t>
      </w:r>
      <w:r>
        <w:rPr>
          <w:rFonts w:hint="eastAsia"/>
          <w:lang w:eastAsia="zh-CN"/>
        </w:rPr>
        <w:t>桦川县悦来镇</w:t>
      </w:r>
      <w:r>
        <w:rPr>
          <w:rFonts w:hint="default"/>
        </w:rPr>
        <w:t>人口分布、经济布局、国土利用、生态环境保护等因素，落实</w:t>
      </w:r>
      <w:r>
        <w:rPr>
          <w:rFonts w:hint="eastAsia"/>
          <w:lang w:eastAsia="zh-CN"/>
        </w:rPr>
        <w:t>桦川县“</w:t>
      </w:r>
      <w:r>
        <w:rPr>
          <w:rFonts w:hint="default"/>
        </w:rPr>
        <w:t>狠抓现代农业质效提升、守边戍边兴边富民、推动发展绿色生态产业</w:t>
      </w:r>
      <w:r>
        <w:rPr>
          <w:rFonts w:hint="eastAsia"/>
          <w:lang w:eastAsia="zh-CN"/>
        </w:rPr>
        <w:t>”</w:t>
      </w:r>
      <w:r>
        <w:rPr>
          <w:rFonts w:hint="default"/>
        </w:rPr>
        <w:t>的总体要求，科学布局生产空间、生活空间、生态空间。坚持高水平保护，推进高质量发展，引导高品质生活，实现高效能治理，优化国土空间开发保护格局，构建</w:t>
      </w:r>
      <w:r>
        <w:rPr>
          <w:rFonts w:hint="eastAsia"/>
          <w:lang w:eastAsia="zh-CN"/>
        </w:rPr>
        <w:t>悦来镇</w:t>
      </w:r>
      <w:r>
        <w:rPr>
          <w:rFonts w:hint="default"/>
        </w:rPr>
        <w:t>国土空间规划体系。</w:t>
      </w:r>
    </w:p>
    <w:p w14:paraId="400A0C8D">
      <w:pPr>
        <w:pStyle w:val="4"/>
        <w:bidi w:val="0"/>
        <w:rPr>
          <w:rFonts w:hint="default"/>
        </w:rPr>
      </w:pPr>
      <w:bookmarkStart w:id="5" w:name="_Toc11573"/>
      <w:bookmarkStart w:id="6" w:name="_Toc7631"/>
      <w:r>
        <w:rPr>
          <w:rFonts w:hint="default"/>
        </w:rPr>
        <w:t>规划原则</w:t>
      </w:r>
      <w:bookmarkEnd w:id="5"/>
      <w:bookmarkEnd w:id="6"/>
    </w:p>
    <w:p w14:paraId="3DB9AA2C">
      <w:pPr>
        <w:keepNext w:val="0"/>
        <w:keepLines w:val="0"/>
        <w:pageBreakBefore w:val="0"/>
        <w:widowControl w:val="0"/>
        <w:kinsoku/>
        <w:wordWrap/>
        <w:overflowPunct/>
        <w:topLinePunct w:val="0"/>
        <w:autoSpaceDE/>
        <w:autoSpaceDN/>
        <w:bidi w:val="0"/>
        <w:adjustRightInd/>
        <w:snapToGrid/>
        <w:ind w:firstLine="640"/>
        <w:jc w:val="both"/>
        <w:textAlignment w:val="auto"/>
        <w:rPr>
          <w:rFonts w:hint="default" w:ascii="Times New Roman" w:hAnsi="Times New Roman" w:cs="Times New Roman"/>
          <w:highlight w:val="none"/>
          <w:lang w:bidi="ar"/>
        </w:rPr>
      </w:pPr>
      <w:r>
        <w:rPr>
          <w:rFonts w:hint="default" w:ascii="楷体_GB2312" w:hAnsi="楷体_GB2312" w:eastAsia="楷体_GB2312" w:cs="楷体_GB2312"/>
          <w:kern w:val="2"/>
          <w:sz w:val="32"/>
          <w:szCs w:val="32"/>
          <w:highlight w:val="none"/>
          <w:lang w:val="en-US" w:eastAsia="zh-CN" w:bidi="ar"/>
        </w:rPr>
        <w:t>坚持安全底线，绿色发展。</w:t>
      </w:r>
      <w:r>
        <w:rPr>
          <w:rFonts w:hint="default" w:ascii="Times New Roman" w:hAnsi="Times New Roman" w:cs="Times New Roman"/>
          <w:highlight w:val="none"/>
          <w:lang w:bidi="ar"/>
        </w:rPr>
        <w:t>落实市县总规划定的“三条控制线”，严守国防安全、</w:t>
      </w:r>
      <w:r>
        <w:rPr>
          <w:rFonts w:hint="default" w:ascii="Times New Roman" w:hAnsi="Times New Roman" w:cs="Times New Roman"/>
          <w:bCs/>
          <w:highlight w:val="none"/>
        </w:rPr>
        <w:t>粮食安全、生态安全、能源安全、产业安全底线</w:t>
      </w:r>
      <w:r>
        <w:rPr>
          <w:rFonts w:hint="default" w:ascii="Times New Roman" w:hAnsi="Times New Roman" w:cs="Times New Roman"/>
          <w:highlight w:val="none"/>
          <w:lang w:val="en-US" w:eastAsia="zh-CN" w:bidi="ar"/>
        </w:rPr>
        <w:t>。</w:t>
      </w:r>
    </w:p>
    <w:p w14:paraId="16DA5FDB">
      <w:pPr>
        <w:ind w:firstLine="640"/>
        <w:jc w:val="both"/>
        <w:rPr>
          <w:rFonts w:hint="default" w:ascii="Times New Roman" w:hAnsi="Times New Roman" w:cs="Times New Roman"/>
          <w:highlight w:val="none"/>
          <w:lang w:bidi="ar"/>
        </w:rPr>
      </w:pPr>
      <w:r>
        <w:rPr>
          <w:rFonts w:hint="default" w:ascii="楷体_GB2312" w:hAnsi="楷体_GB2312" w:eastAsia="楷体_GB2312" w:cs="楷体_GB2312"/>
          <w:kern w:val="2"/>
          <w:sz w:val="32"/>
          <w:szCs w:val="32"/>
          <w:highlight w:val="none"/>
          <w:lang w:val="en-US" w:eastAsia="zh-CN" w:bidi="ar"/>
        </w:rPr>
        <w:t>坚持以人为本，品质提升。</w:t>
      </w:r>
      <w:r>
        <w:rPr>
          <w:rFonts w:hint="default" w:ascii="Times New Roman" w:hAnsi="Times New Roman" w:cs="Times New Roman"/>
          <w:highlight w:val="none"/>
          <w:lang w:bidi="ar"/>
        </w:rPr>
        <w:t>以人民为中心，处理好人与自然的和谐关系，实现城乡高质量发展、高品质生活。</w:t>
      </w:r>
    </w:p>
    <w:p w14:paraId="29B03F73">
      <w:pPr>
        <w:ind w:firstLine="640"/>
        <w:jc w:val="both"/>
        <w:rPr>
          <w:rFonts w:hint="default" w:ascii="Times New Roman" w:hAnsi="Times New Roman" w:cs="Times New Roman"/>
          <w:highlight w:val="none"/>
          <w:lang w:bidi="ar"/>
        </w:rPr>
      </w:pPr>
      <w:r>
        <w:rPr>
          <w:rFonts w:hint="default" w:ascii="楷体_GB2312" w:hAnsi="楷体_GB2312" w:eastAsia="楷体_GB2312" w:cs="楷体_GB2312"/>
          <w:kern w:val="2"/>
          <w:sz w:val="32"/>
          <w:szCs w:val="32"/>
          <w:highlight w:val="none"/>
          <w:lang w:val="en-US" w:eastAsia="zh-CN" w:bidi="ar"/>
        </w:rPr>
        <w:t>坚持全域管控，适度集约。</w:t>
      </w:r>
      <w:r>
        <w:rPr>
          <w:rFonts w:hint="default" w:ascii="Times New Roman" w:hAnsi="Times New Roman" w:cs="Times New Roman"/>
          <w:highlight w:val="none"/>
          <w:lang w:bidi="ar"/>
        </w:rPr>
        <w:t>强化自然资源统筹利用和用途管控，探索控制城乡建设用地增量，盘活存量的内涵式发展路径，提高土地利用效率。</w:t>
      </w:r>
    </w:p>
    <w:p w14:paraId="279C66A1">
      <w:pPr>
        <w:ind w:firstLine="640"/>
        <w:jc w:val="both"/>
        <w:rPr>
          <w:rFonts w:hint="default" w:ascii="Times New Roman" w:hAnsi="Times New Roman" w:cs="Times New Roman"/>
          <w:highlight w:val="none"/>
          <w:lang w:bidi="ar"/>
        </w:rPr>
      </w:pPr>
      <w:r>
        <w:rPr>
          <w:rFonts w:hint="default" w:ascii="楷体_GB2312" w:hAnsi="楷体_GB2312" w:eastAsia="楷体_GB2312" w:cs="楷体_GB2312"/>
          <w:kern w:val="2"/>
          <w:sz w:val="32"/>
          <w:szCs w:val="32"/>
          <w:highlight w:val="none"/>
          <w:lang w:val="en-US" w:eastAsia="zh-CN" w:bidi="ar"/>
        </w:rPr>
        <w:t>坚持承上启下，体现特色。</w:t>
      </w:r>
      <w:r>
        <w:rPr>
          <w:rFonts w:hint="default" w:ascii="Times New Roman" w:hAnsi="Times New Roman" w:cs="Times New Roman"/>
          <w:highlight w:val="none"/>
          <w:lang w:bidi="ar"/>
        </w:rPr>
        <w:t>严格落实市县总规下达的传导内容，并将本级约束性指标（除用水总量）分解至村庄，因地制宜体现黑土地保护、生态</w:t>
      </w:r>
      <w:r>
        <w:rPr>
          <w:rFonts w:hint="default" w:ascii="Times New Roman" w:hAnsi="Times New Roman" w:cs="Times New Roman"/>
          <w:highlight w:val="none"/>
          <w:lang w:val="en-US" w:eastAsia="zh-CN" w:bidi="ar"/>
        </w:rPr>
        <w:t>环境</w:t>
      </w:r>
      <w:r>
        <w:rPr>
          <w:rFonts w:hint="default" w:ascii="Times New Roman" w:hAnsi="Times New Roman" w:cs="Times New Roman"/>
          <w:highlight w:val="none"/>
          <w:lang w:bidi="ar"/>
        </w:rPr>
        <w:t>、能源安全、矿业经济、守边固边等特色。</w:t>
      </w:r>
    </w:p>
    <w:p w14:paraId="4294178A">
      <w:pPr>
        <w:keepNext w:val="0"/>
        <w:keepLines w:val="0"/>
        <w:pageBreakBefore w:val="0"/>
        <w:widowControl w:val="0"/>
        <w:kinsoku/>
        <w:wordWrap/>
        <w:overflowPunct/>
        <w:topLinePunct w:val="0"/>
        <w:autoSpaceDE/>
        <w:autoSpaceDN/>
        <w:bidi w:val="0"/>
        <w:adjustRightInd/>
        <w:snapToGrid/>
        <w:ind w:firstLine="640"/>
        <w:jc w:val="both"/>
        <w:textAlignment w:val="auto"/>
        <w:rPr>
          <w:rFonts w:hint="default" w:ascii="Times New Roman" w:hAnsi="Times New Roman" w:cs="Times New Roman"/>
          <w:highlight w:val="none"/>
          <w:lang w:bidi="ar"/>
        </w:rPr>
      </w:pPr>
      <w:r>
        <w:rPr>
          <w:rFonts w:hint="default" w:ascii="楷体_GB2312" w:hAnsi="楷体_GB2312" w:eastAsia="楷体_GB2312" w:cs="楷体_GB2312"/>
          <w:kern w:val="2"/>
          <w:sz w:val="32"/>
          <w:szCs w:val="32"/>
          <w:highlight w:val="none"/>
          <w:lang w:val="en-US" w:eastAsia="zh-CN" w:bidi="ar"/>
        </w:rPr>
        <w:t>坚持侧重实施，突出近期。</w:t>
      </w:r>
      <w:r>
        <w:rPr>
          <w:rFonts w:hint="default" w:ascii="Times New Roman" w:hAnsi="Times New Roman" w:cs="Times New Roman"/>
          <w:highlight w:val="none"/>
          <w:lang w:bidi="ar"/>
        </w:rPr>
        <w:t>侧重对本行政区域开发保护作出具体安排，突出与国民经济和社会发展规划的衔接，保障近期项目实施。</w:t>
      </w:r>
    </w:p>
    <w:p w14:paraId="3A4C88EF">
      <w:pPr>
        <w:keepNext w:val="0"/>
        <w:keepLines w:val="0"/>
        <w:pageBreakBefore w:val="0"/>
        <w:widowControl w:val="0"/>
        <w:kinsoku/>
        <w:wordWrap/>
        <w:overflowPunct/>
        <w:topLinePunct w:val="0"/>
        <w:autoSpaceDE/>
        <w:autoSpaceDN/>
        <w:bidi w:val="0"/>
        <w:adjustRightInd/>
        <w:snapToGrid/>
        <w:ind w:firstLine="640"/>
        <w:jc w:val="both"/>
        <w:textAlignment w:val="auto"/>
        <w:rPr>
          <w:rFonts w:hint="default" w:ascii="Times New Roman" w:hAnsi="Times New Roman" w:cs="Times New Roman"/>
          <w:highlight w:val="none"/>
          <w:lang w:bidi="ar"/>
        </w:rPr>
      </w:pPr>
      <w:r>
        <w:rPr>
          <w:rFonts w:hint="default" w:ascii="Times New Roman" w:hAnsi="Times New Roman" w:cs="Times New Roman"/>
          <w:highlight w:val="none"/>
          <w:lang w:bidi="ar"/>
        </w:rPr>
        <w:t>坚持公众参与，开放共享。广泛征求公众意见，开门编规划，保障公众的知情权、参与权和监督权。</w:t>
      </w:r>
    </w:p>
    <w:p w14:paraId="40C32EA2">
      <w:pPr>
        <w:pStyle w:val="4"/>
        <w:bidi w:val="0"/>
        <w:rPr>
          <w:rFonts w:hint="default"/>
        </w:rPr>
      </w:pPr>
      <w:bookmarkStart w:id="7" w:name="_Toc29402"/>
      <w:bookmarkStart w:id="8" w:name="_Toc13905"/>
      <w:r>
        <w:rPr>
          <w:rFonts w:hint="default"/>
        </w:rPr>
        <w:t>规划依据</w:t>
      </w:r>
      <w:bookmarkEnd w:id="7"/>
      <w:bookmarkEnd w:id="8"/>
    </w:p>
    <w:p w14:paraId="25EA552F">
      <w:pPr>
        <w:keepNext w:val="0"/>
        <w:keepLines w:val="0"/>
        <w:pageBreakBefore w:val="0"/>
        <w:widowControl w:val="0"/>
        <w:kinsoku/>
        <w:wordWrap/>
        <w:overflowPunct/>
        <w:topLinePunct w:val="0"/>
        <w:autoSpaceDE/>
        <w:autoSpaceDN/>
        <w:bidi w:val="0"/>
        <w:adjustRightInd/>
        <w:snapToGrid/>
        <w:ind w:firstLine="640"/>
        <w:jc w:val="both"/>
        <w:textAlignment w:val="auto"/>
        <w:rPr>
          <w:rFonts w:hint="default" w:ascii="Times New Roman" w:hAnsi="Times New Roman" w:cs="Times New Roman"/>
          <w:highlight w:val="none"/>
          <w:lang w:bidi="ar"/>
        </w:rPr>
      </w:pPr>
      <w:bookmarkStart w:id="9" w:name="_Toc4591"/>
      <w:r>
        <w:rPr>
          <w:rFonts w:hint="eastAsia" w:cs="Times New Roman"/>
          <w:highlight w:val="none"/>
          <w:lang w:eastAsia="zh-CN" w:bidi="ar"/>
        </w:rPr>
        <w:t>1.</w:t>
      </w:r>
      <w:r>
        <w:rPr>
          <w:rFonts w:hint="default" w:ascii="Times New Roman" w:hAnsi="Times New Roman" w:cs="Times New Roman"/>
          <w:highlight w:val="none"/>
          <w:lang w:bidi="ar"/>
        </w:rPr>
        <w:t>法律法规</w:t>
      </w:r>
      <w:bookmarkEnd w:id="9"/>
    </w:p>
    <w:p w14:paraId="62249DB5">
      <w:pPr>
        <w:pStyle w:val="27"/>
        <w:keepNext w:val="0"/>
        <w:keepLines w:val="0"/>
        <w:pageBreakBefore w:val="0"/>
        <w:widowControl w:val="0"/>
        <w:numPr>
          <w:ilvl w:val="0"/>
          <w:numId w:val="5"/>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bookmarkStart w:id="10" w:name="_Hlk175260746"/>
      <w:bookmarkStart w:id="11" w:name="_Toc30898"/>
      <w:r>
        <w:rPr>
          <w:rFonts w:hint="default" w:ascii="Times New Roman" w:hAnsi="Times New Roman" w:eastAsia="仿宋_GB2312" w:cs="Times New Roman"/>
          <w:b w:val="0"/>
          <w:bCs w:val="0"/>
          <w:color w:val="auto"/>
          <w:highlight w:val="none"/>
        </w:rPr>
        <w:t>《中华人民共和国土地管理法》（2019年修订）；</w:t>
      </w:r>
    </w:p>
    <w:p w14:paraId="51905A95">
      <w:pPr>
        <w:pStyle w:val="27"/>
        <w:keepNext w:val="0"/>
        <w:keepLines w:val="0"/>
        <w:pageBreakBefore w:val="0"/>
        <w:widowControl w:val="0"/>
        <w:numPr>
          <w:ilvl w:val="0"/>
          <w:numId w:val="5"/>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eastAsia" w:ascii="Times New Roman" w:hAnsi="Times New Roman" w:eastAsia="仿宋_GB2312" w:cs="Times New Roman"/>
          <w:b w:val="0"/>
          <w:bCs w:val="0"/>
          <w:color w:val="auto"/>
          <w:highlight w:val="none"/>
        </w:rPr>
        <w:t>《中华人民共和国土地管理法实施条例》（2021年修订）</w:t>
      </w:r>
      <w:r>
        <w:rPr>
          <w:rFonts w:hint="eastAsia" w:ascii="Times New Roman" w:hAnsi="Times New Roman" w:eastAsia="仿宋_GB2312" w:cs="Times New Roman"/>
          <w:b w:val="0"/>
          <w:bCs w:val="0"/>
          <w:color w:val="auto"/>
          <w:highlight w:val="none"/>
          <w:lang w:eastAsia="zh-CN"/>
        </w:rPr>
        <w:t>；</w:t>
      </w:r>
    </w:p>
    <w:p w14:paraId="29482600">
      <w:pPr>
        <w:pStyle w:val="27"/>
        <w:keepNext w:val="0"/>
        <w:keepLines w:val="0"/>
        <w:pageBreakBefore w:val="0"/>
        <w:widowControl w:val="0"/>
        <w:numPr>
          <w:ilvl w:val="0"/>
          <w:numId w:val="5"/>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《中华人民共和国城乡规划法》（2019年修订）；</w:t>
      </w:r>
    </w:p>
    <w:p w14:paraId="21317BDB">
      <w:pPr>
        <w:pStyle w:val="27"/>
        <w:keepNext w:val="0"/>
        <w:keepLines w:val="0"/>
        <w:pageBreakBefore w:val="0"/>
        <w:widowControl w:val="0"/>
        <w:numPr>
          <w:ilvl w:val="0"/>
          <w:numId w:val="5"/>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《中华人民共和国环境保护法》（2014年修订）；</w:t>
      </w:r>
    </w:p>
    <w:p w14:paraId="67C080AA">
      <w:pPr>
        <w:pStyle w:val="27"/>
        <w:keepNext w:val="0"/>
        <w:keepLines w:val="0"/>
        <w:pageBreakBefore w:val="0"/>
        <w:widowControl w:val="0"/>
        <w:numPr>
          <w:ilvl w:val="0"/>
          <w:numId w:val="5"/>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《中华人民共和国乡村振兴促进法》（2021.04）；</w:t>
      </w:r>
    </w:p>
    <w:p w14:paraId="6E687074">
      <w:pPr>
        <w:pStyle w:val="27"/>
        <w:keepNext w:val="0"/>
        <w:keepLines w:val="0"/>
        <w:pageBreakBefore w:val="0"/>
        <w:widowControl w:val="0"/>
        <w:numPr>
          <w:ilvl w:val="0"/>
          <w:numId w:val="5"/>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《中华人民共和国草原法》（20</w:t>
      </w:r>
      <w:r>
        <w:rPr>
          <w:rFonts w:hint="eastAsia" w:ascii="Times New Roman" w:hAnsi="Times New Roman" w:eastAsia="仿宋_GB2312" w:cs="Times New Roman"/>
          <w:b w:val="0"/>
          <w:bCs w:val="0"/>
          <w:color w:val="auto"/>
          <w:highlight w:val="none"/>
        </w:rPr>
        <w:t>21</w:t>
      </w:r>
      <w:r>
        <w:rPr>
          <w:rFonts w:hint="default" w:ascii="Times New Roman" w:hAnsi="Times New Roman" w:eastAsia="仿宋_GB2312" w:cs="Times New Roman"/>
          <w:b w:val="0"/>
          <w:bCs w:val="0"/>
          <w:color w:val="auto"/>
          <w:highlight w:val="none"/>
        </w:rPr>
        <w:t>年修订）；</w:t>
      </w:r>
    </w:p>
    <w:p w14:paraId="15C0ABC3">
      <w:pPr>
        <w:pStyle w:val="27"/>
        <w:keepNext w:val="0"/>
        <w:keepLines w:val="0"/>
        <w:pageBreakBefore w:val="0"/>
        <w:widowControl w:val="0"/>
        <w:numPr>
          <w:ilvl w:val="0"/>
          <w:numId w:val="5"/>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《中华人民共和国森林法》（2019年修订）；</w:t>
      </w:r>
    </w:p>
    <w:p w14:paraId="023DE780">
      <w:pPr>
        <w:pStyle w:val="27"/>
        <w:keepNext w:val="0"/>
        <w:keepLines w:val="0"/>
        <w:pageBreakBefore w:val="0"/>
        <w:widowControl w:val="0"/>
        <w:numPr>
          <w:ilvl w:val="0"/>
          <w:numId w:val="5"/>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《中华人民共和国湿地保护法》(2022</w:t>
      </w:r>
      <w:r>
        <w:rPr>
          <w:rFonts w:hint="eastAsia" w:ascii="Times New Roman" w:hAnsi="Times New Roman" w:eastAsia="仿宋_GB2312" w:cs="Times New Roman"/>
          <w:b w:val="0"/>
          <w:bCs w:val="0"/>
          <w:color w:val="auto"/>
          <w:highlight w:val="none"/>
          <w:lang w:val="en-US" w:eastAsia="zh-CN"/>
        </w:rPr>
        <w:t>.06</w:t>
      </w:r>
      <w:r>
        <w:rPr>
          <w:rFonts w:hint="default" w:ascii="Times New Roman" w:hAnsi="Times New Roman" w:eastAsia="仿宋_GB2312" w:cs="Times New Roman"/>
          <w:b w:val="0"/>
          <w:bCs w:val="0"/>
          <w:color w:val="auto"/>
          <w:highlight w:val="none"/>
        </w:rPr>
        <w:t>)</w:t>
      </w:r>
      <w:r>
        <w:rPr>
          <w:rFonts w:hint="eastAsia" w:ascii="Times New Roman" w:hAnsi="Times New Roman" w:eastAsia="仿宋_GB2312" w:cs="Times New Roman"/>
          <w:b w:val="0"/>
          <w:bCs w:val="0"/>
          <w:color w:val="auto"/>
          <w:highlight w:val="none"/>
          <w:lang w:eastAsia="zh-CN"/>
        </w:rPr>
        <w:t>；</w:t>
      </w:r>
    </w:p>
    <w:p w14:paraId="16A3427E">
      <w:pPr>
        <w:pStyle w:val="27"/>
        <w:keepNext w:val="0"/>
        <w:keepLines w:val="0"/>
        <w:pageBreakBefore w:val="0"/>
        <w:widowControl w:val="0"/>
        <w:numPr>
          <w:ilvl w:val="0"/>
          <w:numId w:val="5"/>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《中华人民共和国文物保护法》（2017年修订）；</w:t>
      </w:r>
    </w:p>
    <w:p w14:paraId="39F6A3F3">
      <w:pPr>
        <w:pStyle w:val="27"/>
        <w:keepNext w:val="0"/>
        <w:keepLines w:val="0"/>
        <w:pageBreakBefore w:val="0"/>
        <w:widowControl w:val="0"/>
        <w:numPr>
          <w:ilvl w:val="0"/>
          <w:numId w:val="5"/>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《中华人民共和国自然保护区条例》（2017</w:t>
      </w:r>
      <w:r>
        <w:rPr>
          <w:rFonts w:hint="eastAsia" w:ascii="Times New Roman" w:hAnsi="Times New Roman" w:eastAsia="仿宋_GB2312" w:cs="Times New Roman"/>
          <w:b w:val="0"/>
          <w:bCs w:val="0"/>
          <w:color w:val="auto"/>
          <w:highlight w:val="none"/>
        </w:rPr>
        <w:t>年</w:t>
      </w:r>
      <w:r>
        <w:rPr>
          <w:rFonts w:hint="default" w:ascii="Times New Roman" w:hAnsi="Times New Roman" w:eastAsia="仿宋_GB2312" w:cs="Times New Roman"/>
          <w:b w:val="0"/>
          <w:bCs w:val="0"/>
          <w:color w:val="auto"/>
          <w:highlight w:val="none"/>
        </w:rPr>
        <w:t>修</w:t>
      </w:r>
      <w:r>
        <w:rPr>
          <w:rFonts w:hint="eastAsia" w:ascii="Times New Roman" w:hAnsi="Times New Roman" w:eastAsia="仿宋_GB2312" w:cs="Times New Roman"/>
          <w:b w:val="0"/>
          <w:bCs w:val="0"/>
          <w:color w:val="auto"/>
          <w:highlight w:val="none"/>
        </w:rPr>
        <w:t>订</w:t>
      </w:r>
      <w:r>
        <w:rPr>
          <w:rFonts w:hint="default" w:ascii="Times New Roman" w:hAnsi="Times New Roman" w:eastAsia="仿宋_GB2312" w:cs="Times New Roman"/>
          <w:b w:val="0"/>
          <w:bCs w:val="0"/>
          <w:color w:val="auto"/>
          <w:highlight w:val="none"/>
        </w:rPr>
        <w:t>）；</w:t>
      </w:r>
    </w:p>
    <w:p w14:paraId="217DE54C">
      <w:pPr>
        <w:pStyle w:val="27"/>
        <w:keepNext w:val="0"/>
        <w:keepLines w:val="0"/>
        <w:pageBreakBefore w:val="0"/>
        <w:widowControl w:val="0"/>
        <w:numPr>
          <w:ilvl w:val="0"/>
          <w:numId w:val="5"/>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eastAsia" w:ascii="Times New Roman" w:hAnsi="Times New Roman" w:eastAsia="仿宋_GB2312" w:cs="Times New Roman"/>
          <w:b w:val="0"/>
          <w:bCs w:val="0"/>
          <w:color w:val="auto"/>
          <w:highlight w:val="none"/>
        </w:rPr>
        <w:t>《黑龙江省黑土地保护利用条例》(2024</w:t>
      </w:r>
      <w:r>
        <w:rPr>
          <w:rFonts w:hint="eastAsia" w:ascii="Times New Roman" w:hAnsi="Times New Roman" w:eastAsia="仿宋_GB2312" w:cs="Times New Roman"/>
          <w:b w:val="0"/>
          <w:bCs w:val="0"/>
          <w:color w:val="auto"/>
          <w:highlight w:val="none"/>
          <w:lang w:val="en-US" w:eastAsia="zh-CN"/>
        </w:rPr>
        <w:t>.0</w:t>
      </w:r>
      <w:r>
        <w:rPr>
          <w:rFonts w:hint="eastAsia" w:ascii="Times New Roman" w:hAnsi="Times New Roman" w:eastAsia="仿宋_GB2312" w:cs="Times New Roman"/>
          <w:b w:val="0"/>
          <w:bCs w:val="0"/>
          <w:color w:val="auto"/>
          <w:highlight w:val="none"/>
        </w:rPr>
        <w:t>3)</w:t>
      </w:r>
    </w:p>
    <w:p w14:paraId="3AAA8291">
      <w:pPr>
        <w:pStyle w:val="27"/>
        <w:keepNext w:val="0"/>
        <w:keepLines w:val="0"/>
        <w:pageBreakBefore w:val="0"/>
        <w:widowControl w:val="0"/>
        <w:numPr>
          <w:ilvl w:val="0"/>
          <w:numId w:val="5"/>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其他相关</w:t>
      </w:r>
      <w:r>
        <w:rPr>
          <w:rFonts w:hint="eastAsia" w:cs="Times New Roman"/>
          <w:b w:val="0"/>
          <w:bCs w:val="0"/>
          <w:color w:val="auto"/>
          <w:highlight w:val="none"/>
          <w:lang w:eastAsia="zh-CN"/>
        </w:rPr>
        <w:t>法律法规</w:t>
      </w:r>
      <w:r>
        <w:rPr>
          <w:rFonts w:hint="default" w:ascii="Times New Roman" w:hAnsi="Times New Roman" w:eastAsia="仿宋_GB2312" w:cs="Times New Roman"/>
          <w:b w:val="0"/>
          <w:bCs w:val="0"/>
          <w:color w:val="auto"/>
          <w:highlight w:val="none"/>
        </w:rPr>
        <w:t>。</w:t>
      </w:r>
    </w:p>
    <w:bookmarkEnd w:id="10"/>
    <w:p w14:paraId="3A90D54B">
      <w:pPr>
        <w:keepNext w:val="0"/>
        <w:keepLines w:val="0"/>
        <w:pageBreakBefore w:val="0"/>
        <w:widowControl w:val="0"/>
        <w:kinsoku/>
        <w:wordWrap/>
        <w:overflowPunct/>
        <w:topLinePunct w:val="0"/>
        <w:autoSpaceDE/>
        <w:autoSpaceDN/>
        <w:bidi w:val="0"/>
        <w:adjustRightInd/>
        <w:snapToGrid/>
        <w:ind w:firstLine="640"/>
        <w:jc w:val="both"/>
        <w:textAlignment w:val="auto"/>
        <w:rPr>
          <w:rFonts w:hint="default" w:ascii="Times New Roman" w:hAnsi="Times New Roman" w:cs="Times New Roman"/>
          <w:highlight w:val="none"/>
          <w:lang w:bidi="ar"/>
        </w:rPr>
      </w:pPr>
      <w:r>
        <w:rPr>
          <w:rFonts w:hint="eastAsia" w:cs="Times New Roman"/>
          <w:highlight w:val="none"/>
          <w:lang w:eastAsia="zh-CN" w:bidi="ar"/>
        </w:rPr>
        <w:t>2.</w:t>
      </w:r>
      <w:r>
        <w:rPr>
          <w:rFonts w:hint="default" w:ascii="Times New Roman" w:hAnsi="Times New Roman" w:cs="Times New Roman"/>
          <w:highlight w:val="none"/>
          <w:lang w:bidi="ar"/>
        </w:rPr>
        <w:t>政策文件</w:t>
      </w:r>
      <w:bookmarkEnd w:id="11"/>
    </w:p>
    <w:p w14:paraId="7DAC5696">
      <w:pPr>
        <w:pStyle w:val="27"/>
        <w:keepNext w:val="0"/>
        <w:keepLines w:val="0"/>
        <w:pageBreakBefore w:val="0"/>
        <w:widowControl w:val="0"/>
        <w:numPr>
          <w:ilvl w:val="0"/>
          <w:numId w:val="6"/>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bookmarkStart w:id="12" w:name="_Toc19860"/>
      <w:r>
        <w:rPr>
          <w:rFonts w:hint="default" w:ascii="Times New Roman" w:hAnsi="Times New Roman" w:eastAsia="仿宋_GB2312" w:cs="Times New Roman"/>
          <w:b w:val="0"/>
          <w:bCs w:val="0"/>
          <w:color w:val="auto"/>
          <w:highlight w:val="none"/>
        </w:rPr>
        <w:t>《中共中央</w:t>
      </w:r>
      <w:r>
        <w:rPr>
          <w:rFonts w:hint="eastAsia" w:ascii="Times New Roman" w:hAnsi="Times New Roman" w:eastAsia="仿宋_GB2312" w:cs="Times New Roman"/>
          <w:b w:val="0"/>
          <w:bCs w:val="0"/>
          <w:color w:val="auto"/>
          <w:highlight w:val="none"/>
        </w:rPr>
        <w:t xml:space="preserve"> </w:t>
      </w:r>
      <w:r>
        <w:rPr>
          <w:rFonts w:hint="default" w:ascii="Times New Roman" w:hAnsi="Times New Roman" w:eastAsia="仿宋_GB2312" w:cs="Times New Roman"/>
          <w:b w:val="0"/>
          <w:bCs w:val="0"/>
          <w:color w:val="auto"/>
          <w:highlight w:val="none"/>
        </w:rPr>
        <w:t>国务院关于建立国土空间规划体系并监督实施的若干意见》（中发</w:t>
      </w:r>
      <w:r>
        <w:rPr>
          <w:rFonts w:hint="eastAsia" w:cs="Times New Roman"/>
          <w:b w:val="0"/>
          <w:bCs w:val="0"/>
          <w:color w:val="auto"/>
          <w:highlight w:val="none"/>
          <w:lang w:eastAsia="zh-CN"/>
        </w:rPr>
        <w:t>〔2019〕18号</w:t>
      </w:r>
      <w:r>
        <w:rPr>
          <w:rFonts w:hint="default" w:ascii="Times New Roman" w:hAnsi="Times New Roman" w:eastAsia="仿宋_GB2312" w:cs="Times New Roman"/>
          <w:b w:val="0"/>
          <w:bCs w:val="0"/>
          <w:color w:val="auto"/>
          <w:highlight w:val="none"/>
        </w:rPr>
        <w:t>）；</w:t>
      </w:r>
    </w:p>
    <w:p w14:paraId="7438BE3B">
      <w:pPr>
        <w:pStyle w:val="27"/>
        <w:keepNext w:val="0"/>
        <w:keepLines w:val="0"/>
        <w:pageBreakBefore w:val="0"/>
        <w:widowControl w:val="0"/>
        <w:numPr>
          <w:ilvl w:val="0"/>
          <w:numId w:val="6"/>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《中共中央</w:t>
      </w:r>
      <w:r>
        <w:rPr>
          <w:rFonts w:hint="eastAsia" w:ascii="Times New Roman" w:hAnsi="Times New Roman" w:eastAsia="仿宋_GB2312" w:cs="Times New Roman"/>
          <w:b w:val="0"/>
          <w:bCs w:val="0"/>
          <w:color w:val="auto"/>
          <w:highlight w:val="none"/>
        </w:rPr>
        <w:t xml:space="preserve"> </w:t>
      </w:r>
      <w:r>
        <w:rPr>
          <w:rFonts w:hint="default" w:ascii="Times New Roman" w:hAnsi="Times New Roman" w:eastAsia="仿宋_GB2312" w:cs="Times New Roman"/>
          <w:b w:val="0"/>
          <w:bCs w:val="0"/>
          <w:color w:val="auto"/>
          <w:highlight w:val="none"/>
        </w:rPr>
        <w:t>国务院关于加快推进生态文明建设的意见》</w:t>
      </w:r>
      <w:r>
        <w:rPr>
          <w:rFonts w:hint="eastAsia" w:cs="Times New Roman"/>
          <w:b w:val="0"/>
          <w:bCs w:val="0"/>
          <w:color w:val="auto"/>
          <w:highlight w:val="none"/>
          <w:lang w:eastAsia="zh-CN"/>
        </w:rPr>
        <w:t>（</w:t>
      </w:r>
      <w:r>
        <w:rPr>
          <w:rFonts w:hint="default" w:ascii="Times New Roman" w:hAnsi="Times New Roman" w:eastAsia="仿宋_GB2312" w:cs="Times New Roman"/>
          <w:b w:val="0"/>
          <w:bCs w:val="0"/>
          <w:color w:val="auto"/>
          <w:highlight w:val="none"/>
        </w:rPr>
        <w:t>厅字</w:t>
      </w:r>
      <w:r>
        <w:rPr>
          <w:rFonts w:hint="eastAsia" w:cs="Times New Roman"/>
          <w:b w:val="0"/>
          <w:bCs w:val="0"/>
          <w:color w:val="auto"/>
          <w:highlight w:val="none"/>
          <w:lang w:eastAsia="zh-CN"/>
        </w:rPr>
        <w:t>〔2019〕48号）</w:t>
      </w:r>
      <w:r>
        <w:rPr>
          <w:rFonts w:hint="eastAsia" w:ascii="Times New Roman" w:hAnsi="Times New Roman" w:eastAsia="仿宋_GB2312" w:cs="Times New Roman"/>
          <w:b w:val="0"/>
          <w:bCs w:val="0"/>
          <w:color w:val="auto"/>
          <w:highlight w:val="none"/>
        </w:rPr>
        <w:t>；</w:t>
      </w:r>
    </w:p>
    <w:p w14:paraId="37FDA304">
      <w:pPr>
        <w:pStyle w:val="27"/>
        <w:keepNext w:val="0"/>
        <w:keepLines w:val="0"/>
        <w:pageBreakBefore w:val="0"/>
        <w:widowControl w:val="0"/>
        <w:numPr>
          <w:ilvl w:val="0"/>
          <w:numId w:val="6"/>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eastAsia" w:ascii="Times New Roman" w:hAnsi="Times New Roman" w:eastAsia="仿宋_GB2312" w:cs="Times New Roman"/>
          <w:b w:val="0"/>
          <w:bCs w:val="0"/>
          <w:color w:val="auto"/>
          <w:highlight w:val="none"/>
        </w:rPr>
        <w:t>《自然资源部 生态环境部 国家林业和草原局关于加强生态保护红线管理的通知（试行）》</w:t>
      </w:r>
      <w:r>
        <w:rPr>
          <w:rFonts w:hint="default" w:ascii="Times New Roman" w:hAnsi="Times New Roman" w:eastAsia="仿宋_GB2312" w:cs="Times New Roman"/>
          <w:b w:val="0"/>
          <w:bCs w:val="0"/>
          <w:color w:val="auto"/>
          <w:highlight w:val="none"/>
        </w:rPr>
        <w:t>（自然资发</w:t>
      </w:r>
      <w:r>
        <w:rPr>
          <w:rFonts w:hint="eastAsia" w:cs="Times New Roman"/>
          <w:b w:val="0"/>
          <w:bCs w:val="0"/>
          <w:color w:val="auto"/>
          <w:highlight w:val="none"/>
          <w:lang w:eastAsia="zh-CN"/>
        </w:rPr>
        <w:t>〔2022〕142号</w:t>
      </w:r>
      <w:r>
        <w:rPr>
          <w:rFonts w:hint="default" w:ascii="Times New Roman" w:hAnsi="Times New Roman" w:eastAsia="仿宋_GB2312" w:cs="Times New Roman"/>
          <w:b w:val="0"/>
          <w:bCs w:val="0"/>
          <w:color w:val="auto"/>
          <w:highlight w:val="none"/>
        </w:rPr>
        <w:t>）</w:t>
      </w:r>
      <w:r>
        <w:rPr>
          <w:rFonts w:hint="eastAsia" w:ascii="Times New Roman" w:hAnsi="Times New Roman" w:eastAsia="仿宋_GB2312" w:cs="Times New Roman"/>
          <w:b w:val="0"/>
          <w:bCs w:val="0"/>
          <w:color w:val="auto"/>
          <w:highlight w:val="none"/>
          <w:lang w:eastAsia="zh-CN"/>
        </w:rPr>
        <w:t>；</w:t>
      </w:r>
    </w:p>
    <w:p w14:paraId="222EF63A">
      <w:pPr>
        <w:pStyle w:val="27"/>
        <w:keepNext w:val="0"/>
        <w:keepLines w:val="0"/>
        <w:pageBreakBefore w:val="0"/>
        <w:widowControl w:val="0"/>
        <w:numPr>
          <w:ilvl w:val="0"/>
          <w:numId w:val="6"/>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《自然资源部办公厅关于加强村庄规划促进乡村振兴的通知》（自然资办发</w:t>
      </w:r>
      <w:r>
        <w:rPr>
          <w:rFonts w:hint="eastAsia" w:cs="Times New Roman"/>
          <w:b w:val="0"/>
          <w:bCs w:val="0"/>
          <w:color w:val="auto"/>
          <w:highlight w:val="none"/>
          <w:lang w:eastAsia="zh-CN"/>
        </w:rPr>
        <w:t>〔2019〕35号</w:t>
      </w:r>
      <w:r>
        <w:rPr>
          <w:rFonts w:hint="default" w:ascii="Times New Roman" w:hAnsi="Times New Roman" w:eastAsia="仿宋_GB2312" w:cs="Times New Roman"/>
          <w:b w:val="0"/>
          <w:bCs w:val="0"/>
          <w:color w:val="auto"/>
          <w:highlight w:val="none"/>
        </w:rPr>
        <w:t>）；</w:t>
      </w:r>
    </w:p>
    <w:p w14:paraId="4ABE8A9E">
      <w:pPr>
        <w:pStyle w:val="27"/>
        <w:keepNext w:val="0"/>
        <w:keepLines w:val="0"/>
        <w:pageBreakBefore w:val="0"/>
        <w:widowControl w:val="0"/>
        <w:numPr>
          <w:ilvl w:val="0"/>
          <w:numId w:val="6"/>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《中共中央办公厅</w:t>
      </w:r>
      <w:r>
        <w:rPr>
          <w:rFonts w:hint="eastAsia" w:ascii="Times New Roman" w:hAnsi="Times New Roman" w:eastAsia="仿宋_GB2312" w:cs="Times New Roman"/>
          <w:b w:val="0"/>
          <w:bCs w:val="0"/>
          <w:color w:val="auto"/>
          <w:highlight w:val="none"/>
        </w:rPr>
        <w:t xml:space="preserve"> </w:t>
      </w:r>
      <w:r>
        <w:rPr>
          <w:rFonts w:hint="default" w:ascii="Times New Roman" w:hAnsi="Times New Roman" w:eastAsia="仿宋_GB2312" w:cs="Times New Roman"/>
          <w:b w:val="0"/>
          <w:bCs w:val="0"/>
          <w:color w:val="auto"/>
          <w:highlight w:val="none"/>
        </w:rPr>
        <w:t>国务院办公厅印发</w:t>
      </w:r>
      <w:r>
        <w:rPr>
          <w:rFonts w:hint="eastAsia" w:cs="Times New Roman"/>
          <w:b w:val="0"/>
          <w:bCs w:val="0"/>
          <w:color w:val="auto"/>
          <w:highlight w:val="none"/>
          <w:lang w:eastAsia="zh-CN"/>
        </w:rPr>
        <w:t>〈</w:t>
      </w:r>
      <w:r>
        <w:rPr>
          <w:rFonts w:hint="default" w:ascii="Times New Roman" w:hAnsi="Times New Roman" w:eastAsia="仿宋_GB2312" w:cs="Times New Roman"/>
          <w:b w:val="0"/>
          <w:bCs w:val="0"/>
          <w:color w:val="auto"/>
          <w:highlight w:val="none"/>
        </w:rPr>
        <w:t>关于建立以国家公园为主体的自然保护地体系的指导意见</w:t>
      </w:r>
      <w:r>
        <w:rPr>
          <w:rFonts w:hint="eastAsia" w:cs="Times New Roman"/>
          <w:b w:val="0"/>
          <w:bCs w:val="0"/>
          <w:color w:val="auto"/>
          <w:highlight w:val="none"/>
          <w:lang w:eastAsia="zh-CN"/>
        </w:rPr>
        <w:t>〉</w:t>
      </w:r>
      <w:r>
        <w:rPr>
          <w:rFonts w:hint="default" w:ascii="Times New Roman" w:hAnsi="Times New Roman" w:eastAsia="仿宋_GB2312" w:cs="Times New Roman"/>
          <w:b w:val="0"/>
          <w:bCs w:val="0"/>
          <w:color w:val="auto"/>
          <w:highlight w:val="none"/>
        </w:rPr>
        <w:t>的通知》（中办发</w:t>
      </w:r>
      <w:r>
        <w:rPr>
          <w:rFonts w:hint="eastAsia" w:cs="Times New Roman"/>
          <w:b w:val="0"/>
          <w:bCs w:val="0"/>
          <w:color w:val="auto"/>
          <w:highlight w:val="none"/>
          <w:lang w:eastAsia="zh-CN"/>
        </w:rPr>
        <w:t>〔2019〕42号</w:t>
      </w:r>
      <w:r>
        <w:rPr>
          <w:rFonts w:hint="default" w:ascii="Times New Roman" w:hAnsi="Times New Roman" w:eastAsia="仿宋_GB2312" w:cs="Times New Roman"/>
          <w:b w:val="0"/>
          <w:bCs w:val="0"/>
          <w:color w:val="auto"/>
          <w:highlight w:val="none"/>
        </w:rPr>
        <w:t>）；</w:t>
      </w:r>
    </w:p>
    <w:p w14:paraId="2009E8BC">
      <w:pPr>
        <w:pStyle w:val="27"/>
        <w:keepNext w:val="0"/>
        <w:keepLines w:val="0"/>
        <w:pageBreakBefore w:val="0"/>
        <w:widowControl w:val="0"/>
        <w:numPr>
          <w:ilvl w:val="0"/>
          <w:numId w:val="6"/>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《自然资源部关于全面开展国土空间规划工作的通知》（自然资发</w:t>
      </w:r>
      <w:r>
        <w:rPr>
          <w:rFonts w:hint="eastAsia" w:cs="Times New Roman"/>
          <w:b w:val="0"/>
          <w:bCs w:val="0"/>
          <w:color w:val="auto"/>
          <w:highlight w:val="none"/>
          <w:lang w:eastAsia="zh-CN"/>
        </w:rPr>
        <w:t>〔2019〕87号</w:t>
      </w:r>
      <w:r>
        <w:rPr>
          <w:rFonts w:hint="default" w:ascii="Times New Roman" w:hAnsi="Times New Roman" w:eastAsia="仿宋_GB2312" w:cs="Times New Roman"/>
          <w:b w:val="0"/>
          <w:bCs w:val="0"/>
          <w:color w:val="auto"/>
          <w:highlight w:val="none"/>
        </w:rPr>
        <w:t>）；</w:t>
      </w:r>
    </w:p>
    <w:p w14:paraId="0C085F2F">
      <w:pPr>
        <w:pStyle w:val="27"/>
        <w:keepNext w:val="0"/>
        <w:keepLines w:val="0"/>
        <w:pageBreakBefore w:val="0"/>
        <w:widowControl w:val="0"/>
        <w:numPr>
          <w:ilvl w:val="0"/>
          <w:numId w:val="6"/>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eastAsia" w:ascii="Times New Roman" w:hAnsi="Times New Roman" w:eastAsia="仿宋_GB2312" w:cs="Times New Roman"/>
          <w:b w:val="0"/>
          <w:bCs w:val="0"/>
          <w:color w:val="auto"/>
          <w:highlight w:val="none"/>
        </w:rPr>
        <w:t>《中共黑龙江省委办公厅 黑龙江省人民政府办公厅印发〈关于在全省国土空间规划中统筹划定落实三条控制线的实施意见〉的通知》</w:t>
      </w:r>
      <w:r>
        <w:rPr>
          <w:rFonts w:hint="default" w:ascii="Times New Roman" w:hAnsi="Times New Roman" w:eastAsia="仿宋_GB2312" w:cs="Times New Roman"/>
          <w:b w:val="0"/>
          <w:bCs w:val="0"/>
          <w:color w:val="auto"/>
          <w:highlight w:val="none"/>
        </w:rPr>
        <w:t>；</w:t>
      </w:r>
    </w:p>
    <w:p w14:paraId="180BDAB6">
      <w:pPr>
        <w:pStyle w:val="27"/>
        <w:keepNext w:val="0"/>
        <w:keepLines w:val="0"/>
        <w:pageBreakBefore w:val="0"/>
        <w:widowControl w:val="0"/>
        <w:numPr>
          <w:ilvl w:val="0"/>
          <w:numId w:val="6"/>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《自然资源部农业农村部关于加强和改进永久基本农田保护工作的通知》（自然资规</w:t>
      </w:r>
      <w:r>
        <w:rPr>
          <w:rFonts w:hint="eastAsia" w:cs="Times New Roman"/>
          <w:b w:val="0"/>
          <w:bCs w:val="0"/>
          <w:color w:val="auto"/>
          <w:highlight w:val="none"/>
          <w:lang w:eastAsia="zh-CN"/>
        </w:rPr>
        <w:t>〔2019〕1号</w:t>
      </w:r>
      <w:r>
        <w:rPr>
          <w:rFonts w:hint="default" w:ascii="Times New Roman" w:hAnsi="Times New Roman" w:eastAsia="仿宋_GB2312" w:cs="Times New Roman"/>
          <w:b w:val="0"/>
          <w:bCs w:val="0"/>
          <w:color w:val="auto"/>
          <w:highlight w:val="none"/>
        </w:rPr>
        <w:t>）；</w:t>
      </w:r>
    </w:p>
    <w:p w14:paraId="637BD302">
      <w:pPr>
        <w:pStyle w:val="27"/>
        <w:keepNext w:val="0"/>
        <w:keepLines w:val="0"/>
        <w:pageBreakBefore w:val="0"/>
        <w:widowControl w:val="0"/>
        <w:numPr>
          <w:ilvl w:val="0"/>
          <w:numId w:val="6"/>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eastAsia" w:ascii="Times New Roman" w:hAnsi="Times New Roman" w:eastAsia="仿宋_GB2312" w:cs="Times New Roman"/>
          <w:b w:val="0"/>
          <w:bCs w:val="0"/>
          <w:color w:val="auto"/>
          <w:highlight w:val="none"/>
        </w:rPr>
        <w:t>《自然资源部中央农村工作领导小组办公室关于学习运用“千万工程”经验提高村庄规划编制质量和实效的通知》（自然资发〔2024〕1号）</w:t>
      </w:r>
      <w:r>
        <w:rPr>
          <w:rFonts w:hint="eastAsia" w:ascii="Times New Roman" w:hAnsi="Times New Roman" w:eastAsia="仿宋_GB2312" w:cs="Times New Roman"/>
          <w:b w:val="0"/>
          <w:bCs w:val="0"/>
          <w:color w:val="auto"/>
          <w:highlight w:val="none"/>
          <w:lang w:eastAsia="zh-CN"/>
        </w:rPr>
        <w:t>；</w:t>
      </w:r>
    </w:p>
    <w:p w14:paraId="120B4E5D">
      <w:pPr>
        <w:pStyle w:val="27"/>
        <w:keepNext w:val="0"/>
        <w:keepLines w:val="0"/>
        <w:pageBreakBefore w:val="0"/>
        <w:widowControl w:val="0"/>
        <w:numPr>
          <w:ilvl w:val="0"/>
          <w:numId w:val="6"/>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《中共黑龙江省委</w:t>
      </w:r>
      <w:r>
        <w:rPr>
          <w:rFonts w:hint="eastAsia" w:ascii="Times New Roman" w:hAnsi="Times New Roman" w:eastAsia="仿宋_GB2312" w:cs="Times New Roman"/>
          <w:b w:val="0"/>
          <w:bCs w:val="0"/>
          <w:color w:val="auto"/>
          <w:highlight w:val="none"/>
          <w:lang w:val="en-US" w:eastAsia="zh-CN"/>
        </w:rPr>
        <w:t xml:space="preserve"> </w:t>
      </w:r>
      <w:r>
        <w:rPr>
          <w:rFonts w:hint="default" w:ascii="Times New Roman" w:hAnsi="Times New Roman" w:eastAsia="仿宋_GB2312" w:cs="Times New Roman"/>
          <w:b w:val="0"/>
          <w:bCs w:val="0"/>
          <w:color w:val="auto"/>
          <w:highlight w:val="none"/>
        </w:rPr>
        <w:t>黑龙江省人民政府关于建立全省国土空间规划体系并监督实施的意见》</w:t>
      </w:r>
      <w:r>
        <w:rPr>
          <w:rFonts w:hint="eastAsia" w:ascii="Times New Roman" w:hAnsi="Times New Roman" w:eastAsia="仿宋_GB2312" w:cs="Times New Roman"/>
          <w:b w:val="0"/>
          <w:bCs w:val="0"/>
          <w:color w:val="auto"/>
          <w:highlight w:val="none"/>
        </w:rPr>
        <w:t>（黑发〔2020〕5号）</w:t>
      </w:r>
      <w:r>
        <w:rPr>
          <w:rFonts w:hint="default" w:ascii="Times New Roman" w:hAnsi="Times New Roman" w:eastAsia="仿宋_GB2312" w:cs="Times New Roman"/>
          <w:b w:val="0"/>
          <w:bCs w:val="0"/>
          <w:color w:val="auto"/>
          <w:highlight w:val="none"/>
        </w:rPr>
        <w:t>；</w:t>
      </w:r>
    </w:p>
    <w:p w14:paraId="73D03228">
      <w:pPr>
        <w:pStyle w:val="27"/>
        <w:keepNext w:val="0"/>
        <w:keepLines w:val="0"/>
        <w:pageBreakBefore w:val="0"/>
        <w:widowControl w:val="0"/>
        <w:numPr>
          <w:ilvl w:val="0"/>
          <w:numId w:val="6"/>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eastAsia" w:ascii="Times New Roman" w:hAnsi="Times New Roman" w:eastAsia="仿宋_GB2312" w:cs="Times New Roman"/>
          <w:b w:val="0"/>
          <w:bCs w:val="0"/>
          <w:color w:val="auto"/>
          <w:highlight w:val="none"/>
        </w:rPr>
        <w:t>《黑龙江省自然资源厅关于全面开展全省国土空间规划工作的通知》（黑自然资函〔2019〕291号）</w:t>
      </w:r>
      <w:r>
        <w:rPr>
          <w:rFonts w:hint="eastAsia" w:ascii="Times New Roman" w:hAnsi="Times New Roman" w:eastAsia="仿宋_GB2312" w:cs="Times New Roman"/>
          <w:b w:val="0"/>
          <w:bCs w:val="0"/>
          <w:color w:val="auto"/>
          <w:highlight w:val="none"/>
          <w:lang w:eastAsia="zh-CN"/>
        </w:rPr>
        <w:t>；</w:t>
      </w:r>
    </w:p>
    <w:p w14:paraId="3EF2C8DD">
      <w:pPr>
        <w:pStyle w:val="27"/>
        <w:keepNext w:val="0"/>
        <w:keepLines w:val="0"/>
        <w:pageBreakBefore w:val="0"/>
        <w:widowControl w:val="0"/>
        <w:numPr>
          <w:ilvl w:val="0"/>
          <w:numId w:val="6"/>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其他相关政策文件。</w:t>
      </w:r>
    </w:p>
    <w:p w14:paraId="66DFE644">
      <w:pPr>
        <w:keepNext w:val="0"/>
        <w:keepLines w:val="0"/>
        <w:pageBreakBefore w:val="0"/>
        <w:widowControl w:val="0"/>
        <w:kinsoku/>
        <w:wordWrap/>
        <w:overflowPunct/>
        <w:topLinePunct w:val="0"/>
        <w:autoSpaceDE/>
        <w:autoSpaceDN/>
        <w:bidi w:val="0"/>
        <w:adjustRightInd/>
        <w:snapToGrid/>
        <w:ind w:firstLine="640"/>
        <w:jc w:val="both"/>
        <w:textAlignment w:val="auto"/>
        <w:rPr>
          <w:rFonts w:hint="default" w:ascii="Times New Roman" w:hAnsi="Times New Roman" w:cs="Times New Roman"/>
          <w:highlight w:val="none"/>
          <w:lang w:bidi="ar"/>
        </w:rPr>
      </w:pPr>
      <w:r>
        <w:rPr>
          <w:rFonts w:hint="eastAsia" w:cs="Times New Roman"/>
          <w:highlight w:val="none"/>
          <w:lang w:eastAsia="zh-CN" w:bidi="ar"/>
        </w:rPr>
        <w:t>3.</w:t>
      </w:r>
      <w:r>
        <w:rPr>
          <w:rFonts w:hint="default" w:ascii="Times New Roman" w:hAnsi="Times New Roman" w:cs="Times New Roman"/>
          <w:highlight w:val="none"/>
          <w:lang w:bidi="ar"/>
        </w:rPr>
        <w:t>技术标准</w:t>
      </w:r>
    </w:p>
    <w:p w14:paraId="4A678609">
      <w:pPr>
        <w:pStyle w:val="27"/>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《国土空间调查、规划、用途管制用地用海分类指南》</w:t>
      </w:r>
      <w:r>
        <w:rPr>
          <w:rFonts w:hint="eastAsia" w:ascii="Times New Roman" w:hAnsi="Times New Roman" w:eastAsia="仿宋_GB2312" w:cs="Times New Roman"/>
          <w:b w:val="0"/>
          <w:bCs w:val="0"/>
          <w:color w:val="auto"/>
          <w:highlight w:val="none"/>
        </w:rPr>
        <w:t>（GB/T43214-2023）</w:t>
      </w:r>
      <w:r>
        <w:rPr>
          <w:rFonts w:hint="default" w:ascii="Times New Roman" w:hAnsi="Times New Roman" w:eastAsia="仿宋_GB2312" w:cs="Times New Roman"/>
          <w:b w:val="0"/>
          <w:bCs w:val="0"/>
          <w:color w:val="auto"/>
          <w:highlight w:val="none"/>
        </w:rPr>
        <w:t>；</w:t>
      </w:r>
    </w:p>
    <w:p w14:paraId="52CEDEFF">
      <w:pPr>
        <w:pStyle w:val="27"/>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eastAsia" w:ascii="Times New Roman" w:hAnsi="Times New Roman" w:eastAsia="仿宋_GB2312" w:cs="Times New Roman"/>
          <w:b w:val="0"/>
          <w:bCs w:val="0"/>
          <w:color w:val="auto"/>
          <w:highlight w:val="none"/>
        </w:rPr>
        <w:t>《黑龙江省村庄规划编制指南》(DB23/T3595-2023)</w:t>
      </w:r>
      <w:r>
        <w:rPr>
          <w:rFonts w:hint="default" w:ascii="Times New Roman" w:hAnsi="Times New Roman" w:eastAsia="仿宋_GB2312" w:cs="Times New Roman"/>
          <w:b w:val="0"/>
          <w:bCs w:val="0"/>
          <w:color w:val="auto"/>
          <w:highlight w:val="none"/>
        </w:rPr>
        <w:t>；</w:t>
      </w:r>
    </w:p>
    <w:p w14:paraId="32309215">
      <w:pPr>
        <w:pStyle w:val="27"/>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《黑龙江省乡</w:t>
      </w:r>
      <w:r>
        <w:rPr>
          <w:rFonts w:hint="default" w:ascii="Times New Roman" w:hAnsi="Times New Roman" w:eastAsia="仿宋_GB2312" w:cs="Times New Roman"/>
          <w:b w:val="0"/>
          <w:bCs w:val="0"/>
          <w:color w:val="auto"/>
          <w:highlight w:val="none"/>
          <w:lang w:val="en-US" w:eastAsia="zh-CN"/>
        </w:rPr>
        <w:t>镇</w:t>
      </w:r>
      <w:r>
        <w:rPr>
          <w:rFonts w:hint="default" w:ascii="Times New Roman" w:hAnsi="Times New Roman" w:eastAsia="仿宋_GB2312" w:cs="Times New Roman"/>
          <w:b w:val="0"/>
          <w:bCs w:val="0"/>
          <w:color w:val="auto"/>
          <w:highlight w:val="none"/>
        </w:rPr>
        <w:t>级国土空间总体规划编制指南</w:t>
      </w:r>
      <w:r>
        <w:rPr>
          <w:rFonts w:hint="eastAsia" w:cs="Times New Roman"/>
          <w:b w:val="0"/>
          <w:bCs w:val="0"/>
          <w:color w:val="auto"/>
          <w:highlight w:val="none"/>
          <w:lang w:eastAsia="zh-CN"/>
        </w:rPr>
        <w:t>（</w:t>
      </w:r>
      <w:r>
        <w:rPr>
          <w:rFonts w:hint="default" w:ascii="Times New Roman" w:hAnsi="Times New Roman" w:eastAsia="仿宋_GB2312" w:cs="Times New Roman"/>
          <w:b w:val="0"/>
          <w:bCs w:val="0"/>
          <w:color w:val="auto"/>
          <w:highlight w:val="none"/>
        </w:rPr>
        <w:t>试行</w:t>
      </w:r>
      <w:r>
        <w:rPr>
          <w:rFonts w:hint="eastAsia" w:cs="Times New Roman"/>
          <w:b w:val="0"/>
          <w:bCs w:val="0"/>
          <w:color w:val="auto"/>
          <w:highlight w:val="none"/>
          <w:lang w:eastAsia="zh-CN"/>
        </w:rPr>
        <w:t>）</w:t>
      </w:r>
      <w:r>
        <w:rPr>
          <w:rFonts w:hint="default" w:ascii="Times New Roman" w:hAnsi="Times New Roman" w:eastAsia="仿宋_GB2312" w:cs="Times New Roman"/>
          <w:b w:val="0"/>
          <w:bCs w:val="0"/>
          <w:color w:val="auto"/>
          <w:highlight w:val="none"/>
        </w:rPr>
        <w:t>》</w:t>
      </w:r>
      <w:r>
        <w:rPr>
          <w:rFonts w:hint="eastAsia" w:cs="Times New Roman"/>
          <w:b w:val="0"/>
          <w:bCs w:val="0"/>
          <w:color w:val="auto"/>
          <w:highlight w:val="none"/>
          <w:lang w:eastAsia="zh-CN"/>
        </w:rPr>
        <w:t>（</w:t>
      </w:r>
      <w:r>
        <w:rPr>
          <w:rFonts w:hint="default" w:ascii="Times New Roman" w:hAnsi="Times New Roman" w:eastAsia="仿宋_GB2312" w:cs="Times New Roman"/>
          <w:b w:val="0"/>
          <w:bCs w:val="0"/>
          <w:color w:val="auto"/>
          <w:highlight w:val="none"/>
          <w:lang w:val="en-US" w:eastAsia="zh-CN"/>
        </w:rPr>
        <w:t>2024年10月</w:t>
      </w:r>
      <w:r>
        <w:rPr>
          <w:rFonts w:hint="eastAsia" w:cs="Times New Roman"/>
          <w:b w:val="0"/>
          <w:bCs w:val="0"/>
          <w:color w:val="auto"/>
          <w:highlight w:val="none"/>
          <w:lang w:val="en-US" w:eastAsia="zh-CN"/>
        </w:rPr>
        <w:t>）</w:t>
      </w:r>
      <w:r>
        <w:rPr>
          <w:rFonts w:hint="eastAsia" w:ascii="Times New Roman" w:hAnsi="Times New Roman" w:eastAsia="仿宋_GB2312" w:cs="Times New Roman"/>
          <w:b w:val="0"/>
          <w:bCs w:val="0"/>
          <w:color w:val="auto"/>
          <w:highlight w:val="none"/>
          <w:lang w:eastAsia="zh-CN"/>
        </w:rPr>
        <w:t>；</w:t>
      </w:r>
    </w:p>
    <w:p w14:paraId="694FE774">
      <w:pPr>
        <w:pStyle w:val="27"/>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国家、省</w:t>
      </w:r>
      <w:r>
        <w:rPr>
          <w:rFonts w:hint="eastAsia" w:ascii="Times New Roman" w:hAnsi="Times New Roman" w:eastAsia="仿宋_GB2312" w:cs="Times New Roman"/>
          <w:b w:val="0"/>
          <w:bCs w:val="0"/>
          <w:color w:val="auto"/>
          <w:highlight w:val="none"/>
        </w:rPr>
        <w:t>行业主管部门颁布的其他相关文件及标准规范</w:t>
      </w:r>
      <w:r>
        <w:rPr>
          <w:rFonts w:hint="default" w:ascii="Times New Roman" w:hAnsi="Times New Roman" w:eastAsia="仿宋_GB2312" w:cs="Times New Roman"/>
          <w:b w:val="0"/>
          <w:bCs w:val="0"/>
          <w:color w:val="auto"/>
          <w:highlight w:val="none"/>
        </w:rPr>
        <w:t>。</w:t>
      </w:r>
    </w:p>
    <w:bookmarkEnd w:id="12"/>
    <w:p w14:paraId="7B3245EA">
      <w:pPr>
        <w:keepNext w:val="0"/>
        <w:keepLines w:val="0"/>
        <w:pageBreakBefore w:val="0"/>
        <w:widowControl w:val="0"/>
        <w:kinsoku/>
        <w:wordWrap/>
        <w:overflowPunct/>
        <w:topLinePunct w:val="0"/>
        <w:autoSpaceDE/>
        <w:autoSpaceDN/>
        <w:bidi w:val="0"/>
        <w:adjustRightInd/>
        <w:snapToGrid/>
        <w:ind w:firstLine="640"/>
        <w:jc w:val="both"/>
        <w:textAlignment w:val="auto"/>
        <w:rPr>
          <w:rFonts w:hint="default" w:ascii="Times New Roman" w:hAnsi="Times New Roman" w:cs="Times New Roman"/>
          <w:highlight w:val="none"/>
          <w:lang w:bidi="ar"/>
        </w:rPr>
      </w:pPr>
      <w:r>
        <w:rPr>
          <w:rFonts w:hint="eastAsia" w:ascii="Times New Roman" w:hAnsi="Times New Roman" w:cs="Times New Roman"/>
          <w:highlight w:val="none"/>
          <w:lang w:val="en-US" w:eastAsia="zh-CN" w:bidi="ar"/>
        </w:rPr>
        <w:t>4</w:t>
      </w:r>
      <w:r>
        <w:rPr>
          <w:rFonts w:hint="default" w:ascii="Times New Roman" w:hAnsi="Times New Roman" w:cs="Times New Roman"/>
          <w:highlight w:val="none"/>
          <w:lang w:bidi="ar"/>
        </w:rPr>
        <w:t>.上位规划及相关规划</w:t>
      </w:r>
    </w:p>
    <w:p w14:paraId="35F3781C">
      <w:pPr>
        <w:pStyle w:val="27"/>
        <w:keepNext w:val="0"/>
        <w:keepLines w:val="0"/>
        <w:pageBreakBefore w:val="0"/>
        <w:widowControl w:val="0"/>
        <w:numPr>
          <w:ilvl w:val="0"/>
          <w:numId w:val="8"/>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《全国国土空间规划纲要（2021</w:t>
      </w:r>
      <w:r>
        <w:rPr>
          <w:rFonts w:hint="eastAsia" w:cs="Times New Roman"/>
          <w:b w:val="0"/>
          <w:bCs w:val="0"/>
          <w:color w:val="auto"/>
          <w:highlight w:val="none"/>
          <w:lang w:eastAsia="zh-CN"/>
        </w:rPr>
        <w:t>—</w:t>
      </w:r>
      <w:r>
        <w:rPr>
          <w:rFonts w:hint="default" w:ascii="Times New Roman" w:hAnsi="Times New Roman" w:eastAsia="仿宋_GB2312" w:cs="Times New Roman"/>
          <w:b w:val="0"/>
          <w:bCs w:val="0"/>
          <w:color w:val="auto"/>
          <w:highlight w:val="none"/>
        </w:rPr>
        <w:t>2035年）》；</w:t>
      </w:r>
    </w:p>
    <w:p w14:paraId="2214165D">
      <w:pPr>
        <w:pStyle w:val="27"/>
        <w:keepNext w:val="0"/>
        <w:keepLines w:val="0"/>
        <w:pageBreakBefore w:val="0"/>
        <w:widowControl w:val="0"/>
        <w:numPr>
          <w:ilvl w:val="0"/>
          <w:numId w:val="8"/>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《黑龙江省国民经济和社会发展第十四个五年规划和二〇三五年远景目标纲要》；</w:t>
      </w:r>
    </w:p>
    <w:p w14:paraId="6FD4EEA1">
      <w:pPr>
        <w:pStyle w:val="27"/>
        <w:keepNext w:val="0"/>
        <w:keepLines w:val="0"/>
        <w:pageBreakBefore w:val="0"/>
        <w:widowControl w:val="0"/>
        <w:numPr>
          <w:ilvl w:val="0"/>
          <w:numId w:val="8"/>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《桦川县国土空间总体规划（2021</w:t>
      </w:r>
      <w:r>
        <w:rPr>
          <w:rFonts w:hint="eastAsia" w:cs="Times New Roman"/>
          <w:b w:val="0"/>
          <w:bCs w:val="0"/>
          <w:color w:val="auto"/>
          <w:highlight w:val="none"/>
          <w:lang w:eastAsia="zh-CN"/>
        </w:rPr>
        <w:t>—</w:t>
      </w:r>
      <w:r>
        <w:rPr>
          <w:rFonts w:hint="default" w:ascii="Times New Roman" w:hAnsi="Times New Roman" w:eastAsia="仿宋_GB2312" w:cs="Times New Roman"/>
          <w:b w:val="0"/>
          <w:bCs w:val="0"/>
          <w:color w:val="auto"/>
          <w:highlight w:val="none"/>
        </w:rPr>
        <w:t>2035年）》</w:t>
      </w:r>
    </w:p>
    <w:p w14:paraId="2EA198B2">
      <w:pPr>
        <w:pStyle w:val="27"/>
        <w:keepNext w:val="0"/>
        <w:keepLines w:val="0"/>
        <w:pageBreakBefore w:val="0"/>
        <w:widowControl w:val="0"/>
        <w:numPr>
          <w:ilvl w:val="0"/>
          <w:numId w:val="8"/>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《桦川县国民经济和社会发展第十四个五年规划纲要和二〇三五年远景目标（2021</w:t>
      </w:r>
      <w:r>
        <w:rPr>
          <w:rFonts w:hint="eastAsia" w:cs="Times New Roman"/>
          <w:b w:val="0"/>
          <w:bCs w:val="0"/>
          <w:color w:val="auto"/>
          <w:highlight w:val="none"/>
          <w:lang w:eastAsia="zh-CN"/>
        </w:rPr>
        <w:t>—</w:t>
      </w:r>
      <w:r>
        <w:rPr>
          <w:rFonts w:hint="default" w:ascii="Times New Roman" w:hAnsi="Times New Roman" w:eastAsia="仿宋_GB2312" w:cs="Times New Roman"/>
          <w:b w:val="0"/>
          <w:bCs w:val="0"/>
          <w:color w:val="auto"/>
          <w:highlight w:val="none"/>
        </w:rPr>
        <w:t>2025年）》；</w:t>
      </w:r>
    </w:p>
    <w:p w14:paraId="02CACA39">
      <w:pPr>
        <w:pStyle w:val="27"/>
        <w:keepNext w:val="0"/>
        <w:keepLines w:val="0"/>
        <w:pageBreakBefore w:val="0"/>
        <w:widowControl w:val="0"/>
        <w:numPr>
          <w:ilvl w:val="0"/>
          <w:numId w:val="8"/>
        </w:numPr>
        <w:kinsoku/>
        <w:wordWrap/>
        <w:overflowPunct/>
        <w:topLinePunct w:val="0"/>
        <w:autoSpaceDE/>
        <w:autoSpaceDN/>
        <w:bidi w:val="0"/>
        <w:adjustRightInd/>
        <w:snapToGrid/>
        <w:ind w:left="0" w:leftChars="0" w:firstLine="640" w:firstLineChars="200"/>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highlight w:val="none"/>
        </w:rPr>
        <w:t>其他相关专项规划。</w:t>
      </w:r>
    </w:p>
    <w:p w14:paraId="1BD0F650">
      <w:pPr>
        <w:pStyle w:val="4"/>
        <w:bidi w:val="0"/>
        <w:rPr>
          <w:rFonts w:hint="default"/>
        </w:rPr>
      </w:pPr>
      <w:bookmarkStart w:id="13" w:name="_Toc19532"/>
      <w:bookmarkStart w:id="14" w:name="_Toc12027"/>
      <w:r>
        <w:rPr>
          <w:rFonts w:hint="default"/>
        </w:rPr>
        <w:t>规划范围</w:t>
      </w:r>
      <w:bookmarkEnd w:id="13"/>
      <w:bookmarkEnd w:id="14"/>
      <w:r>
        <w:rPr>
          <w:rFonts w:hint="eastAsia"/>
          <w:lang w:val="en-US" w:eastAsia="zh-CN"/>
        </w:rPr>
        <w:t>和</w:t>
      </w:r>
      <w:r>
        <w:rPr>
          <w:rFonts w:hint="eastAsia"/>
        </w:rPr>
        <w:t>期限</w:t>
      </w:r>
    </w:p>
    <w:p w14:paraId="63872EE5">
      <w:pPr>
        <w:bidi w:val="0"/>
        <w:rPr>
          <w:rFonts w:hint="eastAsia"/>
          <w:lang w:val="en-US" w:eastAsia="zh-CN"/>
        </w:rPr>
      </w:pPr>
      <w:r>
        <w:rPr>
          <w:rFonts w:hint="default"/>
          <w:lang w:val="en-US" w:eastAsia="zh-CN"/>
        </w:rPr>
        <w:t>本次规划范围</w:t>
      </w:r>
      <w:r>
        <w:rPr>
          <w:rFonts w:hint="eastAsia"/>
          <w:lang w:val="en-US" w:eastAsia="zh-CN"/>
        </w:rPr>
        <w:t>落实桦川县国土空间总体规划中对悦来镇规划编制范围的传导。规划范围分为</w:t>
      </w:r>
      <w:r>
        <w:rPr>
          <w:rFonts w:hint="default"/>
          <w:lang w:val="en-US" w:eastAsia="zh-CN"/>
        </w:rPr>
        <w:t>包括</w:t>
      </w:r>
      <w:r>
        <w:rPr>
          <w:rFonts w:hint="eastAsia"/>
          <w:lang w:val="en-US" w:eastAsia="zh-CN"/>
        </w:rPr>
        <w:t>镇域和镇政府驻地两个层次。</w:t>
      </w:r>
    </w:p>
    <w:p w14:paraId="0807C0A6">
      <w:pPr>
        <w:bidi w:val="0"/>
        <w:rPr>
          <w:rFonts w:hint="eastAsia"/>
          <w:lang w:val="en-US" w:eastAsia="zh-CN"/>
        </w:rPr>
      </w:pPr>
      <w:r>
        <w:rPr>
          <w:rFonts w:hint="eastAsia"/>
          <w:lang w:val="en-US" w:eastAsia="zh-CN"/>
        </w:rPr>
        <w:t>镇域范围为悦来镇行政辖区内全部国土空间范围，总面积约为21187.80公顷。</w:t>
      </w:r>
    </w:p>
    <w:p w14:paraId="64468FDE">
      <w:pPr>
        <w:bidi w:val="0"/>
        <w:rPr>
          <w:rFonts w:hint="default"/>
          <w:lang w:val="en-US" w:eastAsia="zh-CN"/>
        </w:rPr>
      </w:pPr>
      <w:r>
        <w:rPr>
          <w:rFonts w:hint="eastAsia"/>
          <w:lang w:val="en-US" w:eastAsia="zh-CN"/>
        </w:rPr>
        <w:t>镇政府驻地范围为城镇开发边界涉及的桦树村、敬夫村、冷云村、悦东村、悦江村、悦胜村，总面积约为1573.59公顷。</w:t>
      </w:r>
    </w:p>
    <w:p w14:paraId="407F7B09">
      <w:pPr>
        <w:bidi w:val="0"/>
        <w:rPr>
          <w:rFonts w:hint="eastAsia"/>
          <w:lang w:val="en-US" w:eastAsia="zh-CN"/>
        </w:rPr>
      </w:pPr>
      <w:bookmarkStart w:id="15" w:name="_Hlk175260983"/>
      <w:r>
        <w:rPr>
          <w:rFonts w:hint="eastAsia"/>
          <w:lang w:val="en-US" w:eastAsia="zh-CN"/>
        </w:rPr>
        <w:t>本规划基期年为2020年，规划期限为2021年至2035年，近期至2025年，远景展望至2050年</w:t>
      </w:r>
      <w:bookmarkEnd w:id="15"/>
      <w:r>
        <w:rPr>
          <w:rFonts w:hint="eastAsia"/>
          <w:lang w:val="en-US" w:eastAsia="zh-CN"/>
        </w:rPr>
        <w:t>。</w:t>
      </w:r>
    </w:p>
    <w:p w14:paraId="0C7F08A1">
      <w:pPr>
        <w:pStyle w:val="4"/>
        <w:bidi w:val="0"/>
        <w:rPr>
          <w:rFonts w:hint="default"/>
        </w:rPr>
      </w:pPr>
      <w:r>
        <w:rPr>
          <w:rFonts w:hint="eastAsia"/>
        </w:rPr>
        <w:t>强制性内容</w:t>
      </w:r>
    </w:p>
    <w:p w14:paraId="28C20CD9">
      <w:pPr>
        <w:rPr>
          <w:rFonts w:hint="default" w:ascii="Times New Roman" w:hAnsi="Times New Roman" w:eastAsia="方正小标宋_GBK" w:cs="Times New Roman"/>
          <w:b w:val="0"/>
          <w:bCs w:val="0"/>
          <w:color w:val="auto"/>
          <w:kern w:val="2"/>
          <w:szCs w:val="36"/>
          <w:highlight w:val="none"/>
        </w:rPr>
      </w:pPr>
      <w:bookmarkStart w:id="16" w:name="_Hlk175260996"/>
      <w:r>
        <w:rPr>
          <w:rFonts w:cs="Times New Roman"/>
          <w:color w:val="auto"/>
          <w:highlight w:val="none"/>
        </w:rPr>
        <w:t>强制性内容是对国土空间规划实施监督检查的基本依据，本规划强制性内容为文本中</w:t>
      </w:r>
      <w:r>
        <w:rPr>
          <w:rFonts w:hint="eastAsia" w:cs="Times New Roman"/>
          <w:color w:val="auto"/>
          <w:highlight w:val="none"/>
        </w:rPr>
        <w:t>“</w:t>
      </w:r>
      <w:r>
        <w:rPr>
          <w:rFonts w:cs="Times New Roman"/>
          <w:color w:val="auto"/>
          <w:highlight w:val="none"/>
          <w:u w:val="single"/>
        </w:rPr>
        <w:t>加下划线</w:t>
      </w:r>
      <w:r>
        <w:rPr>
          <w:rFonts w:hint="eastAsia" w:cs="Times New Roman"/>
          <w:color w:val="auto"/>
          <w:highlight w:val="none"/>
        </w:rPr>
        <w:t>”</w:t>
      </w:r>
      <w:r>
        <w:rPr>
          <w:rFonts w:cs="Times New Roman"/>
          <w:color w:val="auto"/>
          <w:highlight w:val="none"/>
        </w:rPr>
        <w:t>条文。</w:t>
      </w:r>
      <w:bookmarkEnd w:id="16"/>
      <w:r>
        <w:rPr>
          <w:rFonts w:hint="default" w:ascii="Times New Roman" w:hAnsi="Times New Roman" w:eastAsia="方正小标宋_GBK" w:cs="Times New Roman"/>
          <w:b w:val="0"/>
          <w:bCs w:val="0"/>
          <w:color w:val="auto"/>
          <w:kern w:val="2"/>
          <w:szCs w:val="36"/>
          <w:highlight w:val="none"/>
        </w:rPr>
        <w:br w:type="page"/>
      </w:r>
    </w:p>
    <w:p w14:paraId="0C1DBD5B">
      <w:pPr>
        <w:pStyle w:val="2"/>
        <w:bidi w:val="0"/>
        <w:rPr>
          <w:rFonts w:hint="default"/>
          <w:lang w:val="en-US"/>
        </w:rPr>
      </w:pPr>
      <w:bookmarkStart w:id="17" w:name="_Toc1694"/>
      <w:r>
        <w:rPr>
          <w:rFonts w:hint="eastAsia"/>
          <w:lang w:val="en-US" w:eastAsia="zh-CN"/>
        </w:rPr>
        <w:t>目标定位与空间策略</w:t>
      </w:r>
      <w:bookmarkEnd w:id="17"/>
    </w:p>
    <w:p w14:paraId="2B586575">
      <w:pPr>
        <w:pStyle w:val="4"/>
        <w:bidi w:val="0"/>
        <w:rPr>
          <w:rFonts w:hint="default"/>
        </w:rPr>
      </w:pPr>
      <w:r>
        <w:rPr>
          <w:rFonts w:hint="eastAsia"/>
          <w:lang w:val="en-US" w:eastAsia="zh-CN"/>
        </w:rPr>
        <w:t>功能定位</w:t>
      </w:r>
    </w:p>
    <w:p w14:paraId="700DFDB2">
      <w:pPr>
        <w:bidi w:val="0"/>
        <w:rPr>
          <w:rFonts w:hint="eastAsia"/>
          <w:lang w:val="en-US" w:eastAsia="zh-CN"/>
        </w:rPr>
      </w:pPr>
      <w:bookmarkStart w:id="18" w:name="_Hlk175262848"/>
      <w:bookmarkStart w:id="19" w:name="_Toc19496"/>
      <w:r>
        <w:rPr>
          <w:rFonts w:hint="eastAsia"/>
          <w:lang w:val="en-US" w:eastAsia="zh-CN"/>
        </w:rPr>
        <w:t>1.城镇</w:t>
      </w:r>
      <w:bookmarkEnd w:id="18"/>
      <w:r>
        <w:rPr>
          <w:rFonts w:hint="eastAsia"/>
          <w:lang w:val="en-US" w:eastAsia="zh-CN"/>
        </w:rPr>
        <w:t>性质</w:t>
      </w:r>
    </w:p>
    <w:p w14:paraId="0932C9F5">
      <w:pPr>
        <w:bidi w:val="0"/>
        <w:rPr>
          <w:rFonts w:hint="default"/>
          <w:lang w:val="en-US" w:eastAsia="zh-CN"/>
        </w:rPr>
      </w:pPr>
      <w:r>
        <w:rPr>
          <w:rFonts w:hint="eastAsia"/>
          <w:lang w:val="en-US" w:eastAsia="zh-CN"/>
        </w:rPr>
        <w:t>打造悦来镇成为桦川产业开发基地、现代滨江宜居城镇、滨水文旅融合城镇。</w:t>
      </w:r>
    </w:p>
    <w:p w14:paraId="16A408A6">
      <w:pPr>
        <w:bidi w:val="0"/>
        <w:rPr>
          <w:rFonts w:hint="default"/>
          <w:lang w:val="en-US" w:eastAsia="zh-CN"/>
        </w:rPr>
      </w:pPr>
      <w:r>
        <w:rPr>
          <w:rFonts w:hint="eastAsia"/>
          <w:lang w:val="en-US" w:eastAsia="zh-CN"/>
        </w:rPr>
        <w:t>2.功能定位</w:t>
      </w:r>
    </w:p>
    <w:p w14:paraId="0F92224E">
      <w:pPr>
        <w:bidi w:val="0"/>
        <w:rPr>
          <w:rFonts w:hint="eastAsia"/>
          <w:lang w:val="en-US" w:eastAsia="zh-CN"/>
        </w:rPr>
      </w:pPr>
      <w:bookmarkStart w:id="20" w:name="_Hlk175262823"/>
      <w:r>
        <w:rPr>
          <w:rFonts w:hint="eastAsia"/>
          <w:lang w:val="en-US" w:eastAsia="zh-CN"/>
        </w:rPr>
        <w:t>在桦川县国土空间总体规划职能体系结构中确定悦来镇作为</w:t>
      </w:r>
      <w:r>
        <w:rPr>
          <w:rFonts w:hint="default"/>
          <w:lang w:val="en-US" w:eastAsia="zh-CN"/>
        </w:rPr>
        <w:t>中心城</w:t>
      </w:r>
      <w:r>
        <w:rPr>
          <w:rFonts w:hint="eastAsia"/>
          <w:lang w:val="en-US" w:eastAsia="zh-CN"/>
        </w:rPr>
        <w:t>镇，是桦川县政治、经济、文化、交通中心，以发展农副产品加工业、机械加工业、商贸物流业、旅游业为主导的乡镇。</w:t>
      </w:r>
    </w:p>
    <w:p w14:paraId="4B25DE84">
      <w:pPr>
        <w:pStyle w:val="29"/>
        <w:keepNext/>
        <w:keepLines/>
        <w:pageBreakBefore w:val="0"/>
        <w:widowControl w:val="0"/>
        <w:numPr>
          <w:ilvl w:val="0"/>
          <w:numId w:val="9"/>
        </w:numPr>
        <w:tabs>
          <w:tab w:val="left" w:pos="420"/>
        </w:tabs>
        <w:kinsoku/>
        <w:wordWrap/>
        <w:overflowPunct/>
        <w:topLinePunct w:val="0"/>
        <w:autoSpaceDE/>
        <w:autoSpaceDN/>
        <w:bidi w:val="0"/>
        <w:adjustRightInd/>
        <w:snapToGrid/>
        <w:ind w:left="0" w:firstLine="0"/>
        <w:textAlignment w:val="auto"/>
      </w:pPr>
      <w:bookmarkStart w:id="21" w:name="_Toc27812"/>
      <w:bookmarkStart w:id="22" w:name="_Toc3055"/>
      <w:r>
        <w:t>规划目标</w:t>
      </w:r>
      <w:r>
        <w:rPr>
          <w:rFonts w:hint="eastAsia"/>
        </w:rPr>
        <w:t>与指标体系</w:t>
      </w:r>
      <w:bookmarkEnd w:id="21"/>
      <w:bookmarkEnd w:id="22"/>
    </w:p>
    <w:bookmarkEnd w:id="20"/>
    <w:p w14:paraId="13608876">
      <w:pPr>
        <w:pStyle w:val="4"/>
        <w:bidi w:val="0"/>
      </w:pPr>
      <w:r>
        <w:t>发展目标</w:t>
      </w:r>
    </w:p>
    <w:p w14:paraId="3E9CBCFE">
      <w:pPr>
        <w:bidi w:val="0"/>
        <w:rPr>
          <w:rFonts w:hint="eastAsia"/>
          <w:lang w:val="en-US" w:eastAsia="zh-CN"/>
        </w:rPr>
      </w:pPr>
      <w:bookmarkStart w:id="23" w:name="_Hlk175262922"/>
      <w:r>
        <w:rPr>
          <w:rFonts w:hint="eastAsia"/>
          <w:lang w:val="en-US" w:eastAsia="zh-CN"/>
        </w:rPr>
        <w:t>1.总体目标</w:t>
      </w:r>
    </w:p>
    <w:p w14:paraId="403BD194">
      <w:pPr>
        <w:bidi w:val="0"/>
        <w:rPr>
          <w:rFonts w:hint="default"/>
          <w:lang w:val="en-US" w:eastAsia="zh-CN"/>
        </w:rPr>
      </w:pPr>
      <w:r>
        <w:rPr>
          <w:rFonts w:hint="eastAsia"/>
          <w:lang w:val="en-US" w:eastAsia="zh-CN"/>
        </w:rPr>
        <w:t>在实施乡村振兴战略背景下，落实上位规划要求，统筹考虑悦来镇的区位交通、自然资源、历史文化、经济社会发展条件及当前急需解决的问题，促进悦来镇土地集约节约高效利用，加速产业转型升级，将悦来镇打造成为桦川产业开发基地、现代滨江宜居城镇、滨水文旅融合城镇。</w:t>
      </w:r>
    </w:p>
    <w:p w14:paraId="61459410">
      <w:pPr>
        <w:bidi w:val="0"/>
        <w:rPr>
          <w:rFonts w:hint="eastAsia"/>
          <w:lang w:val="en-US" w:eastAsia="zh-CN"/>
        </w:rPr>
      </w:pPr>
      <w:r>
        <w:rPr>
          <w:rFonts w:hint="eastAsia"/>
          <w:lang w:val="en-US" w:eastAsia="zh-CN"/>
        </w:rPr>
        <w:t>2.分阶段目标</w:t>
      </w:r>
    </w:p>
    <w:p w14:paraId="0C59D1E2">
      <w:pPr>
        <w:bidi w:val="0"/>
        <w:rPr>
          <w:rFonts w:hint="default"/>
          <w:lang w:val="en-US" w:eastAsia="zh-CN"/>
        </w:rPr>
      </w:pPr>
      <w:r>
        <w:rPr>
          <w:rFonts w:hint="default"/>
          <w:lang w:val="en-US" w:eastAsia="zh-CN"/>
        </w:rPr>
        <w:t>到2025年空间管控控制线全面落地；山水林田湖草沙一体化保护得到落实；高水平全面建成小康社会，镇域经济实力显著增强，产业竞争力明显提升，城乡一体化融合发展，人民生活水平普遍提高。</w:t>
      </w:r>
    </w:p>
    <w:p w14:paraId="77411692">
      <w:pPr>
        <w:bidi w:val="0"/>
        <w:rPr>
          <w:rFonts w:hint="eastAsia"/>
          <w:lang w:val="en-US" w:eastAsia="zh-CN"/>
        </w:rPr>
      </w:pPr>
      <w:r>
        <w:rPr>
          <w:rFonts w:hint="default"/>
          <w:lang w:val="en-US" w:eastAsia="zh-CN"/>
        </w:rPr>
        <w:t>到2035年基本形成生产空间</w:t>
      </w:r>
      <w:r>
        <w:rPr>
          <w:rFonts w:hint="eastAsia"/>
          <w:lang w:val="en-US" w:eastAsia="zh-CN"/>
        </w:rPr>
        <w:t>绿色安全</w:t>
      </w:r>
      <w:r>
        <w:rPr>
          <w:rFonts w:hint="default"/>
          <w:lang w:val="en-US" w:eastAsia="zh-CN"/>
        </w:rPr>
        <w:t>、生活空间宜居适度、生态空间和谐开放、魅力品质的国土空间格局，并将</w:t>
      </w:r>
      <w:r>
        <w:rPr>
          <w:rFonts w:hint="eastAsia"/>
          <w:lang w:val="en-US" w:eastAsia="zh-CN"/>
        </w:rPr>
        <w:t>悦来镇</w:t>
      </w:r>
      <w:r>
        <w:rPr>
          <w:rFonts w:hint="default"/>
          <w:lang w:val="en-US" w:eastAsia="zh-CN"/>
        </w:rPr>
        <w:t>打造成为</w:t>
      </w:r>
      <w:r>
        <w:rPr>
          <w:rFonts w:hint="eastAsia"/>
          <w:lang w:val="en-US" w:eastAsia="zh-CN"/>
        </w:rPr>
        <w:t>集约高效、均衡发展</w:t>
      </w:r>
      <w:r>
        <w:rPr>
          <w:rFonts w:hint="default"/>
          <w:lang w:val="en-US" w:eastAsia="zh-CN"/>
        </w:rPr>
        <w:t>的</w:t>
      </w:r>
      <w:r>
        <w:rPr>
          <w:rFonts w:hint="eastAsia"/>
          <w:lang w:val="en-US" w:eastAsia="zh-CN"/>
        </w:rPr>
        <w:t>高水准中心城</w:t>
      </w:r>
      <w:r>
        <w:rPr>
          <w:rFonts w:hint="default"/>
          <w:lang w:val="en-US" w:eastAsia="zh-CN"/>
        </w:rPr>
        <w:t>镇</w:t>
      </w:r>
      <w:r>
        <w:rPr>
          <w:rFonts w:hint="eastAsia"/>
          <w:lang w:val="en-US" w:eastAsia="zh-CN"/>
        </w:rPr>
        <w:t>。</w:t>
      </w:r>
    </w:p>
    <w:p w14:paraId="1E39810C">
      <w:pPr>
        <w:bidi w:val="0"/>
        <w:rPr>
          <w:rFonts w:hint="eastAsia"/>
          <w:lang w:val="en-US" w:eastAsia="zh-CN"/>
        </w:rPr>
      </w:pPr>
      <w:r>
        <w:rPr>
          <w:rFonts w:hint="eastAsia"/>
          <w:lang w:val="en-US" w:eastAsia="zh-CN"/>
        </w:rPr>
        <w:t>到2050年，高水平全面建成产业体系趋于完善，人口和城镇化水平趋于平稳，配套设施完备的县域中心城镇。</w:t>
      </w:r>
    </w:p>
    <w:p w14:paraId="563B55EC">
      <w:pPr>
        <w:bidi w:val="0"/>
        <w:rPr>
          <w:rFonts w:hint="eastAsia"/>
          <w:lang w:val="en-US" w:eastAsia="zh-CN"/>
        </w:rPr>
      </w:pPr>
      <w:r>
        <w:rPr>
          <w:rFonts w:hint="eastAsia"/>
          <w:lang w:val="en-US" w:eastAsia="zh-CN"/>
        </w:rPr>
        <w:t>3.具体目标</w:t>
      </w:r>
    </w:p>
    <w:p w14:paraId="6C4161B9">
      <w:pPr>
        <w:bidi w:val="0"/>
        <w:rPr>
          <w:rFonts w:hint="eastAsia"/>
          <w:lang w:val="en-US" w:eastAsia="zh-CN"/>
        </w:rPr>
      </w:pPr>
      <w:r>
        <w:rPr>
          <w:rFonts w:hint="default"/>
          <w:lang w:val="en-US" w:eastAsia="zh-CN"/>
        </w:rPr>
        <w:t>国土空间开发与保护格局形成，农业、生态、城镇空间功能逐步清晰；耕地保护和高标准农田建设得到保障；完成民生补短板工程、重点基础设施建设取得积极成效，山水人文乡域格局基本建立。高质量发展的空间支撑能力逐步增强，人民生活水平和生活质量全面提高</w:t>
      </w:r>
      <w:r>
        <w:rPr>
          <w:rFonts w:hint="eastAsia"/>
          <w:lang w:val="en-US" w:eastAsia="zh-CN"/>
        </w:rPr>
        <w:t>。</w:t>
      </w:r>
      <w:bookmarkStart w:id="24" w:name="_Hlk97818037"/>
    </w:p>
    <w:p w14:paraId="38F5A862">
      <w:pPr>
        <w:bidi w:val="0"/>
        <w:rPr>
          <w:rFonts w:hint="default"/>
          <w:lang w:val="en-US" w:eastAsia="zh-CN"/>
        </w:rPr>
      </w:pPr>
      <w:r>
        <w:rPr>
          <w:rFonts w:hint="default"/>
          <w:lang w:val="en-US" w:eastAsia="zh-CN"/>
        </w:rPr>
        <w:t>国土空间实现集约高效利用，建成宜居宜业安全幸福城乡，人民生活更加幸福美好，自然人文魅力充分彰显。开创营商环境好、创新能力强、生态环境优、发展活力足的全面振兴新局面。</w:t>
      </w:r>
    </w:p>
    <w:bookmarkEnd w:id="24"/>
    <w:p w14:paraId="4B48E166">
      <w:pPr>
        <w:bidi w:val="0"/>
        <w:rPr>
          <w:rFonts w:hint="eastAsia"/>
          <w:lang w:val="en-US" w:eastAsia="zh-CN"/>
        </w:rPr>
      </w:pPr>
      <w:r>
        <w:rPr>
          <w:rFonts w:hint="eastAsia"/>
          <w:lang w:val="en-US" w:eastAsia="zh-CN"/>
        </w:rPr>
        <w:t>国土空间与产业结构全面调整转型、建设更具融合创新的国土空间。产业结构不断转型升级，传统工业优势进一步发挥，工业内部产业结构优化升级。绿色农业优势进一步发挥，现代服务业高质量发展，生态文旅与生态康养产业取得明显进展，一二三产融合用地能力全面加强，转型升级、融合创新的国土空间基本形成。</w:t>
      </w:r>
    </w:p>
    <w:bookmarkEnd w:id="19"/>
    <w:bookmarkEnd w:id="23"/>
    <w:p w14:paraId="6FBFBCC6">
      <w:pPr>
        <w:pStyle w:val="29"/>
        <w:keepNext/>
        <w:keepLines/>
        <w:pageBreakBefore w:val="0"/>
        <w:widowControl w:val="0"/>
        <w:numPr>
          <w:ilvl w:val="0"/>
          <w:numId w:val="9"/>
        </w:numPr>
        <w:tabs>
          <w:tab w:val="left" w:pos="420"/>
        </w:tabs>
        <w:kinsoku/>
        <w:wordWrap/>
        <w:overflowPunct/>
        <w:topLinePunct w:val="0"/>
        <w:autoSpaceDE/>
        <w:autoSpaceDN/>
        <w:bidi w:val="0"/>
        <w:adjustRightInd/>
        <w:snapToGrid/>
        <w:ind w:left="0" w:firstLine="0"/>
        <w:textAlignment w:val="auto"/>
        <w:rPr>
          <w:rFonts w:hint="default"/>
          <w:lang w:val="en-US"/>
        </w:rPr>
      </w:pPr>
      <w:bookmarkStart w:id="25" w:name="_Toc5215"/>
      <w:r>
        <w:rPr>
          <w:rFonts w:hint="eastAsia"/>
          <w:lang w:val="en-US" w:eastAsia="zh-CN"/>
        </w:rPr>
        <w:t>空间策略</w:t>
      </w:r>
      <w:bookmarkEnd w:id="25"/>
    </w:p>
    <w:p w14:paraId="47DFB7FA">
      <w:pPr>
        <w:pStyle w:val="4"/>
        <w:bidi w:val="0"/>
      </w:pPr>
      <w:r>
        <w:rPr>
          <w:rFonts w:hint="eastAsia"/>
        </w:rPr>
        <w:t>国土空间开发保护策略</w:t>
      </w:r>
    </w:p>
    <w:p w14:paraId="4997DA60">
      <w:pPr>
        <w:bidi w:val="0"/>
        <w:rPr>
          <w:rFonts w:hint="eastAsia"/>
          <w:lang w:val="en-US" w:eastAsia="zh-CN"/>
        </w:rPr>
      </w:pPr>
      <w:r>
        <w:rPr>
          <w:rFonts w:hint="eastAsia"/>
          <w:lang w:val="en-US" w:eastAsia="zh-CN"/>
        </w:rPr>
        <w:t>1.生态优先发展战略</w:t>
      </w:r>
    </w:p>
    <w:p w14:paraId="62FF3C1D">
      <w:pPr>
        <w:bidi w:val="0"/>
        <w:rPr>
          <w:rFonts w:hint="eastAsia"/>
          <w:lang w:val="en-US" w:eastAsia="zh-CN"/>
        </w:rPr>
      </w:pPr>
      <w:r>
        <w:rPr>
          <w:rFonts w:hint="eastAsia"/>
          <w:lang w:val="en-US" w:eastAsia="zh-CN"/>
        </w:rPr>
        <w:t>严格落实松花江水系沿岸生态重点地区，维护良好生态本底，依托松花江水系建设具有区域意义的生态廊道、绿心、生态节点等多种模式，完善生态安全格局。建设遵循自然，采取与地形地貌、生态环境相适应的建设模式，构建适合本地区的多样化城乡生态景观系统。</w:t>
      </w:r>
    </w:p>
    <w:p w14:paraId="77E6823C">
      <w:pPr>
        <w:bidi w:val="0"/>
        <w:rPr>
          <w:rFonts w:hint="eastAsia"/>
          <w:lang w:val="en-US" w:eastAsia="zh-CN"/>
        </w:rPr>
      </w:pPr>
      <w:r>
        <w:rPr>
          <w:rFonts w:hint="eastAsia"/>
          <w:lang w:val="en-US" w:eastAsia="zh-CN"/>
        </w:rPr>
        <w:t>2.区域协调发展战略</w:t>
      </w:r>
    </w:p>
    <w:p w14:paraId="4E305DE4">
      <w:pPr>
        <w:bidi w:val="0"/>
        <w:rPr>
          <w:rFonts w:hint="eastAsia"/>
          <w:lang w:val="en-US" w:eastAsia="zh-CN"/>
        </w:rPr>
      </w:pPr>
      <w:r>
        <w:rPr>
          <w:rFonts w:hint="eastAsia"/>
          <w:lang w:val="en-US" w:eastAsia="zh-CN"/>
        </w:rPr>
        <w:t>以镇政府驻地为重点，完善城镇职能，从交通、职能、产业等方面积极融入桦川县区域发展。推动悦来镇产业发展，</w:t>
      </w:r>
      <w:r>
        <w:rPr>
          <w:rFonts w:hint="default"/>
          <w:lang w:val="en-US" w:eastAsia="zh-CN"/>
        </w:rPr>
        <w:t>搭建区域产业协作循环体系</w:t>
      </w:r>
      <w:r>
        <w:rPr>
          <w:rFonts w:hint="eastAsia"/>
          <w:lang w:val="en-US" w:eastAsia="zh-CN"/>
        </w:rPr>
        <w:t>，增强与周边乡镇以及桦川县产业、交通以及区域基础设施等的带动协调作用。</w:t>
      </w:r>
    </w:p>
    <w:p w14:paraId="5D513794">
      <w:pPr>
        <w:bidi w:val="0"/>
        <w:rPr>
          <w:rFonts w:hint="eastAsia"/>
          <w:lang w:val="en-US" w:eastAsia="zh-CN"/>
        </w:rPr>
      </w:pPr>
      <w:r>
        <w:rPr>
          <w:rFonts w:hint="eastAsia"/>
          <w:lang w:val="en-US" w:eastAsia="zh-CN"/>
        </w:rPr>
        <w:t>3.新型城镇化发展战略</w:t>
      </w:r>
    </w:p>
    <w:p w14:paraId="7B2B711C">
      <w:pPr>
        <w:bidi w:val="0"/>
        <w:rPr>
          <w:rFonts w:hint="default"/>
          <w:lang w:val="en-US" w:eastAsia="zh-CN"/>
        </w:rPr>
      </w:pPr>
      <w:r>
        <w:rPr>
          <w:rFonts w:hint="default"/>
          <w:lang w:val="en-US" w:eastAsia="zh-CN"/>
        </w:rPr>
        <w:t>加强镇区基础设施建设</w:t>
      </w:r>
      <w:r>
        <w:rPr>
          <w:rFonts w:hint="eastAsia"/>
          <w:lang w:val="en-US" w:eastAsia="zh-CN"/>
        </w:rPr>
        <w:t>，</w:t>
      </w:r>
      <w:r>
        <w:rPr>
          <w:rFonts w:hint="default"/>
          <w:lang w:val="en-US" w:eastAsia="zh-CN"/>
        </w:rPr>
        <w:t>提升公共服务能力</w:t>
      </w:r>
      <w:r>
        <w:rPr>
          <w:rFonts w:hint="eastAsia"/>
          <w:lang w:val="en-US" w:eastAsia="zh-CN"/>
        </w:rPr>
        <w:t>，</w:t>
      </w:r>
      <w:r>
        <w:rPr>
          <w:rFonts w:hint="default"/>
          <w:lang w:val="en-US" w:eastAsia="zh-CN"/>
        </w:rPr>
        <w:t>增强产业的集聚动能，提高中心镇的辐射带动能力，实现以城带乡，统筹协调，促进城乡经济、社会、生态的协调发展以及人口、资源、环境的和谐统一；积极推进城镇基础设施向农村延伸、公共服务设施向农村覆盖、第三产业向农村辐射，增强农村地区的发展能力，引导农民向中心村集中</w:t>
      </w:r>
      <w:r>
        <w:rPr>
          <w:rFonts w:hint="eastAsia"/>
          <w:lang w:val="en-US" w:eastAsia="zh-CN"/>
        </w:rPr>
        <w:t>，</w:t>
      </w:r>
      <w:r>
        <w:rPr>
          <w:rFonts w:hint="default"/>
          <w:lang w:val="en-US" w:eastAsia="zh-CN"/>
        </w:rPr>
        <w:t>共同形成城乡协调、互动的发展格局。</w:t>
      </w:r>
    </w:p>
    <w:p w14:paraId="2EC57E8D">
      <w:pPr>
        <w:rPr>
          <w:rFonts w:hint="default" w:ascii="Times New Roman" w:hAnsi="Times New Roman" w:eastAsia="仿宋_GB2312" w:cs="Times New Roman"/>
          <w:b w:val="0"/>
          <w:bCs w:val="0"/>
          <w:color w:val="auto"/>
          <w:szCs w:val="32"/>
          <w:highlight w:val="none"/>
        </w:rPr>
      </w:pPr>
      <w:r>
        <w:rPr>
          <w:rFonts w:hint="default" w:ascii="Times New Roman" w:hAnsi="Times New Roman" w:eastAsia="仿宋_GB2312" w:cs="Times New Roman"/>
          <w:b w:val="0"/>
          <w:bCs w:val="0"/>
          <w:color w:val="auto"/>
          <w:szCs w:val="32"/>
          <w:highlight w:val="none"/>
        </w:rPr>
        <w:br w:type="page"/>
      </w:r>
    </w:p>
    <w:p w14:paraId="2362DA20">
      <w:pPr>
        <w:pStyle w:val="2"/>
        <w:bidi w:val="0"/>
        <w:rPr>
          <w:rFonts w:hint="default"/>
        </w:rPr>
      </w:pPr>
      <w:bookmarkStart w:id="26" w:name="_Toc14866"/>
      <w:r>
        <w:rPr>
          <w:rFonts w:hint="default"/>
        </w:rPr>
        <w:t>构筑国土空间开发保护新格局</w:t>
      </w:r>
      <w:bookmarkEnd w:id="26"/>
    </w:p>
    <w:p w14:paraId="183B5B1E">
      <w:pPr>
        <w:pStyle w:val="29"/>
        <w:keepNext/>
        <w:keepLines/>
        <w:pageBreakBefore w:val="0"/>
        <w:widowControl w:val="0"/>
        <w:numPr>
          <w:ilvl w:val="0"/>
          <w:numId w:val="10"/>
        </w:numPr>
        <w:tabs>
          <w:tab w:val="left" w:pos="420"/>
        </w:tabs>
        <w:kinsoku/>
        <w:wordWrap/>
        <w:overflowPunct/>
        <w:topLinePunct w:val="0"/>
        <w:autoSpaceDE/>
        <w:autoSpaceDN/>
        <w:bidi w:val="0"/>
        <w:adjustRightInd/>
        <w:snapToGrid/>
        <w:ind w:left="0" w:firstLine="0"/>
        <w:textAlignment w:val="auto"/>
        <w:rPr>
          <w:rFonts w:hint="eastAsia"/>
          <w:lang w:val="en-US" w:eastAsia="zh-CN"/>
        </w:rPr>
      </w:pPr>
      <w:bookmarkStart w:id="27" w:name="_Toc22687"/>
      <w:bookmarkStart w:id="28" w:name="_Toc13154"/>
      <w:bookmarkStart w:id="29" w:name="_Toc2937"/>
      <w:r>
        <w:rPr>
          <w:rFonts w:hint="eastAsia"/>
          <w:lang w:val="en-US" w:eastAsia="zh-CN"/>
        </w:rPr>
        <w:t>区域协调</w:t>
      </w:r>
      <w:bookmarkEnd w:id="27"/>
      <w:bookmarkEnd w:id="28"/>
    </w:p>
    <w:p w14:paraId="400AA593">
      <w:pPr>
        <w:pStyle w:val="4"/>
        <w:bidi w:val="0"/>
        <w:rPr>
          <w:rFonts w:hint="eastAsia"/>
        </w:rPr>
      </w:pPr>
      <w:r>
        <w:rPr>
          <w:rFonts w:hint="eastAsia"/>
        </w:rPr>
        <w:t>加强与周边乡镇市县联动发展</w:t>
      </w:r>
    </w:p>
    <w:p w14:paraId="3C0F7B1D">
      <w:pPr>
        <w:bidi w:val="0"/>
        <w:rPr>
          <w:rFonts w:hint="eastAsia"/>
          <w:lang w:val="en-US" w:eastAsia="zh-CN"/>
        </w:rPr>
      </w:pPr>
      <w:bookmarkStart w:id="30" w:name="_Hlk175263306"/>
      <w:r>
        <w:rPr>
          <w:rFonts w:hint="eastAsia"/>
          <w:lang w:val="en-US" w:eastAsia="zh-CN"/>
        </w:rPr>
        <w:t>促进区域产业三产联动、融合发展。协助桦川县构建“佳桦一体化”发展。协调桦川县内部联动，做好在产业上的分工协作，主动承接佳木斯市“产业东移”的发展战略。</w:t>
      </w:r>
    </w:p>
    <w:p w14:paraId="610798E3">
      <w:pPr>
        <w:bidi w:val="0"/>
        <w:rPr>
          <w:rFonts w:hint="eastAsia"/>
          <w:lang w:val="en-US" w:eastAsia="zh-CN"/>
        </w:rPr>
      </w:pPr>
      <w:r>
        <w:rPr>
          <w:rFonts w:hint="eastAsia"/>
          <w:lang w:val="en-US" w:eastAsia="zh-CN"/>
        </w:rPr>
        <w:t>落实上位规划区域交通网络总体布局。G102及G221同哈公路穿镇而过，西至佳木斯市，南联双鸭山市。悦来镇作为桦川县中心城镇，在松花江下游，旅游资源良好，与佳木斯市区及鹤岗市联系密切，协同产业经济、旅游产业发展，打造特色文旅产品、旅游路线。</w:t>
      </w:r>
    </w:p>
    <w:p w14:paraId="4BC2AE1E">
      <w:pPr>
        <w:bidi w:val="0"/>
        <w:rPr>
          <w:rFonts w:hint="eastAsia"/>
          <w:lang w:val="en-US" w:eastAsia="zh-CN"/>
        </w:rPr>
      </w:pPr>
      <w:r>
        <w:rPr>
          <w:rFonts w:hint="eastAsia"/>
          <w:lang w:val="en-US" w:eastAsia="zh-CN"/>
        </w:rPr>
        <w:t>落实桦川县“一心、一廊、三带”的生态格局要求，提升区域生态环境质量，悦来镇筑牢丰收沟生态廊道，建立长期的</w:t>
      </w:r>
      <w:r>
        <w:rPr>
          <w:rFonts w:hint="eastAsia"/>
          <w:highlight w:val="none"/>
          <w:lang w:val="en-US" w:eastAsia="zh-CN"/>
        </w:rPr>
        <w:t>生态环境分区管控</w:t>
      </w:r>
      <w:r>
        <w:rPr>
          <w:rFonts w:hint="eastAsia"/>
          <w:lang w:val="en-US" w:eastAsia="zh-CN"/>
        </w:rPr>
        <w:t>机制，开展污染预警和环境联动执法，有步骤地推进各项生态修复和环境治理任务落实。</w:t>
      </w:r>
    </w:p>
    <w:p w14:paraId="2BA1579A">
      <w:pPr>
        <w:bidi w:val="0"/>
        <w:rPr>
          <w:rFonts w:hint="eastAsia"/>
          <w:lang w:val="en-US" w:eastAsia="zh-CN"/>
        </w:rPr>
      </w:pPr>
      <w:r>
        <w:rPr>
          <w:rFonts w:hint="eastAsia"/>
          <w:lang w:val="en-US" w:eastAsia="zh-CN"/>
        </w:rPr>
        <w:t>实现区域设施共建共享，完善水利、电力等基础设施管网系统，避免重复建设。合理预留交通、水利、电力等线性基础设施廊道。开展变电站改扩建、供电线路新建工程，增加第二电源，实现双电源供电结构，提高区域电网供电可靠性和供电能力。</w:t>
      </w:r>
    </w:p>
    <w:bookmarkEnd w:id="29"/>
    <w:bookmarkEnd w:id="30"/>
    <w:p w14:paraId="66A37C52">
      <w:pPr>
        <w:pStyle w:val="29"/>
        <w:keepNext/>
        <w:keepLines/>
        <w:pageBreakBefore w:val="0"/>
        <w:widowControl w:val="0"/>
        <w:numPr>
          <w:ilvl w:val="0"/>
          <w:numId w:val="10"/>
        </w:numPr>
        <w:tabs>
          <w:tab w:val="left" w:pos="420"/>
        </w:tabs>
        <w:kinsoku/>
        <w:wordWrap/>
        <w:overflowPunct/>
        <w:topLinePunct w:val="0"/>
        <w:autoSpaceDE/>
        <w:autoSpaceDN/>
        <w:bidi w:val="0"/>
        <w:adjustRightInd/>
        <w:snapToGrid/>
        <w:ind w:left="0" w:firstLine="0"/>
        <w:textAlignment w:val="auto"/>
        <w:rPr>
          <w:rFonts w:hint="eastAsia"/>
          <w:lang w:val="en-US" w:eastAsia="zh-CN"/>
        </w:rPr>
      </w:pPr>
      <w:bookmarkStart w:id="31" w:name="_Toc11650"/>
      <w:bookmarkStart w:id="32" w:name="_Toc12334"/>
      <w:bookmarkStart w:id="33" w:name="_Toc20973"/>
      <w:r>
        <w:rPr>
          <w:rFonts w:hint="eastAsia"/>
          <w:lang w:val="en-US" w:eastAsia="zh-CN"/>
        </w:rPr>
        <w:t>落实主体功能区战略</w:t>
      </w:r>
      <w:bookmarkEnd w:id="31"/>
      <w:bookmarkEnd w:id="32"/>
      <w:bookmarkEnd w:id="33"/>
    </w:p>
    <w:p w14:paraId="22DE605E">
      <w:pPr>
        <w:pStyle w:val="4"/>
        <w:bidi w:val="0"/>
        <w:rPr>
          <w:rFonts w:hint="eastAsia"/>
          <w:lang w:val="en-US" w:eastAsia="zh-CN"/>
        </w:rPr>
      </w:pPr>
      <w:r>
        <w:rPr>
          <w:rFonts w:hint="eastAsia"/>
          <w:lang w:val="en-US" w:eastAsia="zh-CN"/>
        </w:rPr>
        <w:t>落实省、市、县主体功能区定位</w:t>
      </w:r>
    </w:p>
    <w:p w14:paraId="3C06667E">
      <w:pPr>
        <w:bidi w:val="0"/>
        <w:rPr>
          <w:rFonts w:hint="eastAsia"/>
        </w:rPr>
      </w:pPr>
      <w:r>
        <w:rPr>
          <w:rFonts w:hint="eastAsia"/>
        </w:rPr>
        <w:t>落实黑龙江省国土空间规划、</w:t>
      </w:r>
      <w:r>
        <w:rPr>
          <w:rFonts w:hint="eastAsia"/>
          <w:lang w:val="en-US" w:eastAsia="zh-CN"/>
        </w:rPr>
        <w:t>佳木斯</w:t>
      </w:r>
      <w:r>
        <w:rPr>
          <w:rFonts w:hint="eastAsia"/>
        </w:rPr>
        <w:t>市</w:t>
      </w:r>
      <w:r>
        <w:rPr>
          <w:rFonts w:hint="eastAsia"/>
          <w:lang w:eastAsia="zh-CN"/>
        </w:rPr>
        <w:t>、</w:t>
      </w:r>
      <w:r>
        <w:rPr>
          <w:rFonts w:hint="eastAsia"/>
          <w:lang w:val="en-US" w:eastAsia="zh-CN"/>
        </w:rPr>
        <w:t>桦川县</w:t>
      </w:r>
      <w:r>
        <w:rPr>
          <w:rFonts w:hint="eastAsia"/>
        </w:rPr>
        <w:t>国土空间总体规划确定的主体功能</w:t>
      </w:r>
      <w:r>
        <w:rPr>
          <w:rFonts w:hint="eastAsia"/>
          <w:lang w:eastAsia="zh-CN"/>
        </w:rPr>
        <w:t>区</w:t>
      </w:r>
      <w:r>
        <w:rPr>
          <w:rFonts w:hint="eastAsia"/>
        </w:rPr>
        <w:t>，</w:t>
      </w:r>
      <w:r>
        <w:rPr>
          <w:rFonts w:hint="eastAsia"/>
          <w:u w:val="single"/>
        </w:rPr>
        <w:t>确定</w:t>
      </w:r>
      <w:r>
        <w:rPr>
          <w:rFonts w:hint="eastAsia"/>
          <w:u w:val="single"/>
          <w:lang w:val="en-US" w:eastAsia="zh-CN"/>
        </w:rPr>
        <w:t>悦来镇重点区域为城市化地区</w:t>
      </w:r>
      <w:r>
        <w:rPr>
          <w:rFonts w:hint="eastAsia"/>
        </w:rPr>
        <w:t>，该区域</w:t>
      </w:r>
      <w:r>
        <w:rPr>
          <w:rFonts w:hint="eastAsia"/>
          <w:lang w:eastAsia="zh-CN"/>
        </w:rPr>
        <w:t>是</w:t>
      </w:r>
      <w:r>
        <w:rPr>
          <w:rFonts w:hint="eastAsia"/>
        </w:rPr>
        <w:t>县域经济和特色优势产业发展的核心区</w:t>
      </w:r>
      <w:r>
        <w:rPr>
          <w:rFonts w:hint="eastAsia"/>
          <w:lang w:eastAsia="zh-CN"/>
        </w:rPr>
        <w:t>，是</w:t>
      </w:r>
      <w:r>
        <w:rPr>
          <w:rFonts w:hint="eastAsia"/>
        </w:rPr>
        <w:t>承接周边农业人口和林业生态人口转移的集中区。</w:t>
      </w:r>
    </w:p>
    <w:p w14:paraId="27974518">
      <w:pPr>
        <w:pStyle w:val="29"/>
        <w:keepNext/>
        <w:keepLines/>
        <w:pageBreakBefore w:val="0"/>
        <w:widowControl w:val="0"/>
        <w:numPr>
          <w:ilvl w:val="0"/>
          <w:numId w:val="10"/>
        </w:numPr>
        <w:tabs>
          <w:tab w:val="left" w:pos="420"/>
        </w:tabs>
        <w:kinsoku/>
        <w:wordWrap/>
        <w:overflowPunct/>
        <w:topLinePunct w:val="0"/>
        <w:autoSpaceDE/>
        <w:autoSpaceDN/>
        <w:bidi w:val="0"/>
        <w:adjustRightInd/>
        <w:snapToGrid/>
        <w:ind w:left="0" w:firstLine="0"/>
        <w:textAlignment w:val="auto"/>
        <w:rPr>
          <w:rFonts w:hint="default"/>
          <w:lang w:val="en-US" w:eastAsia="zh-CN"/>
        </w:rPr>
      </w:pPr>
      <w:bookmarkStart w:id="34" w:name="_Toc14790"/>
      <w:r>
        <w:rPr>
          <w:rFonts w:hint="default"/>
          <w:lang w:val="en-US" w:eastAsia="zh-CN"/>
        </w:rPr>
        <w:t>优化国土空间开发保护格局</w:t>
      </w:r>
      <w:bookmarkEnd w:id="34"/>
    </w:p>
    <w:p w14:paraId="6CC58124">
      <w:pPr>
        <w:pStyle w:val="4"/>
        <w:bidi w:val="0"/>
        <w:rPr>
          <w:rFonts w:hint="default"/>
        </w:rPr>
      </w:pPr>
      <w:r>
        <w:rPr>
          <w:rFonts w:hint="eastAsia"/>
          <w:lang w:eastAsia="zh-CN"/>
        </w:rPr>
        <w:t>国土空间发展格局</w:t>
      </w:r>
    </w:p>
    <w:p w14:paraId="268F2C1C">
      <w:pPr>
        <w:bidi w:val="0"/>
        <w:rPr>
          <w:rFonts w:hint="eastAsia"/>
          <w:lang w:val="en-US" w:eastAsia="zh-CN"/>
        </w:rPr>
      </w:pPr>
      <w:r>
        <w:rPr>
          <w:rFonts w:hint="eastAsia"/>
          <w:lang w:val="en-US" w:eastAsia="zh-CN"/>
        </w:rPr>
        <w:t>以镇域内地形地貌基本特征为基础，以国土空间开发保护战略与目标为导向，结合主体功能区定位，统筹山水林田湖草沙等保护要素和城乡、产业、交通等发展类要素布局，依托生态空间、农业空间、城镇空间三类空间本底，构建“一轴一廊，一心三区”镇域国土空间开发保护总体格局。</w:t>
      </w:r>
    </w:p>
    <w:p w14:paraId="40A0D890">
      <w:pPr>
        <w:bidi w:val="0"/>
        <w:rPr>
          <w:rFonts w:hint="default"/>
        </w:rPr>
      </w:pPr>
      <w:r>
        <w:rPr>
          <w:rFonts w:hint="eastAsia"/>
          <w:lang w:val="en-US" w:eastAsia="zh-CN"/>
        </w:rPr>
        <w:t>一廊：依托北部松花江湿地保护区，形成生态发展廊道。</w:t>
      </w:r>
      <w:r>
        <w:rPr>
          <w:rFonts w:hint="default"/>
        </w:rPr>
        <w:t>保护区内湿地资源丰富，生态环境保持良好。</w:t>
      </w:r>
    </w:p>
    <w:p w14:paraId="590A092F">
      <w:pPr>
        <w:bidi w:val="0"/>
        <w:rPr>
          <w:rFonts w:hint="eastAsia"/>
          <w:lang w:val="en-US" w:eastAsia="zh-CN"/>
        </w:rPr>
      </w:pPr>
      <w:r>
        <w:rPr>
          <w:rFonts w:hint="eastAsia"/>
          <w:lang w:val="en-US" w:eastAsia="zh-CN"/>
        </w:rPr>
        <w:t>一主：指沿国道G102及国道G221形成的城镇发展轴。向南可至双鸭山市、佳木斯市，向东可至富锦市，构建起支撑镇域村镇空间发展的重要轴线。</w:t>
      </w:r>
    </w:p>
    <w:p w14:paraId="135FEAF5">
      <w:pPr>
        <w:bidi w:val="0"/>
        <w:rPr>
          <w:rFonts w:hint="eastAsia"/>
          <w:lang w:val="en-US" w:eastAsia="zh-CN"/>
        </w:rPr>
      </w:pPr>
      <w:r>
        <w:rPr>
          <w:rFonts w:hint="eastAsia"/>
          <w:lang w:val="en-US" w:eastAsia="zh-CN"/>
        </w:rPr>
        <w:t>一心：作为桦川县中心城镇，打造桦川县综合服务中心。</w:t>
      </w:r>
    </w:p>
    <w:p w14:paraId="5310DC11">
      <w:pPr>
        <w:bidi w:val="0"/>
        <w:rPr>
          <w:rFonts w:hint="eastAsia"/>
          <w:lang w:val="en-US" w:eastAsia="zh-CN"/>
        </w:rPr>
      </w:pPr>
      <w:r>
        <w:rPr>
          <w:rFonts w:hint="eastAsia"/>
          <w:lang w:val="en-US" w:eastAsia="zh-CN"/>
        </w:rPr>
        <w:t>三区：</w:t>
      </w:r>
      <w:r>
        <w:rPr>
          <w:rFonts w:hint="default"/>
          <w:lang w:val="en-US" w:eastAsia="zh-CN"/>
        </w:rPr>
        <w:t>即</w:t>
      </w:r>
      <w:r>
        <w:rPr>
          <w:rFonts w:hint="eastAsia"/>
          <w:lang w:val="en-US" w:eastAsia="zh-CN"/>
        </w:rPr>
        <w:t>现代农业发展区</w:t>
      </w:r>
      <w:r>
        <w:rPr>
          <w:rFonts w:hint="default"/>
          <w:lang w:val="en-US" w:eastAsia="zh-CN"/>
        </w:rPr>
        <w:t>，</w:t>
      </w:r>
      <w:r>
        <w:rPr>
          <w:rFonts w:hint="eastAsia"/>
          <w:lang w:val="en-US" w:eastAsia="zh-CN"/>
        </w:rPr>
        <w:t>基于现状农田资源，</w:t>
      </w:r>
      <w:r>
        <w:rPr>
          <w:rFonts w:hint="default"/>
          <w:lang w:val="en-US" w:eastAsia="zh-CN"/>
        </w:rPr>
        <w:t>继续深入发展农业和特色</w:t>
      </w:r>
      <w:r>
        <w:rPr>
          <w:rFonts w:hint="eastAsia"/>
          <w:highlight w:val="none"/>
          <w:lang w:val="en-US" w:eastAsia="zh-CN"/>
        </w:rPr>
        <w:t>种植</w:t>
      </w:r>
      <w:r>
        <w:rPr>
          <w:rFonts w:hint="eastAsia"/>
          <w:lang w:val="en-US" w:eastAsia="zh-CN"/>
        </w:rPr>
        <w:t>养殖；依托北部松花江流域及湿地资源，形成松花江生态发展区；规划镇区以现状建成区为基础，结合城镇更新，完善基础设施和公共服务设施，使镇区成为城镇发展区。</w:t>
      </w:r>
    </w:p>
    <w:p w14:paraId="627B83B4">
      <w:pPr>
        <w:pStyle w:val="29"/>
        <w:keepNext/>
        <w:keepLines/>
        <w:pageBreakBefore w:val="0"/>
        <w:widowControl w:val="0"/>
        <w:numPr>
          <w:ilvl w:val="0"/>
          <w:numId w:val="10"/>
        </w:numPr>
        <w:tabs>
          <w:tab w:val="left" w:pos="420"/>
        </w:tabs>
        <w:kinsoku/>
        <w:wordWrap/>
        <w:overflowPunct/>
        <w:topLinePunct w:val="0"/>
        <w:autoSpaceDE/>
        <w:autoSpaceDN/>
        <w:bidi w:val="0"/>
        <w:adjustRightInd/>
        <w:snapToGrid/>
        <w:ind w:left="0" w:firstLine="0"/>
        <w:textAlignment w:val="auto"/>
        <w:rPr>
          <w:rFonts w:hint="default"/>
          <w:lang w:val="en-US" w:eastAsia="zh-CN"/>
        </w:rPr>
      </w:pPr>
      <w:bookmarkStart w:id="35" w:name="_Toc20216"/>
      <w:r>
        <w:rPr>
          <w:rFonts w:hint="eastAsia"/>
          <w:lang w:val="en-US" w:eastAsia="zh-CN"/>
        </w:rPr>
        <w:t>规划分区</w:t>
      </w:r>
      <w:bookmarkEnd w:id="35"/>
    </w:p>
    <w:p w14:paraId="0F5C081C">
      <w:pPr>
        <w:pStyle w:val="4"/>
        <w:bidi w:val="0"/>
        <w:rPr>
          <w:rFonts w:hint="default"/>
        </w:rPr>
      </w:pPr>
      <w:bookmarkStart w:id="36" w:name="_Toc130290625"/>
      <w:bookmarkStart w:id="37" w:name="_Toc2791"/>
      <w:bookmarkStart w:id="38" w:name="_Toc130290630"/>
      <w:bookmarkStart w:id="39" w:name="_Toc10783"/>
      <w:bookmarkStart w:id="40" w:name="_Toc11103"/>
      <w:bookmarkStart w:id="41" w:name="_Toc130289571"/>
      <w:bookmarkStart w:id="42" w:name="_Toc3156"/>
      <w:bookmarkStart w:id="43" w:name="_Toc9554"/>
      <w:bookmarkStart w:id="44" w:name="_Toc130289566"/>
      <w:r>
        <w:rPr>
          <w:rFonts w:hint="default"/>
          <w:lang w:val="en-US" w:eastAsia="zh-CN"/>
        </w:rPr>
        <w:t>优化</w:t>
      </w:r>
      <w:r>
        <w:rPr>
          <w:rFonts w:hint="default"/>
        </w:rPr>
        <w:t>规划分区</w:t>
      </w:r>
    </w:p>
    <w:p w14:paraId="45991544">
      <w:pPr>
        <w:bidi w:val="0"/>
        <w:rPr>
          <w:rFonts w:hint="default"/>
          <w:lang w:val="en-US" w:eastAsia="zh-CN"/>
        </w:rPr>
      </w:pPr>
      <w:r>
        <w:rPr>
          <w:rFonts w:hint="default" w:ascii="Times New Roman" w:hAnsi="Times New Roman"/>
          <w:lang w:val="en-US" w:eastAsia="zh-CN"/>
        </w:rPr>
        <w:t>统筹建设空间和山水</w:t>
      </w:r>
      <w:r>
        <w:rPr>
          <w:rFonts w:hint="eastAsia"/>
          <w:highlight w:val="none"/>
          <w:lang w:val="en-US" w:eastAsia="zh-CN"/>
        </w:rPr>
        <w:t>林田湖草沙</w:t>
      </w:r>
      <w:r>
        <w:rPr>
          <w:rFonts w:hint="default" w:ascii="Times New Roman" w:hAnsi="Times New Roman"/>
          <w:lang w:val="en-US" w:eastAsia="zh-CN"/>
        </w:rPr>
        <w:t>建设空间，遵循用途主导功能的原则，合理划分覆盖全域全类型的国土空间规划分区</w:t>
      </w:r>
      <w:r>
        <w:rPr>
          <w:rFonts w:hint="default"/>
          <w:lang w:val="en-US" w:eastAsia="zh-CN"/>
        </w:rPr>
        <w:t>，调整优化国土空间保护和开发利用格局，实现全域全类型国土空间规划管制，严格落实国土空间规划管制制度。严格落实国土空间规划管制制度。镇域共划定农田保护区、生态保护区、生态控制区、城镇发展区、乡村发展区、矿产能源发展区6类一级规划分区。</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0"/>
        <w:gridCol w:w="6806"/>
      </w:tblGrid>
      <w:tr w14:paraId="4BBE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5000" w:type="pct"/>
            <w:gridSpan w:val="2"/>
            <w:tcBorders>
              <w:tl2br w:val="nil"/>
              <w:tr2bl w:val="nil"/>
            </w:tcBorders>
            <w:shd w:val="clear" w:color="auto" w:fill="auto"/>
            <w:vAlign w:val="center"/>
          </w:tcPr>
          <w:p w14:paraId="2912DC7B">
            <w:pPr>
              <w:pStyle w:val="50"/>
              <w:bidi w:val="0"/>
              <w:rPr>
                <w:rFonts w:hint="default" w:ascii="Times New Roman" w:hAnsi="Times New Roman" w:eastAsia="仿宋_GB2312" w:cs="Times New Roman"/>
                <w:kern w:val="0"/>
                <w:szCs w:val="32"/>
                <w:highlight w:val="none"/>
                <w:lang w:bidi="ar"/>
              </w:rPr>
            </w:pPr>
            <w:r>
              <w:rPr>
                <w:rFonts w:hint="default"/>
              </w:rPr>
              <w:t>专栏</w:t>
            </w:r>
            <w:r>
              <w:rPr>
                <w:rFonts w:hint="eastAsia"/>
                <w:lang w:val="en-US" w:eastAsia="zh-CN"/>
              </w:rPr>
              <w:t>1</w:t>
            </w:r>
            <w:r>
              <w:rPr>
                <w:rFonts w:hint="default"/>
              </w:rPr>
              <w:t>：规划用途分区及管控规则</w:t>
            </w:r>
          </w:p>
        </w:tc>
      </w:tr>
      <w:tr w14:paraId="408F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004" w:type="pct"/>
            <w:tcBorders>
              <w:tl2br w:val="nil"/>
              <w:tr2bl w:val="nil"/>
            </w:tcBorders>
            <w:shd w:val="clear" w:color="auto" w:fill="auto"/>
            <w:vAlign w:val="center"/>
          </w:tcPr>
          <w:p w14:paraId="33F42F96">
            <w:pPr>
              <w:pStyle w:val="51"/>
              <w:bidi w:val="0"/>
              <w:ind w:left="0" w:leftChars="0" w:firstLine="0" w:firstLineChars="0"/>
              <w:jc w:val="center"/>
              <w:rPr>
                <w:rFonts w:hint="default" w:ascii="Times New Roman" w:hAnsi="Times New Roman"/>
                <w:lang w:val="en-US" w:eastAsia="zh-CN"/>
              </w:rPr>
            </w:pPr>
            <w:r>
              <w:rPr>
                <w:rFonts w:hint="default" w:ascii="Times New Roman" w:hAnsi="Times New Roman"/>
                <w:lang w:val="en-US" w:eastAsia="zh-CN"/>
              </w:rPr>
              <w:t>类型</w:t>
            </w:r>
          </w:p>
        </w:tc>
        <w:tc>
          <w:tcPr>
            <w:tcW w:w="3995" w:type="pct"/>
            <w:tcBorders>
              <w:tl2br w:val="nil"/>
              <w:tr2bl w:val="nil"/>
            </w:tcBorders>
            <w:shd w:val="clear" w:color="auto" w:fill="auto"/>
            <w:vAlign w:val="center"/>
          </w:tcPr>
          <w:p w14:paraId="7C4829FF">
            <w:pPr>
              <w:pStyle w:val="51"/>
              <w:bidi w:val="0"/>
              <w:ind w:left="0" w:leftChars="0" w:firstLine="0" w:firstLineChars="0"/>
              <w:jc w:val="center"/>
              <w:rPr>
                <w:rFonts w:hint="default" w:ascii="Times New Roman" w:hAnsi="Times New Roman"/>
                <w:lang w:val="en-US" w:eastAsia="zh-CN"/>
              </w:rPr>
            </w:pPr>
            <w:r>
              <w:rPr>
                <w:rFonts w:hint="default" w:ascii="Times New Roman" w:hAnsi="Times New Roman"/>
                <w:lang w:val="en-US" w:eastAsia="zh-CN"/>
              </w:rPr>
              <w:t>管控要求</w:t>
            </w:r>
          </w:p>
        </w:tc>
      </w:tr>
      <w:tr w14:paraId="2AEC9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shd w:val="clear" w:color="auto" w:fill="auto"/>
            <w:vAlign w:val="center"/>
          </w:tcPr>
          <w:p w14:paraId="14A00160">
            <w:pPr>
              <w:pStyle w:val="51"/>
              <w:bidi w:val="0"/>
              <w:ind w:left="0" w:leftChars="0" w:firstLine="0" w:firstLineChars="0"/>
              <w:jc w:val="center"/>
              <w:rPr>
                <w:rFonts w:hint="default" w:ascii="Times New Roman" w:hAnsi="Times New Roman"/>
                <w:lang w:val="en-US" w:eastAsia="zh-CN"/>
              </w:rPr>
            </w:pPr>
            <w:r>
              <w:rPr>
                <w:rFonts w:hint="default" w:ascii="Times New Roman" w:hAnsi="Times New Roman"/>
                <w:lang w:val="en-US" w:eastAsia="zh-CN"/>
              </w:rPr>
              <w:t>生态保护区</w:t>
            </w:r>
          </w:p>
        </w:tc>
        <w:tc>
          <w:tcPr>
            <w:tcW w:w="3995" w:type="pct"/>
            <w:tcBorders>
              <w:tl2br w:val="nil"/>
              <w:tr2bl w:val="nil"/>
            </w:tcBorders>
            <w:shd w:val="clear" w:color="auto" w:fill="auto"/>
            <w:vAlign w:val="center"/>
          </w:tcPr>
          <w:p w14:paraId="3ED370BE">
            <w:pPr>
              <w:pStyle w:val="51"/>
              <w:bidi w:val="0"/>
              <w:ind w:left="0" w:leftChars="0" w:firstLine="0" w:firstLineChars="0"/>
              <w:jc w:val="center"/>
              <w:rPr>
                <w:rFonts w:hint="default" w:ascii="Times New Roman" w:hAnsi="Times New Roman"/>
                <w:lang w:val="en-US" w:eastAsia="zh-CN"/>
              </w:rPr>
            </w:pPr>
            <w:r>
              <w:rPr>
                <w:rFonts w:hint="eastAsia" w:ascii="Times New Roman" w:hAnsi="Times New Roman"/>
                <w:lang w:val="en-US" w:eastAsia="zh-CN"/>
              </w:rPr>
              <w:t>应以严格保护、禁止开发区域进行管理，实行最严格的准入制度，严禁任何不符合主体功能定位的开发活动，任何单位和个人不得擅自占用或改变原国土用途。区内原有的林场、工矿等用途区域应严格控制建设行为扩展，并应根据实际发展需要逐步引导退出。</w:t>
            </w:r>
          </w:p>
        </w:tc>
      </w:tr>
      <w:tr w14:paraId="5106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shd w:val="clear" w:color="auto" w:fill="auto"/>
            <w:vAlign w:val="center"/>
          </w:tcPr>
          <w:p w14:paraId="679809F1">
            <w:pPr>
              <w:pStyle w:val="51"/>
              <w:bidi w:val="0"/>
              <w:ind w:left="0" w:leftChars="0" w:firstLine="0" w:firstLineChars="0"/>
              <w:jc w:val="center"/>
              <w:rPr>
                <w:rFonts w:hint="default" w:ascii="Times New Roman" w:hAnsi="Times New Roman"/>
                <w:lang w:val="en-US" w:eastAsia="zh-CN"/>
              </w:rPr>
            </w:pPr>
            <w:r>
              <w:rPr>
                <w:rFonts w:hint="default" w:ascii="Times New Roman" w:hAnsi="Times New Roman"/>
                <w:lang w:val="en-US" w:eastAsia="zh-CN"/>
              </w:rPr>
              <w:t>生态控制区</w:t>
            </w:r>
          </w:p>
        </w:tc>
        <w:tc>
          <w:tcPr>
            <w:tcW w:w="3995" w:type="pct"/>
            <w:tcBorders>
              <w:tl2br w:val="nil"/>
              <w:tr2bl w:val="nil"/>
            </w:tcBorders>
            <w:shd w:val="clear" w:color="auto" w:fill="auto"/>
            <w:vAlign w:val="center"/>
          </w:tcPr>
          <w:p w14:paraId="57DEAEEE">
            <w:pPr>
              <w:pStyle w:val="51"/>
              <w:bidi w:val="0"/>
              <w:ind w:left="0" w:leftChars="0" w:firstLine="0" w:firstLineChars="0"/>
              <w:jc w:val="center"/>
              <w:rPr>
                <w:rFonts w:hint="default" w:ascii="Times New Roman" w:hAnsi="Times New Roman"/>
                <w:lang w:val="en-US" w:eastAsia="zh-CN"/>
              </w:rPr>
            </w:pPr>
            <w:r>
              <w:rPr>
                <w:rFonts w:hint="default" w:ascii="Times New Roman" w:hAnsi="Times New Roman"/>
                <w:lang w:val="en-US" w:eastAsia="zh-CN"/>
              </w:rPr>
              <w:t>本区域采取“名录管理+约束指标+分区准入”相结合的方式细化管理规定，以保护为主，按照限制开发的要求进行管理，允许在不降低生态功能、不破坏自然生态系统、符合准入条件的前提下适度开发利用。</w:t>
            </w:r>
          </w:p>
        </w:tc>
      </w:tr>
      <w:tr w14:paraId="36E42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shd w:val="clear" w:color="auto" w:fill="auto"/>
            <w:vAlign w:val="center"/>
          </w:tcPr>
          <w:p w14:paraId="55E525CE">
            <w:pPr>
              <w:pStyle w:val="51"/>
              <w:bidi w:val="0"/>
              <w:ind w:left="0" w:leftChars="0" w:firstLine="0" w:firstLineChars="0"/>
              <w:jc w:val="center"/>
              <w:rPr>
                <w:rFonts w:hint="default" w:ascii="Times New Roman" w:hAnsi="Times New Roman"/>
                <w:lang w:val="en-US" w:eastAsia="zh-CN"/>
              </w:rPr>
            </w:pPr>
            <w:r>
              <w:rPr>
                <w:rFonts w:hint="default" w:ascii="Times New Roman" w:hAnsi="Times New Roman"/>
                <w:lang w:val="en-US" w:eastAsia="zh-CN"/>
              </w:rPr>
              <w:t>农田保护区</w:t>
            </w:r>
          </w:p>
        </w:tc>
        <w:tc>
          <w:tcPr>
            <w:tcW w:w="3995" w:type="pct"/>
            <w:tcBorders>
              <w:tl2br w:val="nil"/>
              <w:tr2bl w:val="nil"/>
            </w:tcBorders>
            <w:shd w:val="clear" w:color="auto" w:fill="auto"/>
            <w:vAlign w:val="center"/>
          </w:tcPr>
          <w:p w14:paraId="18CE3998">
            <w:pPr>
              <w:pStyle w:val="51"/>
              <w:bidi w:val="0"/>
              <w:ind w:left="0" w:leftChars="0" w:firstLine="0" w:firstLineChars="0"/>
              <w:jc w:val="center"/>
              <w:rPr>
                <w:rFonts w:hint="default" w:ascii="Times New Roman" w:hAnsi="Times New Roman"/>
                <w:lang w:val="en-US" w:eastAsia="zh-CN"/>
              </w:rPr>
            </w:pPr>
            <w:r>
              <w:rPr>
                <w:rFonts w:hint="default" w:ascii="Times New Roman" w:hAnsi="Times New Roman"/>
                <w:lang w:val="en-US" w:eastAsia="zh-CN"/>
              </w:rPr>
              <w:t>本区域按照永久基本农田保护的相关法律法规进行管理，区内从严管控非农建设占用永久基本农田，鼓励开展高标准农田建设和土地整治，提高永久基本农田质量。</w:t>
            </w:r>
          </w:p>
        </w:tc>
      </w:tr>
      <w:tr w14:paraId="0A2F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shd w:val="clear" w:color="auto" w:fill="auto"/>
            <w:vAlign w:val="center"/>
          </w:tcPr>
          <w:p w14:paraId="66FBA7F4">
            <w:pPr>
              <w:pStyle w:val="51"/>
              <w:bidi w:val="0"/>
              <w:ind w:left="0" w:leftChars="0" w:firstLine="0" w:firstLineChars="0"/>
              <w:jc w:val="center"/>
              <w:rPr>
                <w:rFonts w:hint="default" w:ascii="Times New Roman" w:hAnsi="Times New Roman"/>
                <w:lang w:val="en-US" w:eastAsia="zh-CN"/>
              </w:rPr>
            </w:pPr>
            <w:r>
              <w:rPr>
                <w:rFonts w:hint="default" w:ascii="Times New Roman" w:hAnsi="Times New Roman"/>
                <w:lang w:val="en-US" w:eastAsia="zh-CN"/>
              </w:rPr>
              <w:t>城镇发展区</w:t>
            </w:r>
          </w:p>
        </w:tc>
        <w:tc>
          <w:tcPr>
            <w:tcW w:w="3995" w:type="pct"/>
            <w:tcBorders>
              <w:tl2br w:val="nil"/>
              <w:tr2bl w:val="nil"/>
            </w:tcBorders>
            <w:shd w:val="clear" w:color="auto" w:fill="auto"/>
            <w:vAlign w:val="center"/>
          </w:tcPr>
          <w:p w14:paraId="0026DDF7">
            <w:pPr>
              <w:pStyle w:val="51"/>
              <w:bidi w:val="0"/>
              <w:ind w:left="0" w:leftChars="0" w:firstLine="0" w:firstLineChars="0"/>
              <w:jc w:val="center"/>
              <w:rPr>
                <w:rFonts w:hint="default" w:ascii="Times New Roman" w:hAnsi="Times New Roman"/>
                <w:lang w:val="en-US" w:eastAsia="zh-CN"/>
              </w:rPr>
            </w:pPr>
            <w:r>
              <w:rPr>
                <w:rFonts w:hint="default" w:ascii="Times New Roman" w:hAnsi="Times New Roman"/>
                <w:lang w:val="en-US" w:eastAsia="zh-CN"/>
              </w:rPr>
              <w:t>区内实行“详细规划+规划许可”的管理方式。</w:t>
            </w:r>
          </w:p>
        </w:tc>
      </w:tr>
      <w:tr w14:paraId="21A04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shd w:val="clear" w:color="auto" w:fill="auto"/>
            <w:vAlign w:val="center"/>
          </w:tcPr>
          <w:p w14:paraId="22F11EC4">
            <w:pPr>
              <w:pStyle w:val="51"/>
              <w:bidi w:val="0"/>
              <w:ind w:left="0" w:leftChars="0" w:firstLine="0" w:firstLineChars="0"/>
              <w:jc w:val="center"/>
              <w:rPr>
                <w:rFonts w:hint="default" w:ascii="Times New Roman" w:hAnsi="Times New Roman"/>
                <w:lang w:val="en-US" w:eastAsia="zh-CN"/>
              </w:rPr>
            </w:pPr>
            <w:r>
              <w:rPr>
                <w:rFonts w:hint="default" w:ascii="Times New Roman" w:hAnsi="Times New Roman"/>
                <w:lang w:val="en-US" w:eastAsia="zh-CN"/>
              </w:rPr>
              <w:t>乡村发展区</w:t>
            </w:r>
          </w:p>
        </w:tc>
        <w:tc>
          <w:tcPr>
            <w:tcW w:w="3995" w:type="pct"/>
            <w:tcBorders>
              <w:tl2br w:val="nil"/>
              <w:tr2bl w:val="nil"/>
            </w:tcBorders>
            <w:shd w:val="clear" w:color="auto" w:fill="auto"/>
            <w:vAlign w:val="center"/>
          </w:tcPr>
          <w:p w14:paraId="33CBA94C">
            <w:pPr>
              <w:pStyle w:val="51"/>
              <w:bidi w:val="0"/>
              <w:ind w:left="0" w:leftChars="0" w:firstLine="0" w:firstLineChars="0"/>
              <w:jc w:val="center"/>
              <w:rPr>
                <w:rFonts w:hint="default" w:ascii="Times New Roman" w:hAnsi="Times New Roman"/>
                <w:lang w:val="en-US" w:eastAsia="zh-CN"/>
              </w:rPr>
            </w:pPr>
            <w:r>
              <w:rPr>
                <w:rFonts w:hint="default" w:ascii="Times New Roman" w:hAnsi="Times New Roman"/>
                <w:lang w:val="en-US" w:eastAsia="zh-CN"/>
              </w:rPr>
              <w:t>以促进农业和乡村特色产业发展、改善农民生产生活条件为导向，统筹协调村庄建设、农田和生态保护。保障农业和乡村产业发展及其配套设施建设，以及为改善农村人居环境而进行的村庄建设与整治。严禁集中连片的城镇开发建设。</w:t>
            </w:r>
          </w:p>
          <w:p w14:paraId="029630BB">
            <w:pPr>
              <w:pStyle w:val="51"/>
              <w:bidi w:val="0"/>
              <w:ind w:left="0" w:leftChars="0" w:firstLine="0" w:firstLineChars="0"/>
              <w:jc w:val="center"/>
              <w:rPr>
                <w:rFonts w:hint="default" w:ascii="Times New Roman" w:hAnsi="Times New Roman"/>
                <w:lang w:val="en-US" w:eastAsia="zh-CN"/>
              </w:rPr>
            </w:pPr>
            <w:r>
              <w:rPr>
                <w:rFonts w:hint="eastAsia" w:ascii="Times New Roman" w:hAnsi="Times New Roman"/>
                <w:lang w:val="en-US" w:eastAsia="zh-CN"/>
              </w:rPr>
              <w:t>其中，林业发展区鼓励依据国土空间规划及其他相关规划，实施生态修复工程，提升生态环境质量。从严控制商业性经营设施建设用地准入，严禁未经审批毁林开垦和使用林地等涉林违法违规行为，严格限制采石取土等用地准入，限制勘查、开采矿藏和其他项目用地准入。</w:t>
            </w:r>
          </w:p>
        </w:tc>
      </w:tr>
      <w:tr w14:paraId="7D53B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shd w:val="clear" w:color="auto" w:fill="auto"/>
            <w:vAlign w:val="center"/>
          </w:tcPr>
          <w:p w14:paraId="2278ABF4">
            <w:pPr>
              <w:pStyle w:val="51"/>
              <w:bidi w:val="0"/>
              <w:ind w:left="0" w:leftChars="0" w:firstLine="0" w:firstLineChars="0"/>
              <w:jc w:val="center"/>
              <w:rPr>
                <w:rFonts w:hint="default" w:ascii="Times New Roman" w:hAnsi="Times New Roman"/>
                <w:lang w:val="en-US" w:eastAsia="zh-CN"/>
              </w:rPr>
            </w:pPr>
            <w:r>
              <w:rPr>
                <w:rFonts w:hint="default" w:ascii="Times New Roman" w:hAnsi="Times New Roman"/>
                <w:lang w:val="en-US" w:eastAsia="zh-CN"/>
              </w:rPr>
              <w:t>矿产能源发展区</w:t>
            </w:r>
          </w:p>
        </w:tc>
        <w:tc>
          <w:tcPr>
            <w:tcW w:w="3995" w:type="pct"/>
            <w:tcBorders>
              <w:tl2br w:val="nil"/>
              <w:tr2bl w:val="nil"/>
            </w:tcBorders>
            <w:shd w:val="clear" w:color="auto" w:fill="auto"/>
            <w:vAlign w:val="center"/>
          </w:tcPr>
          <w:p w14:paraId="18AD96E4">
            <w:pPr>
              <w:pStyle w:val="51"/>
              <w:bidi w:val="0"/>
              <w:ind w:left="0" w:leftChars="0" w:firstLine="0" w:firstLineChars="0"/>
              <w:jc w:val="center"/>
              <w:rPr>
                <w:rFonts w:hint="default" w:ascii="Times New Roman" w:hAnsi="Times New Roman"/>
                <w:lang w:val="en-US" w:eastAsia="zh-CN"/>
              </w:rPr>
            </w:pPr>
            <w:r>
              <w:rPr>
                <w:rFonts w:hint="default" w:ascii="Times New Roman" w:hAnsi="Times New Roman"/>
                <w:lang w:val="en-US" w:eastAsia="zh-CN"/>
              </w:rPr>
              <w:t>对矿产资源开发进行合理布局，严格矿产资源开采规划准入管理，严禁在水源保护区、自然保护地等环境敏感区、重要生态功能保护区内开发利用矿产资源。建立和完善绿色矿业发展机制，最大限度地减少矿产能源开发对生态环境的影响，现有矿区在开采期内按绿色矿山标准实行开采，开采期结束后应由矿山企业采取生态修复手段恢复矿区地质环境。</w:t>
            </w:r>
          </w:p>
        </w:tc>
      </w:tr>
      <w:bookmarkEnd w:id="36"/>
      <w:bookmarkEnd w:id="37"/>
      <w:bookmarkEnd w:id="38"/>
      <w:bookmarkEnd w:id="39"/>
      <w:bookmarkEnd w:id="40"/>
      <w:bookmarkEnd w:id="41"/>
      <w:bookmarkEnd w:id="42"/>
      <w:bookmarkEnd w:id="43"/>
      <w:bookmarkEnd w:id="44"/>
    </w:tbl>
    <w:p w14:paraId="288372D9">
      <w:pPr>
        <w:pStyle w:val="29"/>
        <w:keepNext/>
        <w:keepLines/>
        <w:pageBreakBefore w:val="0"/>
        <w:widowControl w:val="0"/>
        <w:numPr>
          <w:ilvl w:val="0"/>
          <w:numId w:val="10"/>
        </w:numPr>
        <w:tabs>
          <w:tab w:val="left" w:pos="420"/>
        </w:tabs>
        <w:kinsoku/>
        <w:wordWrap/>
        <w:overflowPunct/>
        <w:topLinePunct w:val="0"/>
        <w:autoSpaceDE/>
        <w:autoSpaceDN/>
        <w:bidi w:val="0"/>
        <w:adjustRightInd/>
        <w:snapToGrid/>
        <w:ind w:left="0" w:firstLine="0"/>
        <w:textAlignment w:val="auto"/>
        <w:rPr>
          <w:rFonts w:hint="eastAsia"/>
          <w:lang w:val="en-US" w:eastAsia="zh-CN"/>
        </w:rPr>
      </w:pPr>
      <w:bookmarkStart w:id="45" w:name="_Toc9732"/>
      <w:bookmarkStart w:id="46" w:name="_Toc9120"/>
      <w:r>
        <w:rPr>
          <w:rFonts w:hint="eastAsia"/>
          <w:lang w:val="en-US" w:eastAsia="zh-CN"/>
        </w:rPr>
        <w:t>国土空间用地功能结构调整</w:t>
      </w:r>
      <w:bookmarkEnd w:id="45"/>
      <w:bookmarkEnd w:id="46"/>
    </w:p>
    <w:p w14:paraId="6155709C">
      <w:pPr>
        <w:pStyle w:val="4"/>
        <w:bidi w:val="0"/>
        <w:rPr>
          <w:rFonts w:hint="default"/>
        </w:rPr>
      </w:pPr>
      <w:r>
        <w:rPr>
          <w:rFonts w:hint="default"/>
        </w:rPr>
        <w:t>农用地结构调整</w:t>
      </w:r>
    </w:p>
    <w:p w14:paraId="1970A443">
      <w:pPr>
        <w:bidi w:val="0"/>
        <w:rPr>
          <w:rFonts w:hint="default"/>
        </w:rPr>
      </w:pPr>
      <w:r>
        <w:rPr>
          <w:rFonts w:hint="default"/>
        </w:rPr>
        <w:t>严守耕地红线，推行耕地生</w:t>
      </w:r>
      <w:r>
        <w:rPr>
          <w:rFonts w:hint="eastAsia"/>
          <w:highlight w:val="none"/>
          <w:lang w:eastAsia="zh-CN"/>
        </w:rPr>
        <w:t>态化</w:t>
      </w:r>
      <w:r>
        <w:rPr>
          <w:rFonts w:hint="default"/>
        </w:rPr>
        <w:t>，确保农业空间稳定性。优先保障粮食安全，在黑土侵蚀、农业不适宜耕作、湿地退化地区、水土流失地区、不稳定耕地区域实行退耕还林还草还湿，实现农业可持续发展。</w:t>
      </w:r>
    </w:p>
    <w:p w14:paraId="426910F7">
      <w:pPr>
        <w:pStyle w:val="4"/>
        <w:bidi w:val="0"/>
        <w:rPr>
          <w:rFonts w:hint="default"/>
        </w:rPr>
      </w:pPr>
      <w:r>
        <w:rPr>
          <w:rFonts w:hint="default"/>
        </w:rPr>
        <w:t>建设用地结构调整</w:t>
      </w:r>
    </w:p>
    <w:p w14:paraId="62D49A8B">
      <w:pPr>
        <w:bidi w:val="0"/>
        <w:rPr>
          <w:rFonts w:hint="default"/>
        </w:rPr>
      </w:pPr>
      <w:r>
        <w:rPr>
          <w:rFonts w:hint="default"/>
        </w:rPr>
        <w:t>严控建设用地总规模，提高土地集约节约度，高效利用建设用地。按照</w:t>
      </w:r>
      <w:r>
        <w:rPr>
          <w:rFonts w:hint="eastAsia"/>
          <w:lang w:eastAsia="zh-CN"/>
        </w:rPr>
        <w:t>“</w:t>
      </w:r>
      <w:r>
        <w:rPr>
          <w:rFonts w:hint="default"/>
        </w:rPr>
        <w:t>框定总量、限定容量、盘活存量、做优增量，提高质量</w:t>
      </w:r>
      <w:r>
        <w:rPr>
          <w:rFonts w:hint="eastAsia"/>
          <w:lang w:eastAsia="zh-CN"/>
        </w:rPr>
        <w:t>”</w:t>
      </w:r>
      <w:r>
        <w:rPr>
          <w:rFonts w:hint="default"/>
        </w:rPr>
        <w:t>的思路，合理调整建设用地结构，通过空心村用地整治、城乡增减挂钩等措施集约高效利用城乡建设用地，加快废弃工矿用地整理，加快闲置用地及批而未用土地处置。优先保障国家、省级重点项目及民生项目建设，实现城乡建设用地增长</w:t>
      </w:r>
    </w:p>
    <w:p w14:paraId="7CA30205">
      <w:pPr>
        <w:pStyle w:val="4"/>
        <w:bidi w:val="0"/>
        <w:rPr>
          <w:rFonts w:hint="default"/>
        </w:rPr>
      </w:pPr>
      <w:r>
        <w:rPr>
          <w:rFonts w:hint="default"/>
        </w:rPr>
        <w:t>其他用地结构调整</w:t>
      </w:r>
    </w:p>
    <w:p w14:paraId="59EC848D">
      <w:pPr>
        <w:bidi w:val="0"/>
        <w:rPr>
          <w:rFonts w:hint="default"/>
          <w:lang w:val="en-US" w:eastAsia="zh-CN"/>
        </w:rPr>
      </w:pPr>
      <w:bookmarkStart w:id="47" w:name="_Toc72936511"/>
      <w:bookmarkStart w:id="48" w:name="_Toc72936502"/>
      <w:r>
        <w:rPr>
          <w:rFonts w:hint="default"/>
        </w:rPr>
        <w:t>提升全域生态价值，优先满足生态用地。保护森林、</w:t>
      </w:r>
      <w:r>
        <w:rPr>
          <w:rFonts w:hint="eastAsia"/>
          <w:lang w:eastAsia="zh-CN"/>
        </w:rPr>
        <w:t>河</w:t>
      </w:r>
      <w:r>
        <w:rPr>
          <w:rFonts w:hint="default"/>
        </w:rPr>
        <w:t>流、水库、湿地等重要生态功能用地，优化生态用地结构，拓展蓝绿空间，提升生态服务功能。</w:t>
      </w:r>
    </w:p>
    <w:bookmarkEnd w:id="47"/>
    <w:bookmarkEnd w:id="48"/>
    <w:p w14:paraId="1C8CA8CC">
      <w:pPr>
        <w:widowControl/>
        <w:spacing w:line="600" w:lineRule="atLeast"/>
        <w:ind w:firstLine="640" w:firstLineChars="200"/>
        <w:rPr>
          <w:rFonts w:hint="eastAsia" w:ascii="仿宋_GB2312" w:hAnsi="仿宋_GB2312" w:eastAsia="仿宋_GB2312" w:cs="仿宋_GB2312"/>
          <w:color w:val="auto"/>
          <w:sz w:val="32"/>
          <w:szCs w:val="32"/>
          <w:highlight w:val="none"/>
        </w:rPr>
      </w:pPr>
    </w:p>
    <w:p w14:paraId="2BFEDEFD">
      <w:pPr>
        <w:widowControl/>
        <w:spacing w:line="600" w:lineRule="atLeast"/>
        <w:ind w:firstLine="640" w:firstLineChars="200"/>
        <w:rPr>
          <w:rFonts w:hint="eastAsia" w:ascii="仿宋_GB2312" w:hAnsi="仿宋_GB2312" w:eastAsia="仿宋_GB2312" w:cs="仿宋_GB2312"/>
          <w:color w:val="auto"/>
          <w:sz w:val="32"/>
          <w:szCs w:val="32"/>
          <w:highlight w:val="none"/>
        </w:rPr>
      </w:pPr>
    </w:p>
    <w:p w14:paraId="64586D8D">
      <w:pPr>
        <w:pStyle w:val="2"/>
        <w:bidi w:val="0"/>
        <w:rPr>
          <w:rFonts w:hint="default"/>
          <w:lang w:val="en-US" w:eastAsia="zh-CN"/>
        </w:rPr>
      </w:pPr>
      <w:bookmarkStart w:id="49" w:name="_Toc14752"/>
      <w:r>
        <w:rPr>
          <w:rFonts w:hint="eastAsia"/>
          <w:lang w:val="en-US" w:eastAsia="zh-CN"/>
        </w:rPr>
        <w:t>空间布局优化</w:t>
      </w:r>
      <w:bookmarkEnd w:id="49"/>
    </w:p>
    <w:p w14:paraId="10B49334">
      <w:pPr>
        <w:pStyle w:val="29"/>
        <w:keepNext/>
        <w:keepLines/>
        <w:pageBreakBefore w:val="0"/>
        <w:widowControl w:val="0"/>
        <w:numPr>
          <w:ilvl w:val="0"/>
          <w:numId w:val="11"/>
        </w:numPr>
        <w:tabs>
          <w:tab w:val="left" w:pos="420"/>
        </w:tabs>
        <w:kinsoku/>
        <w:wordWrap/>
        <w:overflowPunct/>
        <w:topLinePunct w:val="0"/>
        <w:autoSpaceDE/>
        <w:autoSpaceDN/>
        <w:bidi w:val="0"/>
        <w:adjustRightInd/>
        <w:snapToGrid/>
        <w:ind w:left="0" w:firstLine="0"/>
        <w:textAlignment w:val="auto"/>
        <w:rPr>
          <w:rFonts w:hint="eastAsia"/>
          <w:lang w:val="en-US" w:eastAsia="zh-CN"/>
        </w:rPr>
      </w:pPr>
      <w:bookmarkStart w:id="50" w:name="_Toc2464"/>
      <w:bookmarkStart w:id="51" w:name="_Hlk175289020"/>
      <w:bookmarkStart w:id="52" w:name="_Toc141538963"/>
      <w:r>
        <w:rPr>
          <w:rFonts w:hint="eastAsia"/>
          <w:lang w:val="en-US" w:eastAsia="zh-CN"/>
        </w:rPr>
        <w:t>农业生产空间</w:t>
      </w:r>
      <w:bookmarkEnd w:id="50"/>
    </w:p>
    <w:bookmarkEnd w:id="51"/>
    <w:p w14:paraId="4B0F9720">
      <w:pPr>
        <w:pStyle w:val="4"/>
        <w:bidi w:val="0"/>
        <w:rPr>
          <w:rFonts w:hint="default"/>
          <w:lang w:val="en-US" w:eastAsia="zh-CN"/>
        </w:rPr>
      </w:pPr>
      <w:r>
        <w:rPr>
          <w:rFonts w:hint="eastAsia"/>
          <w:lang w:val="en-US" w:eastAsia="zh-CN"/>
        </w:rPr>
        <w:t>农业总体格局</w:t>
      </w:r>
    </w:p>
    <w:p w14:paraId="512A46AC">
      <w:pPr>
        <w:bidi w:val="0"/>
        <w:rPr>
          <w:rFonts w:hint="default"/>
          <w:lang w:val="en-US" w:eastAsia="zh-CN"/>
        </w:rPr>
      </w:pPr>
      <w:bookmarkStart w:id="53" w:name="_Hlk175289113"/>
      <w:r>
        <w:rPr>
          <w:rFonts w:hint="eastAsia"/>
          <w:lang w:val="en-US" w:eastAsia="zh-CN"/>
        </w:rPr>
        <w:t>促进乡村振兴。严格保护耕地资源，落实耕地数量、质量、生态“三位一体”保护。提升优势种植业空间生产能力，保障农产品生产空间，保障优质水稻、玉米、大豆和畜禽产品供给，构建“一带、两区、多点”的农业空间格局。</w:t>
      </w:r>
    </w:p>
    <w:p w14:paraId="71DD8C44">
      <w:pPr>
        <w:bidi w:val="0"/>
        <w:rPr>
          <w:rFonts w:hint="default"/>
          <w:lang w:val="en-US" w:eastAsia="zh-CN"/>
        </w:rPr>
      </w:pPr>
      <w:r>
        <w:rPr>
          <w:rFonts w:hint="eastAsia"/>
          <w:lang w:val="en-US" w:eastAsia="zh-CN"/>
        </w:rPr>
        <w:t>“一带”指水稻种植示范轴，落实上位规划，沿国道G102形成的优质水稻种植示范带。</w:t>
      </w:r>
    </w:p>
    <w:p w14:paraId="3E705EDA">
      <w:pPr>
        <w:bidi w:val="0"/>
        <w:rPr>
          <w:rFonts w:hint="eastAsia"/>
          <w:lang w:val="en-US" w:eastAsia="zh-CN"/>
        </w:rPr>
      </w:pPr>
      <w:r>
        <w:rPr>
          <w:rFonts w:hint="eastAsia"/>
          <w:lang w:val="en-US" w:eastAsia="zh-CN"/>
        </w:rPr>
        <w:t>“两区”指北部滨水的生态农业区和南部的特色农业区。生态农业区依托松花江流域丰富的水资源和湿地资源，积极发展生态农业；特色农业区以粮食生产、特色精品农业和现代农业服务为发展特色。</w:t>
      </w:r>
    </w:p>
    <w:p w14:paraId="64E47BBF">
      <w:pPr>
        <w:bidi w:val="0"/>
        <w:rPr>
          <w:rFonts w:hint="default"/>
        </w:rPr>
      </w:pPr>
      <w:r>
        <w:rPr>
          <w:rFonts w:hint="eastAsia"/>
          <w:lang w:val="en-US" w:eastAsia="zh-CN"/>
        </w:rPr>
        <w:t>“多点”指</w:t>
      </w:r>
      <w:r>
        <w:rPr>
          <w:rFonts w:hint="default"/>
        </w:rPr>
        <w:t>以生态养殖、</w:t>
      </w:r>
      <w:r>
        <w:rPr>
          <w:rFonts w:hint="eastAsia"/>
          <w:lang w:val="en-US" w:eastAsia="zh-CN"/>
        </w:rPr>
        <w:t>传统种植</w:t>
      </w:r>
      <w:r>
        <w:rPr>
          <w:rFonts w:hint="default"/>
        </w:rPr>
        <w:t>、特色种植、成规模养殖为节点。</w:t>
      </w:r>
    </w:p>
    <w:bookmarkEnd w:id="52"/>
    <w:bookmarkEnd w:id="53"/>
    <w:p w14:paraId="12B91BFB">
      <w:pPr>
        <w:pStyle w:val="4"/>
        <w:bidi w:val="0"/>
        <w:rPr>
          <w:rFonts w:hint="default"/>
          <w:lang w:val="en-US" w:eastAsia="zh-CN"/>
        </w:rPr>
      </w:pPr>
      <w:r>
        <w:rPr>
          <w:rFonts w:hint="default"/>
          <w:lang w:val="en-US" w:eastAsia="zh-CN"/>
        </w:rPr>
        <w:t>严保耕地和</w:t>
      </w:r>
      <w:r>
        <w:rPr>
          <w:rFonts w:hint="eastAsia"/>
          <w:lang w:val="en-US" w:eastAsia="zh-CN"/>
        </w:rPr>
        <w:t>落实</w:t>
      </w:r>
      <w:r>
        <w:rPr>
          <w:rFonts w:hint="default"/>
          <w:lang w:val="en-US" w:eastAsia="zh-CN"/>
        </w:rPr>
        <w:t>永久基本农田红线</w:t>
      </w:r>
    </w:p>
    <w:p w14:paraId="410DD3F7">
      <w:pPr>
        <w:bidi w:val="0"/>
        <w:rPr>
          <w:rFonts w:hint="default"/>
          <w:lang w:val="en-US" w:eastAsia="zh-CN"/>
        </w:rPr>
      </w:pPr>
      <w:r>
        <w:t>落实耕地数量、质量、生态“三位一体”保护，</w:t>
      </w:r>
      <w:r>
        <w:rPr>
          <w:rFonts w:hint="default"/>
          <w:lang w:val="en-US" w:eastAsia="zh-CN"/>
        </w:rPr>
        <w:t>落实县级规划确定的耕地和永久基本农田保护界线，以现状稳定耕地为基础，优先将优质耕地划为永久基本农田。</w:t>
      </w:r>
    </w:p>
    <w:p w14:paraId="3D6753B3">
      <w:pPr>
        <w:pStyle w:val="20"/>
        <w:rPr>
          <w:rFonts w:hint="default"/>
          <w:lang w:val="en-US" w:eastAsia="zh-CN"/>
        </w:rPr>
      </w:pPr>
    </w:p>
    <w:p w14:paraId="772328A8">
      <w:pPr>
        <w:pStyle w:val="4"/>
        <w:bidi w:val="0"/>
        <w:rPr>
          <w:rFonts w:hint="default"/>
          <w:lang w:val="en-US" w:eastAsia="zh-CN"/>
        </w:rPr>
      </w:pPr>
      <w:r>
        <w:rPr>
          <w:rFonts w:hint="default"/>
          <w:lang w:val="en-US" w:eastAsia="zh-CN"/>
        </w:rPr>
        <w:t>推进黑土耕地保护利用</w:t>
      </w:r>
    </w:p>
    <w:p w14:paraId="3010ECA5">
      <w:pPr>
        <w:bidi w:val="0"/>
        <w:rPr>
          <w:rFonts w:hint="default"/>
        </w:rPr>
      </w:pPr>
      <w:r>
        <w:rPr>
          <w:rFonts w:hint="default"/>
        </w:rPr>
        <w:t>黑土地是</w:t>
      </w:r>
      <w:r>
        <w:rPr>
          <w:rFonts w:hint="default"/>
          <w:lang w:val="en-US" w:eastAsia="zh-CN"/>
        </w:rPr>
        <w:t>黑龙江</w:t>
      </w:r>
      <w:r>
        <w:rPr>
          <w:rFonts w:hint="default"/>
        </w:rPr>
        <w:t>省的特色资源之一，将黑土耕地所在区域的优质农田划入永久基本农田保护区和粮食生产功能区等重点区域，提高黑土耕地保护和建设力度。采取工程、生物和耕作措施相结合，治理黑土区水土流失。</w:t>
      </w:r>
    </w:p>
    <w:p w14:paraId="0BF2C4F8">
      <w:pPr>
        <w:bidi w:val="0"/>
        <w:rPr>
          <w:rFonts w:hint="default"/>
        </w:rPr>
      </w:pPr>
      <w:r>
        <w:rPr>
          <w:rFonts w:hint="default"/>
        </w:rPr>
        <w:t>完善土地调查监测体系和耕地质量监测网络，建立卫星遥感+耕地质量检测物联网+土壤取样化验等技术组合应用模式，对耕地蓄水保墒、有机质含量、土壤侵蚀、土壤生物性状和稳产高产能力等耕地质量指标进行实时监测。制定实施黑土地质量标准和分等定级技术规范，为推进实施黑土地保护和黑土耕地占补平衡工作提供依据。</w:t>
      </w:r>
    </w:p>
    <w:p w14:paraId="7A5D3837">
      <w:pPr>
        <w:bidi w:val="0"/>
        <w:rPr>
          <w:rFonts w:hint="default"/>
        </w:rPr>
      </w:pPr>
      <w:r>
        <w:rPr>
          <w:rFonts w:hint="default"/>
        </w:rPr>
        <w:t>充分挖掘黑土耕地潜力，支持黑土表土剥离再利用计划，推进黑土区土地复垦工程，规范引导耕地后备资源适度生态化开发利用，鼓励开展黑土地生态修复和综合治理。</w:t>
      </w:r>
    </w:p>
    <w:p w14:paraId="0C7358D5">
      <w:pPr>
        <w:bidi w:val="0"/>
        <w:rPr>
          <w:rFonts w:hint="default"/>
        </w:rPr>
      </w:pPr>
      <w:r>
        <w:rPr>
          <w:rFonts w:hint="default"/>
        </w:rPr>
        <w:t>完善各级政府耕地保护责任目标考核办法，把保护黑土耕地数量、质量作为重要考核指标，加强对黑土区补充耕地任务完成情况、耕地占补平衡落实情况的检查；建立有效的约束管控机制，定期开展黑土耕地保护成效第三方评估评价，根据实绩实效兑现奖惩。</w:t>
      </w:r>
    </w:p>
    <w:p w14:paraId="4D25457F">
      <w:pPr>
        <w:pStyle w:val="4"/>
        <w:bidi w:val="0"/>
        <w:rPr>
          <w:rFonts w:hint="default"/>
          <w:lang w:val="en-US" w:eastAsia="zh-CN"/>
        </w:rPr>
      </w:pPr>
      <w:bookmarkStart w:id="54" w:name="_Hlk175288198"/>
      <w:r>
        <w:rPr>
          <w:rFonts w:hint="eastAsia"/>
          <w:lang w:val="en-US" w:eastAsia="zh-CN"/>
        </w:rPr>
        <w:t>建设和保护耕地生态</w:t>
      </w:r>
    </w:p>
    <w:bookmarkEnd w:id="54"/>
    <w:p w14:paraId="56349AE7">
      <w:pPr>
        <w:bidi w:val="0"/>
      </w:pPr>
      <w:bookmarkStart w:id="55" w:name="_Hlk175288181"/>
      <w:r>
        <w:t>推动用地与养地相结合，积极落实农业轮作制度，推广玉米、大豆、杂粮、经济作物轮作等绿色、高产、高质、综合配套技术模式；稳步推进不适宜耕种土地的退耕还林，实行保护性耕作，加快耕地退化治理；深入实施土壤污染防治行动计划，加大农药残留、农膜等治理力度，</w:t>
      </w:r>
      <w:r>
        <w:rPr>
          <w:rFonts w:hint="eastAsia"/>
          <w:lang w:val="en-US" w:eastAsia="zh-CN"/>
        </w:rPr>
        <w:t>科学合理施肥施药，</w:t>
      </w:r>
      <w:r>
        <w:t>推广土壤污染防治与修复技术的应用。</w:t>
      </w:r>
    </w:p>
    <w:bookmarkEnd w:id="55"/>
    <w:p w14:paraId="6F060846">
      <w:pPr>
        <w:pStyle w:val="29"/>
        <w:keepNext/>
        <w:keepLines/>
        <w:pageBreakBefore w:val="0"/>
        <w:widowControl w:val="0"/>
        <w:numPr>
          <w:ilvl w:val="0"/>
          <w:numId w:val="11"/>
        </w:numPr>
        <w:tabs>
          <w:tab w:val="left" w:pos="420"/>
        </w:tabs>
        <w:kinsoku/>
        <w:wordWrap/>
        <w:overflowPunct/>
        <w:topLinePunct w:val="0"/>
        <w:autoSpaceDE/>
        <w:autoSpaceDN/>
        <w:bidi w:val="0"/>
        <w:adjustRightInd/>
        <w:snapToGrid/>
        <w:ind w:left="0" w:firstLine="0"/>
        <w:textAlignment w:val="auto"/>
        <w:rPr>
          <w:rFonts w:hint="eastAsia"/>
          <w:lang w:val="en-US" w:eastAsia="zh-CN"/>
        </w:rPr>
      </w:pPr>
      <w:bookmarkStart w:id="56" w:name="_Toc4792"/>
      <w:bookmarkStart w:id="57" w:name="_Toc11685"/>
      <w:bookmarkStart w:id="58" w:name="_Toc18882"/>
      <w:bookmarkStart w:id="59" w:name="_Toc142552509"/>
      <w:bookmarkStart w:id="60" w:name="_Toc14802"/>
      <w:r>
        <w:rPr>
          <w:rFonts w:hint="eastAsia"/>
          <w:lang w:val="en-US" w:eastAsia="zh-CN"/>
        </w:rPr>
        <w:t>生态功能空间</w:t>
      </w:r>
      <w:bookmarkEnd w:id="56"/>
      <w:bookmarkEnd w:id="57"/>
      <w:bookmarkEnd w:id="58"/>
      <w:bookmarkEnd w:id="59"/>
      <w:bookmarkEnd w:id="60"/>
    </w:p>
    <w:p w14:paraId="0914233E">
      <w:pPr>
        <w:pStyle w:val="4"/>
        <w:bidi w:val="0"/>
        <w:rPr>
          <w:rFonts w:hint="eastAsia"/>
          <w:lang w:val="en-US" w:eastAsia="zh-CN"/>
        </w:rPr>
      </w:pPr>
      <w:bookmarkStart w:id="61" w:name="_Toc24409"/>
      <w:bookmarkStart w:id="62" w:name="_Toc22839"/>
      <w:bookmarkStart w:id="63" w:name="_Toc1644"/>
      <w:bookmarkStart w:id="64" w:name="_Toc15204"/>
      <w:r>
        <w:rPr>
          <w:rFonts w:hint="eastAsia"/>
          <w:lang w:val="en-US" w:eastAsia="zh-CN"/>
        </w:rPr>
        <w:t>生态空间格局</w:t>
      </w:r>
      <w:bookmarkEnd w:id="61"/>
      <w:bookmarkEnd w:id="62"/>
      <w:bookmarkEnd w:id="63"/>
      <w:bookmarkEnd w:id="64"/>
    </w:p>
    <w:p w14:paraId="75BE968B">
      <w:pPr>
        <w:bidi w:val="0"/>
        <w:rPr>
          <w:rFonts w:hint="eastAsia"/>
          <w:lang w:val="en-US" w:eastAsia="zh-CN"/>
        </w:rPr>
      </w:pPr>
      <w:bookmarkStart w:id="65" w:name="_Toc15531"/>
      <w:bookmarkStart w:id="66" w:name="_Toc13916"/>
      <w:bookmarkStart w:id="67" w:name="_Toc22023"/>
      <w:bookmarkStart w:id="68" w:name="_Toc17942"/>
      <w:bookmarkStart w:id="69" w:name="_Toc99"/>
      <w:bookmarkStart w:id="70" w:name="_Toc19271"/>
      <w:r>
        <w:rPr>
          <w:rFonts w:hint="eastAsia"/>
          <w:lang w:val="en-US" w:eastAsia="zh-CN"/>
        </w:rPr>
        <w:t>落实桦川县县域生态保护格局，结合悦来镇的自然地理特征，</w:t>
      </w:r>
      <w:r>
        <w:rPr>
          <w:rFonts w:hint="default"/>
        </w:rPr>
        <w:t>明确自然保护地等生态重要和生态敏感地区，构建重要生态屏障、廊道和网络，形成连续、完整、系统的生态保护格局和开敞空间网络体系，维护生态安全和生物多样性</w:t>
      </w:r>
      <w:r>
        <w:rPr>
          <w:rFonts w:hint="eastAsia"/>
          <w:lang w:eastAsia="zh-CN"/>
        </w:rPr>
        <w:t>，</w:t>
      </w:r>
      <w:r>
        <w:rPr>
          <w:rFonts w:hint="eastAsia"/>
          <w:lang w:val="en-US" w:eastAsia="zh-CN"/>
        </w:rPr>
        <w:t>构建“一廊、一带”的生态保护格局。</w:t>
      </w:r>
    </w:p>
    <w:p w14:paraId="5DB1BE8A">
      <w:pPr>
        <w:bidi w:val="0"/>
        <w:rPr>
          <w:rFonts w:hint="eastAsia"/>
          <w:lang w:val="en-US" w:eastAsia="zh-CN"/>
        </w:rPr>
      </w:pPr>
      <w:r>
        <w:rPr>
          <w:rFonts w:hint="eastAsia"/>
          <w:lang w:val="en-US" w:eastAsia="zh-CN"/>
        </w:rPr>
        <w:t>一廊：以北部松花江湿地保护区为核心形成悦来镇北部生态廊道。</w:t>
      </w:r>
    </w:p>
    <w:p w14:paraId="5CCD806D">
      <w:pPr>
        <w:bidi w:val="0"/>
        <w:rPr>
          <w:rFonts w:hint="eastAsia"/>
          <w:lang w:val="en-US" w:eastAsia="zh-CN"/>
        </w:rPr>
      </w:pPr>
      <w:r>
        <w:rPr>
          <w:rFonts w:hint="eastAsia"/>
          <w:lang w:val="en-US" w:eastAsia="zh-CN"/>
        </w:rPr>
        <w:t>一带：以丰收沟为主体构建的生态景观带，加强生态修复，保障护蓝、增绿、通风等作用。</w:t>
      </w:r>
    </w:p>
    <w:bookmarkEnd w:id="65"/>
    <w:bookmarkEnd w:id="66"/>
    <w:bookmarkEnd w:id="67"/>
    <w:bookmarkEnd w:id="68"/>
    <w:bookmarkEnd w:id="69"/>
    <w:bookmarkEnd w:id="70"/>
    <w:p w14:paraId="2013ADB5">
      <w:pPr>
        <w:pStyle w:val="4"/>
        <w:bidi w:val="0"/>
        <w:rPr>
          <w:rFonts w:hint="eastAsia"/>
          <w:lang w:val="en-US" w:eastAsia="zh-CN"/>
        </w:rPr>
      </w:pPr>
      <w:bookmarkStart w:id="71" w:name="_Toc9485"/>
      <w:r>
        <w:rPr>
          <w:rFonts w:hint="eastAsia"/>
          <w:lang w:val="en-US" w:eastAsia="zh-CN"/>
        </w:rPr>
        <w:t>强化水资源保护利用</w:t>
      </w:r>
      <w:bookmarkEnd w:id="71"/>
    </w:p>
    <w:p w14:paraId="60C53084">
      <w:pPr>
        <w:bidi w:val="0"/>
        <w:rPr>
          <w:rFonts w:hint="eastAsia"/>
        </w:rPr>
      </w:pPr>
      <w:r>
        <w:rPr>
          <w:rFonts w:hint="default"/>
        </w:rPr>
        <w:t>水资源综合开发利用，须根据国民经济和社会发展需要，参照国土整治和环境评价制定水资源综合开发和保护规划，制定水资源综合长期供求计划</w:t>
      </w:r>
      <w:r>
        <w:rPr>
          <w:rFonts w:hint="eastAsia"/>
          <w:highlight w:val="none"/>
          <w:lang w:eastAsia="zh-CN"/>
        </w:rPr>
        <w:t>，以</w:t>
      </w:r>
      <w:r>
        <w:rPr>
          <w:rFonts w:hint="default"/>
        </w:rPr>
        <w:t>及与之相适应的水资源战略。</w:t>
      </w:r>
      <w:r>
        <w:rPr>
          <w:rFonts w:hint="eastAsia"/>
        </w:rPr>
        <w:t>到2035年，</w:t>
      </w:r>
      <w:r>
        <w:rPr>
          <w:rFonts w:hint="eastAsia"/>
          <w:lang w:eastAsia="zh-CN"/>
        </w:rPr>
        <w:t>全镇</w:t>
      </w:r>
      <w:r>
        <w:rPr>
          <w:rFonts w:hint="eastAsia"/>
        </w:rPr>
        <w:t>用水总量不超过上级下达指标。</w:t>
      </w:r>
    </w:p>
    <w:p w14:paraId="62733101">
      <w:pPr>
        <w:bidi w:val="0"/>
        <w:rPr>
          <w:rFonts w:hint="default"/>
          <w:lang w:val="en-US" w:eastAsia="zh-CN"/>
        </w:rPr>
      </w:pPr>
      <w:r>
        <w:rPr>
          <w:rFonts w:hint="default"/>
          <w:lang w:val="en-US" w:eastAsia="zh-CN"/>
        </w:rPr>
        <w:t>强化水资源监测体系建设。建立水质保护与排污总量控制实时监控管理系统，加强水功能区的水质监测和入河排污口污染物监测，优化监测布局，完善预警体系。加强工业用水、生活用水、农业用水的监测能力，提升用水效率。</w:t>
      </w:r>
    </w:p>
    <w:p w14:paraId="66B225B7">
      <w:pPr>
        <w:bidi w:val="0"/>
        <w:rPr>
          <w:rFonts w:hint="default"/>
          <w:lang w:val="en-US" w:eastAsia="zh-CN"/>
        </w:rPr>
      </w:pPr>
      <w:r>
        <w:rPr>
          <w:rFonts w:hint="default"/>
          <w:lang w:val="en-US" w:eastAsia="zh-CN"/>
        </w:rPr>
        <w:t>加强水源地保护。开展饮用水水</w:t>
      </w:r>
      <w:r>
        <w:rPr>
          <w:rFonts w:hint="eastAsia"/>
          <w:highlight w:val="none"/>
          <w:lang w:val="en-US" w:eastAsia="zh-CN"/>
        </w:rPr>
        <w:t>源地</w:t>
      </w:r>
      <w:r>
        <w:rPr>
          <w:rFonts w:hint="default"/>
          <w:lang w:val="en-US" w:eastAsia="zh-CN"/>
        </w:rPr>
        <w:t>保护区规范化建设，推动水源地保护区优化调整，明确水源地保护范围，保障集中式饮用水水源地供水安全。加强对水源地的生态环境进行保护，以保证水源水质。对采水点划分出敏感区、禁止建设开发区和严格控制开发建设区，对植被进行严格保护，以增加水源涵养，增强抗灾能力。严守水源地保护规则。以达到保护和改善水源地水质的目的。</w:t>
      </w:r>
    </w:p>
    <w:p w14:paraId="53067716">
      <w:pPr>
        <w:bidi w:val="0"/>
        <w:rPr>
          <w:rFonts w:hint="default"/>
          <w:lang w:val="en-US" w:eastAsia="zh-CN"/>
        </w:rPr>
      </w:pPr>
      <w:r>
        <w:rPr>
          <w:rFonts w:hint="default"/>
          <w:lang w:val="en-US" w:eastAsia="zh-CN"/>
        </w:rPr>
        <w:t>强化河湖水域空间用途管制。水利部门划定河湖管理范围，落实到国土空间规划</w:t>
      </w:r>
      <w:r>
        <w:rPr>
          <w:rFonts w:hint="eastAsia"/>
          <w:lang w:val="en-US" w:eastAsia="zh-CN"/>
        </w:rPr>
        <w:t>“</w:t>
      </w:r>
      <w:r>
        <w:rPr>
          <w:rFonts w:hint="default"/>
          <w:lang w:val="en-US" w:eastAsia="zh-CN"/>
        </w:rPr>
        <w:t>一张图</w:t>
      </w:r>
      <w:r>
        <w:rPr>
          <w:rFonts w:hint="eastAsia"/>
          <w:lang w:val="en-US" w:eastAsia="zh-CN"/>
        </w:rPr>
        <w:t>”</w:t>
      </w:r>
      <w:r>
        <w:rPr>
          <w:rFonts w:hint="default"/>
          <w:lang w:val="en-US" w:eastAsia="zh-CN"/>
        </w:rPr>
        <w:t>，禁止违法违规侵占河湖水域空间。加强自然岸线保护，河道及岸线利用应当符合行洪、蓄洪和输水的要求。逐步退出影响行洪安全和供水安全的开发利用活动。</w:t>
      </w:r>
    </w:p>
    <w:p w14:paraId="091B69CF">
      <w:pPr>
        <w:pStyle w:val="4"/>
        <w:bidi w:val="0"/>
        <w:rPr>
          <w:rFonts w:hint="eastAsia"/>
          <w:lang w:val="en-US" w:eastAsia="zh-CN"/>
        </w:rPr>
      </w:pPr>
      <w:r>
        <w:rPr>
          <w:rFonts w:hint="eastAsia"/>
          <w:lang w:val="en-US" w:eastAsia="zh-CN"/>
        </w:rPr>
        <w:t>培育和利用森林资源</w:t>
      </w:r>
    </w:p>
    <w:p w14:paraId="3846D4AA">
      <w:pPr>
        <w:bidi w:val="0"/>
        <w:rPr>
          <w:rFonts w:hint="eastAsia"/>
        </w:rPr>
      </w:pPr>
      <w:r>
        <w:rPr>
          <w:rFonts w:hint="eastAsia"/>
        </w:rPr>
        <w:t>综合考虑生态重要性和敏感性，在生态功能重要区域、生态敏感脆弱区域等重点布局和建设生态公益林，加强</w:t>
      </w:r>
      <w:r>
        <w:rPr>
          <w:rFonts w:hint="eastAsia"/>
          <w:lang w:eastAsia="zh-CN"/>
        </w:rPr>
        <w:t>镇域</w:t>
      </w:r>
      <w:r>
        <w:rPr>
          <w:rFonts w:hint="eastAsia"/>
        </w:rPr>
        <w:t>内“四旁”林（路旁、水旁、村旁、宅旁）建设，促进防护林建设。规划到2035年，</w:t>
      </w:r>
      <w:r>
        <w:rPr>
          <w:rFonts w:hint="eastAsia"/>
          <w:lang w:eastAsia="zh-CN"/>
        </w:rPr>
        <w:t>全镇</w:t>
      </w:r>
      <w:r>
        <w:rPr>
          <w:rFonts w:hint="eastAsia"/>
        </w:rPr>
        <w:t>森林覆盖率不低于上级下达指标。</w:t>
      </w:r>
    </w:p>
    <w:p w14:paraId="2D613EDF">
      <w:pPr>
        <w:bidi w:val="0"/>
      </w:pPr>
      <w:bookmarkStart w:id="72" w:name="_Toc20919"/>
      <w:bookmarkStart w:id="73" w:name="_Toc23390"/>
      <w:r>
        <w:rPr>
          <w:rFonts w:hint="eastAsia"/>
        </w:rPr>
        <w:t>加强森林资源管护。</w:t>
      </w:r>
      <w:r>
        <w:t>坚持森林保护优先、保护与利用兼顾的原则</w:t>
      </w:r>
      <w:r>
        <w:rPr>
          <w:rFonts w:hint="eastAsia"/>
        </w:rPr>
        <w:t>。强化林地利用管理，严禁盗伐滥伐林木行为，严格执行森林采伐限额，继续执行全面停止天然林商业性采伐制度等措施。</w:t>
      </w:r>
    </w:p>
    <w:p w14:paraId="5E03E60F">
      <w:pPr>
        <w:bidi w:val="0"/>
      </w:pPr>
      <w:r>
        <w:t>严格实施林地用途管制</w:t>
      </w:r>
      <w:r>
        <w:rPr>
          <w:rFonts w:hint="eastAsia"/>
        </w:rPr>
        <w:t>。在不破坏地表植被、不影响生物多样性保护前提下，允许有限利用林地适度发展生态旅游、休闲康养、研学基地和营地、自然教育、特色种植养殖等绿色产业。</w:t>
      </w:r>
      <w:r>
        <w:t>各类建设必须占用林地时，必须按相关要求做好林地使用补偿措施，做到资金专户储存、专款专用、严肃财经纪律等。</w:t>
      </w:r>
    </w:p>
    <w:p w14:paraId="2E8C9080">
      <w:pPr>
        <w:bidi w:val="0"/>
        <w:rPr>
          <w:rFonts w:hint="eastAsia"/>
        </w:rPr>
      </w:pPr>
      <w:r>
        <w:rPr>
          <w:rFonts w:hint="default"/>
        </w:rPr>
        <w:t>科学合理安排绿化用地，落实造林绿化空间。</w:t>
      </w:r>
      <w:r>
        <w:rPr>
          <w:rFonts w:hint="eastAsia"/>
        </w:rPr>
        <w:t>以宜林荒山荒地、荒废和受损山体、退化林地草地等为主，将适宜造林绿化空间统筹确定为规划造林绿化空间，并落实到同级国土空间规划</w:t>
      </w:r>
      <w:r>
        <w:rPr>
          <w:rFonts w:hint="eastAsia"/>
          <w:lang w:eastAsia="zh-CN"/>
        </w:rPr>
        <w:t>“</w:t>
      </w:r>
      <w:r>
        <w:rPr>
          <w:rFonts w:hint="eastAsia"/>
        </w:rPr>
        <w:t>一张图</w:t>
      </w:r>
      <w:r>
        <w:rPr>
          <w:rFonts w:hint="eastAsia"/>
          <w:lang w:eastAsia="zh-CN"/>
        </w:rPr>
        <w:t>”</w:t>
      </w:r>
      <w:r>
        <w:rPr>
          <w:rFonts w:hint="eastAsia"/>
        </w:rPr>
        <w:t>上。</w:t>
      </w:r>
    </w:p>
    <w:p w14:paraId="574301B2">
      <w:pPr>
        <w:pStyle w:val="4"/>
        <w:bidi w:val="0"/>
        <w:rPr>
          <w:rFonts w:hint="eastAsia"/>
          <w:lang w:val="en-US" w:eastAsia="zh-CN"/>
        </w:rPr>
      </w:pPr>
      <w:r>
        <w:rPr>
          <w:rFonts w:hint="eastAsia"/>
          <w:lang w:val="en-US" w:eastAsia="zh-CN"/>
        </w:rPr>
        <w:t>湿地资源</w:t>
      </w:r>
      <w:bookmarkEnd w:id="72"/>
      <w:bookmarkEnd w:id="73"/>
      <w:r>
        <w:rPr>
          <w:rFonts w:hint="eastAsia"/>
          <w:lang w:val="en-US" w:eastAsia="zh-CN"/>
        </w:rPr>
        <w:t>保护与利用</w:t>
      </w:r>
    </w:p>
    <w:p w14:paraId="431D363A">
      <w:pPr>
        <w:bidi w:val="0"/>
        <w:rPr>
          <w:rFonts w:hint="eastAsia"/>
        </w:rPr>
      </w:pPr>
      <w:r>
        <w:rPr>
          <w:rFonts w:hint="eastAsia"/>
          <w:lang w:val="en-US" w:eastAsia="zh-CN"/>
        </w:rPr>
        <w:t>至2035年，悦来镇全域湿地面积2281.61公顷，</w:t>
      </w:r>
      <w:r>
        <w:rPr>
          <w:rFonts w:hint="eastAsia"/>
          <w:lang w:eastAsia="zh-CN"/>
        </w:rPr>
        <w:t>全镇</w:t>
      </w:r>
      <w:r>
        <w:rPr>
          <w:rFonts w:hint="eastAsia"/>
          <w:lang w:val="en-US" w:eastAsia="zh-CN"/>
        </w:rPr>
        <w:t>湿地</w:t>
      </w:r>
      <w:r>
        <w:rPr>
          <w:rFonts w:hint="eastAsia"/>
        </w:rPr>
        <w:t>覆盖率不低于上级下达指标。</w:t>
      </w:r>
    </w:p>
    <w:p w14:paraId="26E395D8">
      <w:pPr>
        <w:bidi w:val="0"/>
        <w:rPr>
          <w:rFonts w:hint="eastAsia"/>
          <w:lang w:val="en-US" w:eastAsia="zh-CN"/>
        </w:rPr>
      </w:pPr>
      <w:r>
        <w:rPr>
          <w:rFonts w:hint="eastAsia"/>
          <w:lang w:val="en-US" w:eastAsia="zh-CN"/>
        </w:rPr>
        <w:t>坚持“全面保护、生态优先、突出重点、合理利用、可持续发展”的方针，最大限度维护湿地生物多样性及湿地生态系统结构和功能的完整性，严格落实总量控制与限额使用、依法占用、占补平衡、生态补偿等湿地管理制度，确保镇域湿地面积不减少、湿地性质不改变、湿地功能不破坏、湿地质量不降低。以更好地保护生物多样性，增加空气的湿度和美化环境，增强湿地的水文调节和水循环功能。</w:t>
      </w:r>
    </w:p>
    <w:p w14:paraId="7B5DCD8B">
      <w:pPr>
        <w:bidi w:val="0"/>
        <w:rPr>
          <w:rFonts w:hint="eastAsia"/>
          <w:lang w:val="en-US" w:eastAsia="zh-CN"/>
        </w:rPr>
      </w:pPr>
      <w:r>
        <w:rPr>
          <w:rFonts w:hint="eastAsia"/>
          <w:lang w:val="en-US" w:eastAsia="zh-CN"/>
        </w:rPr>
        <w:t>建立系统的湿地保护体系。建立由湿地自然保护区、湿地公园、小微湿地、外围湿地区和生态廊道构成的湿地及其生物多样性保护体系，推进湿地分区、分级、分类管理、范围优化和落界定标，重点完善湿地自然保护地相关基础设施。重点推进以松花江为主的湿地区域保护，按照河流湿地、湖泊湿地、沼泽湿地和人工湿地等类型分类制定具体保护措施，建立系统的湿地生态效益补偿机制，提升湿地保护管理能力。</w:t>
      </w:r>
    </w:p>
    <w:p w14:paraId="7AA58741">
      <w:pPr>
        <w:bidi w:val="0"/>
        <w:rPr>
          <w:rFonts w:hint="eastAsia"/>
          <w:lang w:val="en-US" w:eastAsia="zh-CN"/>
        </w:rPr>
      </w:pPr>
      <w:r>
        <w:rPr>
          <w:rFonts w:hint="eastAsia"/>
          <w:lang w:val="en-US" w:eastAsia="zh-CN"/>
        </w:rPr>
        <w:t>加强湿地监测体系建设。建设湿地监测中心，建立湿地监测点和湿地管理站，形成完善的湿地监测体系。</w:t>
      </w:r>
    </w:p>
    <w:p w14:paraId="1342A039">
      <w:pPr>
        <w:pStyle w:val="4"/>
        <w:bidi w:val="0"/>
        <w:rPr>
          <w:rFonts w:hint="eastAsia"/>
          <w:lang w:val="en-US" w:eastAsia="zh-CN"/>
        </w:rPr>
      </w:pPr>
      <w:bookmarkStart w:id="74" w:name="_Toc4720"/>
      <w:bookmarkStart w:id="75" w:name="_Toc25941"/>
      <w:r>
        <w:rPr>
          <w:rFonts w:hint="eastAsia"/>
          <w:lang w:val="en-US" w:eastAsia="zh-CN"/>
        </w:rPr>
        <w:t>草地资源保护与利用</w:t>
      </w:r>
      <w:bookmarkEnd w:id="74"/>
      <w:bookmarkEnd w:id="75"/>
    </w:p>
    <w:p w14:paraId="67B29203">
      <w:pPr>
        <w:bidi w:val="0"/>
        <w:rPr>
          <w:rFonts w:hint="eastAsia"/>
          <w:lang w:eastAsia="zh-CN"/>
        </w:rPr>
      </w:pPr>
      <w:r>
        <w:t>落实</w:t>
      </w:r>
      <w:r>
        <w:rPr>
          <w:rFonts w:hint="eastAsia"/>
          <w:lang w:val="en-US" w:eastAsia="zh-CN"/>
        </w:rPr>
        <w:t>县级</w:t>
      </w:r>
      <w:r>
        <w:t>封禁沙化土地保护区管理要求，加强草原用途管制。</w:t>
      </w:r>
      <w:r>
        <w:rPr>
          <w:rFonts w:hint="eastAsia"/>
          <w:lang w:val="en-US" w:eastAsia="zh-CN"/>
        </w:rPr>
        <w:t>悦来镇草地资源呈零散分布，至2035年，悦来镇全域草地面积40.74公顷</w:t>
      </w:r>
      <w:r>
        <w:rPr>
          <w:rFonts w:hint="eastAsia"/>
        </w:rPr>
        <w:t>，</w:t>
      </w:r>
      <w:r>
        <w:rPr>
          <w:rFonts w:hint="eastAsia"/>
          <w:lang w:val="en-US" w:eastAsia="zh-CN"/>
        </w:rPr>
        <w:t>无</w:t>
      </w:r>
      <w:r>
        <w:rPr>
          <w:rFonts w:hint="eastAsia"/>
        </w:rPr>
        <w:t>基本草原</w:t>
      </w:r>
      <w:r>
        <w:rPr>
          <w:rFonts w:hint="eastAsia"/>
          <w:lang w:eastAsia="zh-CN"/>
        </w:rPr>
        <w:t>。</w:t>
      </w:r>
    </w:p>
    <w:p w14:paraId="6CB9BDB4">
      <w:pPr>
        <w:bidi w:val="0"/>
        <w:rPr>
          <w:rFonts w:hint="eastAsia"/>
        </w:rPr>
      </w:pPr>
      <w:r>
        <w:t>加大草地资源保护</w:t>
      </w:r>
      <w:r>
        <w:rPr>
          <w:rFonts w:hint="eastAsia"/>
          <w:lang w:eastAsia="zh-CN"/>
        </w:rPr>
        <w:t>。</w:t>
      </w:r>
      <w:r>
        <w:t>防止</w:t>
      </w:r>
      <w:r>
        <w:rPr>
          <w:rFonts w:hint="eastAsia"/>
        </w:rPr>
        <w:t>天然、人工牧草地</w:t>
      </w:r>
      <w:r>
        <w:t>因耕地开垦、城市扩张、修路开矿等而被破坏。</w:t>
      </w:r>
      <w:r>
        <w:rPr>
          <w:rFonts w:hint="eastAsia"/>
        </w:rPr>
        <w:t>实施更加严格</w:t>
      </w:r>
      <w:r>
        <w:rPr>
          <w:rFonts w:hint="eastAsia"/>
          <w:highlight w:val="none"/>
          <w:lang w:eastAsia="zh-CN"/>
        </w:rPr>
        <w:t>地</w:t>
      </w:r>
      <w:r>
        <w:rPr>
          <w:rFonts w:hint="eastAsia"/>
        </w:rPr>
        <w:t>保护和管理，确保基本草原面积不减少、质量不下降、用途不改变。严厉打击、坚决遏制各类非法挤占草原生态空间、乱开滥垦草原等行为。加强矿藏开采、工程建设等征占用草原审核审批管理，强化源头管控和事中事后监管。完善落实禁牧休牧和草畜平衡制度，依法查处超载过牧和禁牧休牧期违规放牧行为。</w:t>
      </w:r>
    </w:p>
    <w:p w14:paraId="4A3F6AA1">
      <w:pPr>
        <w:bidi w:val="0"/>
      </w:pPr>
      <w:r>
        <w:rPr>
          <w:rFonts w:hint="eastAsia"/>
          <w:lang w:val="en-US" w:eastAsia="zh-CN"/>
        </w:rPr>
        <w:t>加快推进天然、人工牧草地恢复。加快退化草原植被和土壤恢复，提升草原生态功能和生产功能。在水土条件适宜地区，实施退化草原生态修复，鼓励和支持人工草地建设，恢复提升草原生产能力，支持优质储备饲草基地建设，促进草原生态修复与草原畜牧业高质量发展有机融合。强化草原生物灾害监测预警，加强草原有害生物及外来入侵物种防治，不断提高绿色防治水平。</w:t>
      </w:r>
    </w:p>
    <w:p w14:paraId="600599D5">
      <w:pPr>
        <w:pStyle w:val="4"/>
        <w:bidi w:val="0"/>
        <w:rPr>
          <w:rFonts w:hint="eastAsia"/>
          <w:lang w:val="en-US" w:eastAsia="zh-CN"/>
        </w:rPr>
      </w:pPr>
      <w:r>
        <w:rPr>
          <w:rFonts w:hint="eastAsia"/>
          <w:lang w:val="en-US" w:eastAsia="zh-CN"/>
        </w:rPr>
        <w:t>矿产资源保护与利用</w:t>
      </w:r>
    </w:p>
    <w:p w14:paraId="75366867">
      <w:pPr>
        <w:bidi w:val="0"/>
      </w:pPr>
      <w:bookmarkStart w:id="76" w:name="_Hlk175296746"/>
      <w:r>
        <w:t>矿产资源供给与保障能力进一步提升；矿产资源开发利用结构和布局进一步优化；主要矿产资源节约集约利用水平有效提升；矿产资源领域治理体系和治理能力得到进一步完善；矿业产业与经济社会、生态文明协调发展的新格局基本建成</w:t>
      </w:r>
      <w:bookmarkEnd w:id="76"/>
      <w:r>
        <w:t>。</w:t>
      </w:r>
    </w:p>
    <w:p w14:paraId="7D2F5FF0">
      <w:pPr>
        <w:pStyle w:val="4"/>
        <w:bidi w:val="0"/>
        <w:rPr>
          <w:rFonts w:hint="eastAsia"/>
          <w:lang w:val="en-US" w:eastAsia="zh-CN"/>
        </w:rPr>
      </w:pPr>
      <w:r>
        <w:rPr>
          <w:rFonts w:hint="eastAsia"/>
          <w:lang w:val="en-US" w:eastAsia="zh-CN"/>
        </w:rPr>
        <w:t>绿色矿山建设</w:t>
      </w:r>
    </w:p>
    <w:p w14:paraId="5FF99F78">
      <w:pPr>
        <w:bidi w:val="0"/>
        <w:rPr>
          <w:rFonts w:hint="eastAsia"/>
          <w:lang w:val="en-US" w:eastAsia="zh-CN"/>
        </w:rPr>
      </w:pPr>
      <w:bookmarkStart w:id="77" w:name="_Hlk175296766"/>
      <w:r>
        <w:rPr>
          <w:rFonts w:hint="eastAsia"/>
          <w:lang w:val="en-US" w:eastAsia="zh-CN"/>
        </w:rPr>
        <w:t>围绕桦川县域矿产资源勘查开发区域布局，重点推动绿色矿山建设。</w:t>
      </w:r>
      <w:bookmarkEnd w:id="77"/>
    </w:p>
    <w:p w14:paraId="5D6A981F">
      <w:pPr>
        <w:pStyle w:val="29"/>
        <w:keepNext/>
        <w:keepLines/>
        <w:pageBreakBefore w:val="0"/>
        <w:widowControl w:val="0"/>
        <w:numPr>
          <w:ilvl w:val="0"/>
          <w:numId w:val="11"/>
        </w:numPr>
        <w:tabs>
          <w:tab w:val="left" w:pos="420"/>
        </w:tabs>
        <w:kinsoku/>
        <w:wordWrap/>
        <w:overflowPunct/>
        <w:topLinePunct w:val="0"/>
        <w:autoSpaceDE/>
        <w:autoSpaceDN/>
        <w:bidi w:val="0"/>
        <w:adjustRightInd/>
        <w:snapToGrid/>
        <w:ind w:left="0" w:firstLine="0"/>
        <w:textAlignment w:val="auto"/>
        <w:rPr>
          <w:rFonts w:hint="eastAsia"/>
          <w:lang w:val="en-US" w:eastAsia="zh-CN"/>
        </w:rPr>
      </w:pPr>
      <w:bookmarkStart w:id="78" w:name="_Toc2496"/>
      <w:bookmarkStart w:id="79" w:name="_Toc1564"/>
      <w:r>
        <w:rPr>
          <w:rFonts w:hint="eastAsia"/>
          <w:lang w:val="en-US" w:eastAsia="zh-CN"/>
        </w:rPr>
        <w:t>构建镇村空间开发格局</w:t>
      </w:r>
      <w:bookmarkEnd w:id="78"/>
      <w:bookmarkEnd w:id="79"/>
    </w:p>
    <w:p w14:paraId="2F52C9B5">
      <w:pPr>
        <w:pStyle w:val="4"/>
        <w:bidi w:val="0"/>
        <w:rPr>
          <w:rFonts w:hint="default"/>
        </w:rPr>
      </w:pPr>
      <w:r>
        <w:rPr>
          <w:rFonts w:hint="eastAsia"/>
          <w:lang w:val="en-US" w:eastAsia="zh-CN"/>
        </w:rPr>
        <w:t>乡镇人口规模预测</w:t>
      </w:r>
    </w:p>
    <w:p w14:paraId="0372D2C2">
      <w:pPr>
        <w:bidi w:val="0"/>
        <w:rPr>
          <w:rFonts w:hint="eastAsia"/>
          <w:lang w:val="en-US" w:eastAsia="zh-CN"/>
        </w:rPr>
      </w:pPr>
      <w:r>
        <w:rPr>
          <w:rFonts w:hint="eastAsia"/>
          <w:highlight w:val="none"/>
          <w:lang w:val="en-US" w:eastAsia="zh-CN"/>
        </w:rPr>
        <w:t>截至</w:t>
      </w:r>
      <w:r>
        <w:rPr>
          <w:rFonts w:hint="default"/>
          <w:lang w:val="en-US" w:eastAsia="zh-CN"/>
        </w:rPr>
        <w:t>2020年末</w:t>
      </w:r>
      <w:r>
        <w:rPr>
          <w:rFonts w:hint="eastAsia"/>
          <w:lang w:val="en-US" w:eastAsia="zh-CN"/>
        </w:rPr>
        <w:t>，悦来镇全域七普常住人口7.83万人，</w:t>
      </w:r>
      <w:r>
        <w:rPr>
          <w:rFonts w:hint="default"/>
        </w:rPr>
        <w:t>预计到2025年镇域常住人口约为</w:t>
      </w:r>
      <w:r>
        <w:rPr>
          <w:rFonts w:hint="eastAsia"/>
          <w:lang w:val="en-US" w:eastAsia="zh-CN"/>
        </w:rPr>
        <w:t>8.76</w:t>
      </w:r>
      <w:r>
        <w:rPr>
          <w:rFonts w:hint="default"/>
        </w:rPr>
        <w:t>万人，到2035年镇域常住人口约为</w:t>
      </w:r>
      <w:r>
        <w:rPr>
          <w:rFonts w:hint="eastAsia"/>
          <w:lang w:val="en-US" w:eastAsia="zh-CN"/>
        </w:rPr>
        <w:t>9.88</w:t>
      </w:r>
      <w:r>
        <w:rPr>
          <w:rFonts w:hint="default"/>
        </w:rPr>
        <w:t>万人</w:t>
      </w:r>
      <w:r>
        <w:rPr>
          <w:rFonts w:hint="eastAsia"/>
          <w:lang w:eastAsia="zh-CN"/>
        </w:rPr>
        <w:t>。</w:t>
      </w:r>
    </w:p>
    <w:p w14:paraId="55C4C7CC">
      <w:pPr>
        <w:bidi w:val="0"/>
        <w:rPr>
          <w:rFonts w:hint="default"/>
        </w:rPr>
      </w:pPr>
      <w:r>
        <w:rPr>
          <w:rFonts w:hint="eastAsia"/>
          <w:highlight w:val="none"/>
          <w:lang w:val="en-US" w:eastAsia="zh-CN"/>
        </w:rPr>
        <w:t>截至</w:t>
      </w:r>
      <w:r>
        <w:rPr>
          <w:rFonts w:hint="default"/>
          <w:lang w:val="en-US" w:eastAsia="zh-CN"/>
        </w:rPr>
        <w:t>2020年末</w:t>
      </w:r>
      <w:r>
        <w:rPr>
          <w:rFonts w:hint="eastAsia"/>
          <w:lang w:val="en-US" w:eastAsia="zh-CN"/>
        </w:rPr>
        <w:t>，悦来镇政府驻地常住人口约为4.36万人，</w:t>
      </w:r>
      <w:r>
        <w:rPr>
          <w:rFonts w:hint="default"/>
        </w:rPr>
        <w:t>预计到2025年镇区常住人口约为</w:t>
      </w:r>
      <w:r>
        <w:rPr>
          <w:rFonts w:hint="eastAsia"/>
          <w:lang w:val="en-US" w:eastAsia="zh-CN"/>
        </w:rPr>
        <w:t>5.60</w:t>
      </w:r>
      <w:r>
        <w:rPr>
          <w:rFonts w:hint="default"/>
        </w:rPr>
        <w:t>万人，到2035年镇区常住人口约为</w:t>
      </w:r>
      <w:r>
        <w:rPr>
          <w:rFonts w:hint="eastAsia"/>
          <w:lang w:val="en-US" w:eastAsia="zh-CN"/>
        </w:rPr>
        <w:t>7.50</w:t>
      </w:r>
      <w:r>
        <w:rPr>
          <w:rFonts w:hint="default"/>
        </w:rPr>
        <w:t>万人。</w:t>
      </w:r>
    </w:p>
    <w:p w14:paraId="5ACD04B6">
      <w:pPr>
        <w:pStyle w:val="4"/>
        <w:bidi w:val="0"/>
        <w:rPr>
          <w:rFonts w:hint="default"/>
          <w:lang w:val="en-US" w:eastAsia="zh-CN"/>
        </w:rPr>
      </w:pPr>
      <w:r>
        <w:rPr>
          <w:rFonts w:hint="default"/>
          <w:lang w:val="en-US" w:eastAsia="zh-CN"/>
        </w:rPr>
        <w:t>城镇化率预测</w:t>
      </w:r>
    </w:p>
    <w:p w14:paraId="3D1DEDE3">
      <w:pPr>
        <w:bidi w:val="0"/>
        <w:rPr>
          <w:rFonts w:hint="default"/>
          <w:lang w:val="en-US" w:eastAsia="zh-CN"/>
        </w:rPr>
      </w:pPr>
      <w:r>
        <w:rPr>
          <w:rFonts w:hint="eastAsia"/>
          <w:highlight w:val="none"/>
          <w:lang w:val="en-US" w:eastAsia="zh-CN"/>
        </w:rPr>
        <w:t>截至</w:t>
      </w:r>
      <w:r>
        <w:rPr>
          <w:rFonts w:hint="default"/>
          <w:lang w:val="en-US" w:eastAsia="zh-CN"/>
        </w:rPr>
        <w:t>2020年末，</w:t>
      </w:r>
      <w:r>
        <w:rPr>
          <w:rFonts w:hint="eastAsia"/>
          <w:lang w:val="en-US" w:eastAsia="zh-CN"/>
        </w:rPr>
        <w:t>悦来镇</w:t>
      </w:r>
      <w:r>
        <w:rPr>
          <w:rFonts w:hint="default"/>
          <w:lang w:val="en-US" w:eastAsia="zh-CN"/>
        </w:rPr>
        <w:t>城镇人口为</w:t>
      </w:r>
      <w:r>
        <w:rPr>
          <w:rFonts w:hint="eastAsia"/>
          <w:lang w:val="en-US" w:eastAsia="zh-CN"/>
        </w:rPr>
        <w:t>4.36万</w:t>
      </w:r>
      <w:r>
        <w:rPr>
          <w:rFonts w:hint="default"/>
          <w:lang w:val="en-US" w:eastAsia="zh-CN"/>
        </w:rPr>
        <w:t>人，</w:t>
      </w:r>
      <w:r>
        <w:rPr>
          <w:rFonts w:hint="eastAsia"/>
          <w:lang w:val="en-US" w:eastAsia="zh-CN"/>
        </w:rPr>
        <w:t>户籍人口</w:t>
      </w:r>
      <w:r>
        <w:rPr>
          <w:rFonts w:hint="default"/>
          <w:lang w:val="en-US" w:eastAsia="zh-CN"/>
        </w:rPr>
        <w:t>城镇化率为</w:t>
      </w:r>
      <w:r>
        <w:rPr>
          <w:rFonts w:hint="eastAsia"/>
          <w:lang w:val="en-US" w:eastAsia="zh-CN"/>
        </w:rPr>
        <w:t>55.68</w:t>
      </w:r>
      <w:r>
        <w:rPr>
          <w:rFonts w:hint="default"/>
          <w:lang w:val="en-US" w:eastAsia="zh-CN"/>
        </w:rPr>
        <w:t>%</w:t>
      </w:r>
      <w:r>
        <w:rPr>
          <w:rFonts w:hint="eastAsia"/>
          <w:lang w:val="en-US" w:eastAsia="zh-CN"/>
        </w:rPr>
        <w:t>。</w:t>
      </w:r>
      <w:r>
        <w:rPr>
          <w:rFonts w:hint="default"/>
          <w:lang w:val="en-US" w:eastAsia="zh-CN"/>
        </w:rPr>
        <w:t>预测到2025年</w:t>
      </w:r>
      <w:r>
        <w:rPr>
          <w:rFonts w:hint="eastAsia"/>
          <w:lang w:val="en-US" w:eastAsia="zh-CN"/>
        </w:rPr>
        <w:t>悦来镇</w:t>
      </w:r>
      <w:r>
        <w:rPr>
          <w:rFonts w:hint="default"/>
          <w:lang w:val="en-US" w:eastAsia="zh-CN"/>
        </w:rPr>
        <w:t>城镇化率</w:t>
      </w:r>
      <w:r>
        <w:rPr>
          <w:rFonts w:hint="eastAsia"/>
          <w:lang w:val="en-US" w:eastAsia="zh-CN"/>
        </w:rPr>
        <w:t>58.60</w:t>
      </w:r>
      <w:r>
        <w:rPr>
          <w:rFonts w:hint="default"/>
          <w:lang w:val="en-US" w:eastAsia="zh-CN"/>
        </w:rPr>
        <w:t>%，到2035年城镇化率</w:t>
      </w:r>
      <w:r>
        <w:rPr>
          <w:rFonts w:hint="eastAsia"/>
          <w:lang w:val="en-US" w:eastAsia="zh-CN"/>
        </w:rPr>
        <w:t>65.90</w:t>
      </w:r>
      <w:r>
        <w:rPr>
          <w:rFonts w:hint="default"/>
          <w:lang w:val="en-US" w:eastAsia="zh-CN"/>
        </w:rPr>
        <w:t>%。</w:t>
      </w:r>
    </w:p>
    <w:p w14:paraId="78FC8876">
      <w:pPr>
        <w:pStyle w:val="4"/>
        <w:bidi w:val="0"/>
        <w:rPr>
          <w:rFonts w:hint="default"/>
        </w:rPr>
      </w:pPr>
      <w:r>
        <w:rPr>
          <w:rFonts w:hint="default"/>
        </w:rPr>
        <w:t>构建镇村等级体系</w:t>
      </w:r>
    </w:p>
    <w:p w14:paraId="1056ECED">
      <w:pPr>
        <w:bidi w:val="0"/>
        <w:rPr>
          <w:rFonts w:hint="default"/>
        </w:rPr>
      </w:pPr>
      <w:r>
        <w:rPr>
          <w:rFonts w:hint="default"/>
        </w:rPr>
        <w:t>综合考虑乡镇当地人口规模、经济职能等因素，同时结合乡村振兴战略要求，在村庄分类调整的基础上规划形成镇区、中心村和基层村三级镇村等级体系：</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0"/>
        <w:gridCol w:w="6163"/>
      </w:tblGrid>
      <w:tr w14:paraId="16E9A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5000" w:type="pct"/>
            <w:gridSpan w:val="2"/>
            <w:vAlign w:val="center"/>
          </w:tcPr>
          <w:p w14:paraId="07F4654B">
            <w:pPr>
              <w:pStyle w:val="50"/>
              <w:bidi w:val="0"/>
              <w:rPr>
                <w:rFonts w:hint="eastAsia" w:ascii="Times New Roman" w:hAnsi="Times New Roman" w:cs="Times New Roman"/>
                <w:b w:val="0"/>
                <w:bCs w:val="0"/>
                <w:color w:val="auto"/>
                <w:highlight w:val="none"/>
                <w:lang w:val="en-US" w:eastAsia="zh-CN"/>
              </w:rPr>
            </w:pPr>
            <w:r>
              <w:rPr>
                <w:rFonts w:hint="default"/>
                <w:lang w:val="en-US" w:eastAsia="zh-CN"/>
              </w:rPr>
              <w:t>专栏</w:t>
            </w:r>
            <w:r>
              <w:rPr>
                <w:rFonts w:hint="eastAsia"/>
                <w:lang w:val="en-US" w:eastAsia="zh-CN"/>
              </w:rPr>
              <w:t>2：镇村等级体系</w:t>
            </w:r>
            <w:r>
              <w:rPr>
                <w:rFonts w:hint="default"/>
                <w:lang w:val="en-US" w:eastAsia="zh-CN"/>
              </w:rPr>
              <w:t>一览表</w:t>
            </w:r>
          </w:p>
        </w:tc>
      </w:tr>
      <w:tr w14:paraId="656B3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0" w:type="pct"/>
            <w:vAlign w:val="center"/>
          </w:tcPr>
          <w:p w14:paraId="3A8F741E">
            <w:pPr>
              <w:pStyle w:val="51"/>
              <w:bidi w:val="0"/>
              <w:ind w:left="0" w:leftChars="0" w:firstLine="0" w:firstLineChars="0"/>
              <w:jc w:val="center"/>
              <w:rPr>
                <w:rFonts w:hint="eastAsia" w:ascii="Times New Roman" w:hAnsi="Times New Roman"/>
                <w:lang w:val="en-US" w:eastAsia="zh-CN"/>
              </w:rPr>
            </w:pPr>
            <w:r>
              <w:rPr>
                <w:rFonts w:hint="eastAsia" w:ascii="Times New Roman" w:hAnsi="Times New Roman"/>
                <w:lang w:val="en-US" w:eastAsia="zh-CN"/>
              </w:rPr>
              <w:t>等级</w:t>
            </w:r>
          </w:p>
        </w:tc>
        <w:tc>
          <w:tcPr>
            <w:tcW w:w="3619" w:type="pct"/>
            <w:vAlign w:val="center"/>
          </w:tcPr>
          <w:p w14:paraId="5D9F6BB8">
            <w:pPr>
              <w:pStyle w:val="51"/>
              <w:bidi w:val="0"/>
              <w:ind w:left="0" w:leftChars="0" w:firstLine="0" w:firstLineChars="0"/>
              <w:jc w:val="center"/>
              <w:rPr>
                <w:rFonts w:hint="eastAsia" w:ascii="Times New Roman" w:hAnsi="Times New Roman"/>
                <w:lang w:val="en-US" w:eastAsia="zh-CN"/>
              </w:rPr>
            </w:pPr>
            <w:r>
              <w:rPr>
                <w:rFonts w:hint="eastAsia" w:ascii="Times New Roman" w:hAnsi="Times New Roman"/>
                <w:lang w:val="en-US" w:eastAsia="zh-CN"/>
              </w:rPr>
              <w:t>名称</w:t>
            </w:r>
          </w:p>
        </w:tc>
      </w:tr>
      <w:tr w14:paraId="212A0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0" w:type="pct"/>
            <w:vAlign w:val="center"/>
          </w:tcPr>
          <w:p w14:paraId="158FC8FA">
            <w:pPr>
              <w:pStyle w:val="51"/>
              <w:bidi w:val="0"/>
              <w:ind w:left="0" w:leftChars="0" w:firstLine="0" w:firstLineChars="0"/>
              <w:jc w:val="center"/>
              <w:rPr>
                <w:rFonts w:hint="eastAsia" w:ascii="Times New Roman" w:hAnsi="Times New Roman"/>
                <w:lang w:val="en-US" w:eastAsia="zh-CN"/>
              </w:rPr>
            </w:pPr>
            <w:r>
              <w:rPr>
                <w:rFonts w:hint="eastAsia" w:ascii="Times New Roman" w:hAnsi="Times New Roman"/>
                <w:lang w:val="en-US" w:eastAsia="zh-CN"/>
              </w:rPr>
              <w:t>镇区</w:t>
            </w:r>
          </w:p>
        </w:tc>
        <w:tc>
          <w:tcPr>
            <w:tcW w:w="3619" w:type="pct"/>
            <w:vAlign w:val="center"/>
          </w:tcPr>
          <w:p w14:paraId="15A952B6">
            <w:pPr>
              <w:pStyle w:val="51"/>
              <w:bidi w:val="0"/>
              <w:ind w:left="0" w:leftChars="0" w:firstLine="0" w:firstLineChars="0"/>
              <w:jc w:val="center"/>
              <w:rPr>
                <w:rFonts w:hint="eastAsia" w:ascii="Times New Roman" w:hAnsi="Times New Roman"/>
                <w:lang w:val="en-US" w:eastAsia="zh-CN"/>
              </w:rPr>
            </w:pPr>
            <w:r>
              <w:rPr>
                <w:rFonts w:hint="eastAsia" w:ascii="Times New Roman" w:hAnsi="Times New Roman"/>
                <w:lang w:val="en-US" w:eastAsia="zh-CN"/>
              </w:rPr>
              <w:t>桦树村、敬夫村、冷云村、</w:t>
            </w:r>
          </w:p>
          <w:p w14:paraId="446B86B7">
            <w:pPr>
              <w:pStyle w:val="51"/>
              <w:bidi w:val="0"/>
              <w:ind w:left="0" w:leftChars="0" w:firstLine="0" w:firstLineChars="0"/>
              <w:jc w:val="center"/>
              <w:rPr>
                <w:rFonts w:hint="eastAsia" w:ascii="Times New Roman" w:hAnsi="Times New Roman"/>
                <w:lang w:val="en-US" w:eastAsia="zh-CN"/>
              </w:rPr>
            </w:pPr>
            <w:r>
              <w:rPr>
                <w:rFonts w:hint="eastAsia" w:ascii="Times New Roman" w:hAnsi="Times New Roman"/>
                <w:lang w:val="en-US" w:eastAsia="zh-CN"/>
              </w:rPr>
              <w:t>悦东村、悦江村、悦胜村</w:t>
            </w:r>
            <w:r>
              <w:rPr>
                <w:rFonts w:hint="default" w:ascii="Times New Roman" w:hAnsi="Times New Roman"/>
                <w:lang w:val="en-US" w:eastAsia="zh-CN"/>
              </w:rPr>
              <w:t>、悦强村</w:t>
            </w:r>
          </w:p>
        </w:tc>
      </w:tr>
      <w:tr w14:paraId="11B31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380" w:type="pct"/>
            <w:vAlign w:val="center"/>
          </w:tcPr>
          <w:p w14:paraId="59777A66">
            <w:pPr>
              <w:pStyle w:val="51"/>
              <w:bidi w:val="0"/>
              <w:ind w:left="0" w:leftChars="0" w:firstLine="0" w:firstLineChars="0"/>
              <w:jc w:val="center"/>
              <w:rPr>
                <w:rFonts w:hint="default" w:ascii="Times New Roman" w:hAnsi="Times New Roman"/>
                <w:lang w:val="en-US" w:eastAsia="zh-CN"/>
              </w:rPr>
            </w:pPr>
            <w:r>
              <w:rPr>
                <w:rFonts w:hint="eastAsia" w:ascii="Times New Roman" w:hAnsi="Times New Roman"/>
                <w:lang w:val="en-US" w:eastAsia="zh-CN"/>
              </w:rPr>
              <w:t>中心村</w:t>
            </w:r>
          </w:p>
        </w:tc>
        <w:tc>
          <w:tcPr>
            <w:tcW w:w="3619" w:type="pct"/>
            <w:vAlign w:val="center"/>
          </w:tcPr>
          <w:p w14:paraId="561DC5C0">
            <w:pPr>
              <w:pStyle w:val="51"/>
              <w:bidi w:val="0"/>
              <w:ind w:left="0" w:leftChars="0" w:firstLine="0" w:firstLineChars="0"/>
              <w:jc w:val="center"/>
              <w:rPr>
                <w:rFonts w:hint="default" w:ascii="Times New Roman" w:hAnsi="Times New Roman"/>
                <w:lang w:val="en-US" w:eastAsia="zh-CN"/>
              </w:rPr>
            </w:pPr>
            <w:r>
              <w:rPr>
                <w:rFonts w:hint="eastAsia" w:ascii="Times New Roman" w:hAnsi="Times New Roman"/>
                <w:lang w:val="en-US" w:eastAsia="zh-CN"/>
              </w:rPr>
              <w:t>万升村、双兴村、</w:t>
            </w:r>
            <w:r>
              <w:rPr>
                <w:rFonts w:hint="default" w:ascii="Times New Roman" w:hAnsi="Times New Roman"/>
                <w:lang w:val="en-US" w:eastAsia="zh-CN"/>
              </w:rPr>
              <w:t>中和村、孟家岗村</w:t>
            </w:r>
          </w:p>
        </w:tc>
      </w:tr>
      <w:tr w14:paraId="1CF3B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exact"/>
        </w:trPr>
        <w:tc>
          <w:tcPr>
            <w:tcW w:w="1380" w:type="pct"/>
            <w:vAlign w:val="center"/>
          </w:tcPr>
          <w:p w14:paraId="4E49EE7D">
            <w:pPr>
              <w:pStyle w:val="51"/>
              <w:bidi w:val="0"/>
              <w:ind w:left="0" w:leftChars="0" w:firstLine="0" w:firstLineChars="0"/>
              <w:jc w:val="center"/>
              <w:rPr>
                <w:rFonts w:hint="default" w:ascii="Times New Roman" w:hAnsi="Times New Roman"/>
                <w:lang w:val="en-US" w:eastAsia="zh-CN"/>
              </w:rPr>
            </w:pPr>
            <w:r>
              <w:rPr>
                <w:rFonts w:hint="eastAsia" w:ascii="Times New Roman" w:hAnsi="Times New Roman"/>
                <w:lang w:val="en-US" w:eastAsia="zh-CN"/>
              </w:rPr>
              <w:t>基层村</w:t>
            </w:r>
          </w:p>
        </w:tc>
        <w:tc>
          <w:tcPr>
            <w:tcW w:w="3619" w:type="pct"/>
            <w:vAlign w:val="center"/>
          </w:tcPr>
          <w:p w14:paraId="7D5E4C4B">
            <w:pPr>
              <w:pStyle w:val="51"/>
              <w:bidi w:val="0"/>
              <w:ind w:left="0" w:leftChars="0" w:firstLine="0" w:firstLineChars="0"/>
              <w:jc w:val="center"/>
              <w:rPr>
                <w:rFonts w:hint="default" w:ascii="Times New Roman" w:hAnsi="Times New Roman"/>
                <w:lang w:val="en-US" w:eastAsia="zh-CN"/>
              </w:rPr>
            </w:pPr>
            <w:r>
              <w:rPr>
                <w:rFonts w:hint="default" w:ascii="Times New Roman" w:hAnsi="Times New Roman"/>
                <w:lang w:val="en-US" w:eastAsia="zh-CN"/>
              </w:rPr>
              <w:t>东兴村、苏苏村、万里河村、</w:t>
            </w:r>
          </w:p>
          <w:p w14:paraId="77DA0E76">
            <w:pPr>
              <w:pStyle w:val="51"/>
              <w:bidi w:val="0"/>
              <w:ind w:left="0" w:leftChars="0" w:firstLine="0" w:firstLineChars="0"/>
              <w:jc w:val="center"/>
              <w:rPr>
                <w:rFonts w:hint="default" w:ascii="Times New Roman" w:hAnsi="Times New Roman"/>
                <w:lang w:val="en-US" w:eastAsia="zh-CN"/>
              </w:rPr>
            </w:pPr>
            <w:r>
              <w:rPr>
                <w:rFonts w:hint="default" w:ascii="Times New Roman" w:hAnsi="Times New Roman"/>
                <w:lang w:val="en-US" w:eastAsia="zh-CN"/>
              </w:rPr>
              <w:t>汶澄村、马库力村</w:t>
            </w:r>
          </w:p>
        </w:tc>
      </w:tr>
    </w:tbl>
    <w:p w14:paraId="32F04D77">
      <w:pPr>
        <w:pStyle w:val="4"/>
        <w:bidi w:val="0"/>
        <w:rPr>
          <w:rFonts w:hint="default"/>
        </w:rPr>
      </w:pPr>
      <w:r>
        <w:rPr>
          <w:rFonts w:hint="default"/>
        </w:rPr>
        <w:t>优化镇村职能分工</w:t>
      </w:r>
    </w:p>
    <w:p w14:paraId="172654A4">
      <w:pPr>
        <w:bidi w:val="0"/>
        <w:rPr>
          <w:rFonts w:hint="default"/>
        </w:rPr>
      </w:pPr>
      <w:r>
        <w:rPr>
          <w:rFonts w:hint="default"/>
        </w:rPr>
        <w:t>结合现状城镇职能特点，划分镇村职能分工为综合服务型，农业生产型、农旅融合型三类。其中，综合服务型村落是完善</w:t>
      </w:r>
      <w:r>
        <w:rPr>
          <w:rFonts w:hint="eastAsia"/>
          <w:lang w:val="en-US" w:eastAsia="zh-CN"/>
        </w:rPr>
        <w:t>悦来</w:t>
      </w:r>
      <w:r>
        <w:rPr>
          <w:rFonts w:hint="default"/>
        </w:rPr>
        <w:t>镇服务配套的重要节点与承载产业转型发展的战略要地，农业生产型村落是以种植业和畜牧业为主的现代农业种养示范基地，农旅融合型村落是推动休闲农业和乡村旅游蓬勃发展的重要依托。</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0"/>
        <w:gridCol w:w="6163"/>
      </w:tblGrid>
      <w:tr w14:paraId="37E7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00" w:type="pct"/>
            <w:gridSpan w:val="2"/>
            <w:vAlign w:val="center"/>
          </w:tcPr>
          <w:p w14:paraId="2D82E24B">
            <w:pPr>
              <w:pStyle w:val="50"/>
              <w:bidi w:val="0"/>
              <w:rPr>
                <w:rFonts w:hint="eastAsia" w:ascii="Times New Roman" w:hAnsi="Times New Roman" w:cs="Times New Roman"/>
                <w:highlight w:val="none"/>
                <w:lang w:val="en-US" w:eastAsia="zh-CN"/>
              </w:rPr>
            </w:pPr>
            <w:r>
              <w:rPr>
                <w:rFonts w:hint="default"/>
                <w:lang w:val="en-US" w:eastAsia="zh-CN"/>
              </w:rPr>
              <w:t>专栏</w:t>
            </w:r>
            <w:r>
              <w:rPr>
                <w:rFonts w:hint="eastAsia"/>
                <w:lang w:val="en-US" w:eastAsia="zh-CN"/>
              </w:rPr>
              <w:t>3：镇村</w:t>
            </w:r>
            <w:r>
              <w:rPr>
                <w:rFonts w:hint="default"/>
              </w:rPr>
              <w:t>职能</w:t>
            </w:r>
            <w:r>
              <w:rPr>
                <w:rFonts w:hint="eastAsia"/>
                <w:lang w:val="en-US" w:eastAsia="zh-CN"/>
              </w:rPr>
              <w:t>分工</w:t>
            </w:r>
            <w:r>
              <w:rPr>
                <w:rFonts w:hint="default"/>
              </w:rPr>
              <w:t>一览表</w:t>
            </w:r>
          </w:p>
        </w:tc>
      </w:tr>
      <w:tr w14:paraId="4D514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0" w:type="pct"/>
            <w:vAlign w:val="center"/>
          </w:tcPr>
          <w:p w14:paraId="7C9A75D1">
            <w:pPr>
              <w:pStyle w:val="51"/>
              <w:bidi w:val="0"/>
              <w:ind w:left="0" w:leftChars="0" w:firstLine="0" w:firstLineChars="0"/>
              <w:jc w:val="center"/>
              <w:rPr>
                <w:rFonts w:hint="default" w:ascii="Times New Roman" w:hAnsi="Times New Roman"/>
                <w:lang w:val="en-US" w:eastAsia="zh-CN"/>
              </w:rPr>
            </w:pPr>
            <w:r>
              <w:rPr>
                <w:rFonts w:hint="default" w:ascii="Times New Roman" w:hAnsi="Times New Roman"/>
                <w:lang w:val="en-US" w:eastAsia="zh-CN"/>
              </w:rPr>
              <w:t>职能类型</w:t>
            </w:r>
          </w:p>
        </w:tc>
        <w:tc>
          <w:tcPr>
            <w:tcW w:w="3619" w:type="pct"/>
            <w:vAlign w:val="center"/>
          </w:tcPr>
          <w:p w14:paraId="4C669BCA">
            <w:pPr>
              <w:pStyle w:val="51"/>
              <w:bidi w:val="0"/>
              <w:ind w:left="0" w:leftChars="0" w:firstLine="0" w:firstLineChars="0"/>
              <w:jc w:val="center"/>
              <w:rPr>
                <w:rFonts w:hint="eastAsia" w:ascii="Times New Roman" w:hAnsi="Times New Roman"/>
                <w:lang w:val="en-US" w:eastAsia="zh-CN"/>
              </w:rPr>
            </w:pPr>
            <w:r>
              <w:rPr>
                <w:rFonts w:hint="eastAsia" w:ascii="Times New Roman" w:hAnsi="Times New Roman"/>
                <w:lang w:val="en-US" w:eastAsia="zh-CN"/>
              </w:rPr>
              <w:t>名称</w:t>
            </w:r>
          </w:p>
        </w:tc>
      </w:tr>
      <w:tr w14:paraId="5642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0" w:type="pct"/>
            <w:vAlign w:val="center"/>
          </w:tcPr>
          <w:p w14:paraId="14A9931A">
            <w:pPr>
              <w:pStyle w:val="51"/>
              <w:bidi w:val="0"/>
              <w:ind w:left="0" w:leftChars="0" w:firstLine="0" w:firstLineChars="0"/>
              <w:jc w:val="center"/>
              <w:rPr>
                <w:rFonts w:hint="default" w:ascii="Times New Roman" w:hAnsi="Times New Roman"/>
                <w:lang w:val="en-US" w:eastAsia="zh-CN"/>
              </w:rPr>
            </w:pPr>
            <w:r>
              <w:rPr>
                <w:rFonts w:hint="default" w:ascii="Times New Roman" w:hAnsi="Times New Roman"/>
                <w:lang w:val="en-US" w:eastAsia="zh-CN"/>
              </w:rPr>
              <w:t>综合</w:t>
            </w:r>
            <w:r>
              <w:rPr>
                <w:rFonts w:hint="eastAsia" w:ascii="Times New Roman" w:hAnsi="Times New Roman"/>
                <w:lang w:val="en-US" w:eastAsia="zh-CN"/>
              </w:rPr>
              <w:t>服务</w:t>
            </w:r>
            <w:r>
              <w:rPr>
                <w:rFonts w:hint="default" w:ascii="Times New Roman" w:hAnsi="Times New Roman"/>
                <w:lang w:val="en-US" w:eastAsia="zh-CN"/>
              </w:rPr>
              <w:t>型</w:t>
            </w:r>
          </w:p>
        </w:tc>
        <w:tc>
          <w:tcPr>
            <w:tcW w:w="3619" w:type="pct"/>
            <w:vAlign w:val="center"/>
          </w:tcPr>
          <w:p w14:paraId="68D63FB5">
            <w:pPr>
              <w:pStyle w:val="51"/>
              <w:bidi w:val="0"/>
              <w:ind w:left="0" w:leftChars="0" w:firstLine="0" w:firstLineChars="0"/>
              <w:jc w:val="center"/>
              <w:rPr>
                <w:rFonts w:hint="eastAsia" w:ascii="Times New Roman" w:hAnsi="Times New Roman"/>
                <w:lang w:val="en-US" w:eastAsia="zh-CN"/>
              </w:rPr>
            </w:pPr>
            <w:r>
              <w:rPr>
                <w:rFonts w:hint="eastAsia" w:ascii="Times New Roman" w:hAnsi="Times New Roman"/>
                <w:lang w:val="en-US" w:eastAsia="zh-CN"/>
              </w:rPr>
              <w:t>桦树村、敬夫村、冷云村、</w:t>
            </w:r>
          </w:p>
          <w:p w14:paraId="1EF39865">
            <w:pPr>
              <w:pStyle w:val="51"/>
              <w:bidi w:val="0"/>
              <w:ind w:left="0" w:leftChars="0" w:firstLine="0" w:firstLineChars="0"/>
              <w:jc w:val="center"/>
              <w:rPr>
                <w:rFonts w:hint="default" w:ascii="Times New Roman" w:hAnsi="Times New Roman"/>
                <w:lang w:val="en-US" w:eastAsia="zh-CN"/>
              </w:rPr>
            </w:pPr>
            <w:r>
              <w:rPr>
                <w:rFonts w:hint="eastAsia" w:ascii="Times New Roman" w:hAnsi="Times New Roman"/>
                <w:lang w:val="en-US" w:eastAsia="zh-CN"/>
              </w:rPr>
              <w:t>悦东村、悦江村、悦胜村、</w:t>
            </w:r>
            <w:r>
              <w:rPr>
                <w:rFonts w:hint="default" w:ascii="Times New Roman" w:hAnsi="Times New Roman"/>
                <w:lang w:val="en-US" w:eastAsia="zh-CN"/>
              </w:rPr>
              <w:t>悦强村</w:t>
            </w:r>
          </w:p>
        </w:tc>
      </w:tr>
      <w:tr w14:paraId="55F3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0" w:type="pct"/>
            <w:vAlign w:val="center"/>
          </w:tcPr>
          <w:p w14:paraId="1CB7C85D">
            <w:pPr>
              <w:pStyle w:val="51"/>
              <w:bidi w:val="0"/>
              <w:ind w:left="0" w:leftChars="0" w:firstLine="0" w:firstLineChars="0"/>
              <w:jc w:val="center"/>
              <w:rPr>
                <w:rFonts w:hint="default" w:ascii="Times New Roman" w:hAnsi="Times New Roman"/>
                <w:lang w:val="en-US" w:eastAsia="zh-CN"/>
              </w:rPr>
            </w:pPr>
            <w:r>
              <w:rPr>
                <w:rFonts w:hint="eastAsia" w:ascii="Times New Roman" w:hAnsi="Times New Roman"/>
                <w:lang w:val="en-US" w:eastAsia="zh-CN"/>
              </w:rPr>
              <w:t>农业生产</w:t>
            </w:r>
            <w:r>
              <w:rPr>
                <w:rFonts w:hint="default" w:ascii="Times New Roman" w:hAnsi="Times New Roman"/>
                <w:lang w:val="en-US" w:eastAsia="zh-CN"/>
              </w:rPr>
              <w:t>型</w:t>
            </w:r>
          </w:p>
        </w:tc>
        <w:tc>
          <w:tcPr>
            <w:tcW w:w="3619" w:type="pct"/>
            <w:vAlign w:val="center"/>
          </w:tcPr>
          <w:p w14:paraId="2C9B3AA3">
            <w:pPr>
              <w:pStyle w:val="51"/>
              <w:bidi w:val="0"/>
              <w:ind w:left="0" w:leftChars="0" w:firstLine="0" w:firstLineChars="0"/>
              <w:jc w:val="center"/>
              <w:rPr>
                <w:rFonts w:hint="default" w:ascii="Times New Roman" w:hAnsi="Times New Roman"/>
                <w:lang w:val="en-US" w:eastAsia="zh-CN"/>
              </w:rPr>
            </w:pPr>
            <w:r>
              <w:rPr>
                <w:rFonts w:hint="eastAsia" w:ascii="Times New Roman" w:hAnsi="Times New Roman"/>
                <w:lang w:val="en-US" w:eastAsia="zh-CN"/>
              </w:rPr>
              <w:t>万升村、双兴村、</w:t>
            </w:r>
            <w:r>
              <w:rPr>
                <w:rFonts w:hint="default" w:ascii="Times New Roman" w:hAnsi="Times New Roman"/>
                <w:lang w:val="en-US" w:eastAsia="zh-CN"/>
              </w:rPr>
              <w:t>孟家岗村、</w:t>
            </w:r>
          </w:p>
          <w:p w14:paraId="1BD1428E">
            <w:pPr>
              <w:pStyle w:val="51"/>
              <w:bidi w:val="0"/>
              <w:ind w:left="0" w:leftChars="0" w:firstLine="0" w:firstLineChars="0"/>
              <w:jc w:val="center"/>
              <w:rPr>
                <w:rFonts w:hint="default" w:ascii="Times New Roman" w:hAnsi="Times New Roman"/>
                <w:lang w:val="en-US" w:eastAsia="zh-CN"/>
              </w:rPr>
            </w:pPr>
            <w:r>
              <w:rPr>
                <w:rFonts w:hint="default" w:ascii="Times New Roman" w:hAnsi="Times New Roman"/>
                <w:lang w:val="en-US" w:eastAsia="zh-CN"/>
              </w:rPr>
              <w:t>东兴村、苏苏村、汶澄村</w:t>
            </w:r>
          </w:p>
        </w:tc>
      </w:tr>
      <w:tr w14:paraId="26A1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0" w:type="pct"/>
            <w:vAlign w:val="center"/>
          </w:tcPr>
          <w:p w14:paraId="4E0B0A37">
            <w:pPr>
              <w:pStyle w:val="51"/>
              <w:bidi w:val="0"/>
              <w:ind w:left="0" w:leftChars="0" w:firstLine="0" w:firstLineChars="0"/>
              <w:jc w:val="center"/>
              <w:rPr>
                <w:rFonts w:hint="default" w:ascii="Times New Roman" w:hAnsi="Times New Roman"/>
                <w:lang w:val="en-US" w:eastAsia="zh-CN"/>
              </w:rPr>
            </w:pPr>
            <w:r>
              <w:rPr>
                <w:rFonts w:hint="eastAsia" w:ascii="Times New Roman" w:hAnsi="Times New Roman"/>
                <w:lang w:val="en-US" w:eastAsia="zh-CN"/>
              </w:rPr>
              <w:t>农</w:t>
            </w:r>
            <w:r>
              <w:rPr>
                <w:rFonts w:hint="default" w:ascii="Times New Roman" w:hAnsi="Times New Roman"/>
                <w:lang w:val="en-US" w:eastAsia="zh-CN"/>
              </w:rPr>
              <w:t>旅融合型</w:t>
            </w:r>
          </w:p>
        </w:tc>
        <w:tc>
          <w:tcPr>
            <w:tcW w:w="3619" w:type="pct"/>
            <w:vAlign w:val="center"/>
          </w:tcPr>
          <w:p w14:paraId="1CC7F845">
            <w:pPr>
              <w:pStyle w:val="51"/>
              <w:bidi w:val="0"/>
              <w:ind w:left="0" w:leftChars="0" w:firstLine="0" w:firstLineChars="0"/>
              <w:jc w:val="center"/>
              <w:rPr>
                <w:rFonts w:hint="default" w:ascii="Times New Roman" w:hAnsi="Times New Roman"/>
                <w:lang w:val="en-US" w:eastAsia="zh-CN"/>
              </w:rPr>
            </w:pPr>
            <w:r>
              <w:rPr>
                <w:rFonts w:hint="eastAsia" w:ascii="Times New Roman" w:hAnsi="Times New Roman"/>
                <w:lang w:val="en-US" w:eastAsia="zh-CN"/>
              </w:rPr>
              <w:t>中和村、</w:t>
            </w:r>
            <w:r>
              <w:rPr>
                <w:rFonts w:hint="default" w:ascii="Times New Roman" w:hAnsi="Times New Roman"/>
                <w:lang w:val="en-US" w:eastAsia="zh-CN"/>
              </w:rPr>
              <w:t>马库力村</w:t>
            </w:r>
            <w:r>
              <w:rPr>
                <w:rFonts w:hint="eastAsia" w:ascii="Times New Roman" w:hAnsi="Times New Roman"/>
                <w:lang w:val="en-US" w:eastAsia="zh-CN"/>
              </w:rPr>
              <w:t>、</w:t>
            </w:r>
            <w:r>
              <w:rPr>
                <w:rFonts w:hint="default" w:ascii="Times New Roman" w:hAnsi="Times New Roman"/>
                <w:lang w:val="en-US" w:eastAsia="zh-CN"/>
              </w:rPr>
              <w:t>万里河村</w:t>
            </w:r>
          </w:p>
        </w:tc>
      </w:tr>
    </w:tbl>
    <w:p w14:paraId="0C3B4543">
      <w:pPr>
        <w:pStyle w:val="4"/>
        <w:bidi w:val="0"/>
        <w:rPr>
          <w:rFonts w:hint="default"/>
          <w:lang w:val="en-US" w:eastAsia="zh-CN"/>
        </w:rPr>
      </w:pPr>
      <w:bookmarkStart w:id="80" w:name="_Toc22107"/>
      <w:r>
        <w:rPr>
          <w:rFonts w:hint="default"/>
          <w:lang w:val="en-US" w:eastAsia="zh-CN"/>
        </w:rPr>
        <w:t>提高建设用地利用效率</w:t>
      </w:r>
    </w:p>
    <w:p w14:paraId="05B36537">
      <w:pPr>
        <w:bidi w:val="0"/>
        <w:rPr>
          <w:rFonts w:hint="default"/>
        </w:rPr>
      </w:pPr>
      <w:r>
        <w:rPr>
          <w:rFonts w:hint="default"/>
        </w:rPr>
        <w:t>严格用地标准，优化建设用地结构和布局。积极开展城乡建设用地增减挂钩、工矿废弃地复垦，推动建设用地在城镇和农村内部、城乡之间合理流动，优化建设用地布局。</w:t>
      </w:r>
    </w:p>
    <w:bookmarkEnd w:id="80"/>
    <w:p w14:paraId="623DA3F2">
      <w:pPr>
        <w:pStyle w:val="4"/>
        <w:bidi w:val="0"/>
        <w:rPr>
          <w:rFonts w:hint="default"/>
        </w:rPr>
      </w:pPr>
      <w:r>
        <w:rPr>
          <w:rFonts w:hint="default"/>
        </w:rPr>
        <w:t>产业</w:t>
      </w:r>
      <w:r>
        <w:rPr>
          <w:rFonts w:hint="eastAsia"/>
          <w:lang w:val="en-US" w:eastAsia="zh-CN"/>
        </w:rPr>
        <w:t>发展目标</w:t>
      </w:r>
    </w:p>
    <w:p w14:paraId="735A25A3">
      <w:pPr>
        <w:bidi w:val="0"/>
        <w:rPr>
          <w:rFonts w:hint="default"/>
        </w:rPr>
      </w:pPr>
      <w:r>
        <w:rPr>
          <w:rFonts w:hint="default"/>
        </w:rPr>
        <w:t>加快现代农业和</w:t>
      </w:r>
      <w:r>
        <w:rPr>
          <w:rFonts w:hint="eastAsia"/>
          <w:lang w:val="en-US" w:eastAsia="zh-CN"/>
        </w:rPr>
        <w:t>绿色有机食品业、粮食和农副产品加工业、三</w:t>
      </w:r>
      <w:r>
        <w:rPr>
          <w:rFonts w:hint="default"/>
        </w:rPr>
        <w:t>大主导产业提质扩容，积极培育仓储物流与</w:t>
      </w:r>
      <w:r>
        <w:rPr>
          <w:rFonts w:hint="eastAsia"/>
          <w:lang w:val="en-US" w:eastAsia="zh-CN"/>
        </w:rPr>
        <w:t>居民服务</w:t>
      </w:r>
      <w:r>
        <w:rPr>
          <w:rFonts w:hint="default"/>
        </w:rPr>
        <w:t>等新兴产业，完善</w:t>
      </w:r>
      <w:r>
        <w:rPr>
          <w:rFonts w:hint="eastAsia"/>
          <w:lang w:val="en-US" w:eastAsia="zh-CN"/>
        </w:rPr>
        <w:t>悦来镇</w:t>
      </w:r>
      <w:r>
        <w:rPr>
          <w:rFonts w:hint="default"/>
        </w:rPr>
        <w:t>产业发展体系，到2035年将</w:t>
      </w:r>
      <w:r>
        <w:rPr>
          <w:rFonts w:hint="eastAsia"/>
          <w:lang w:val="en-US" w:eastAsia="zh-CN"/>
        </w:rPr>
        <w:t>悦来镇</w:t>
      </w:r>
      <w:r>
        <w:rPr>
          <w:rFonts w:hint="default"/>
        </w:rPr>
        <w:t>打造成为生态持续、经济集约、产城融合的现代化精品乡镇。</w:t>
      </w:r>
    </w:p>
    <w:p w14:paraId="03913C2D">
      <w:pPr>
        <w:pStyle w:val="4"/>
        <w:bidi w:val="0"/>
        <w:rPr>
          <w:rFonts w:hint="default"/>
        </w:rPr>
      </w:pPr>
      <w:r>
        <w:rPr>
          <w:rFonts w:hint="default"/>
        </w:rPr>
        <w:t>构建特色现代产业体系</w:t>
      </w:r>
    </w:p>
    <w:p w14:paraId="2947B6A2">
      <w:pPr>
        <w:bidi w:val="0"/>
        <w:rPr>
          <w:rFonts w:hint="default"/>
          <w:lang w:val="en-US" w:eastAsia="zh-CN"/>
        </w:rPr>
      </w:pPr>
      <w:r>
        <w:rPr>
          <w:rFonts w:hint="default"/>
        </w:rPr>
        <w:t>依托</w:t>
      </w:r>
      <w:r>
        <w:rPr>
          <w:rFonts w:hint="eastAsia"/>
          <w:lang w:val="en-US" w:eastAsia="zh-CN"/>
        </w:rPr>
        <w:t>悦来镇</w:t>
      </w:r>
      <w:r>
        <w:rPr>
          <w:rFonts w:hint="default"/>
        </w:rPr>
        <w:t>自身产业特征，规划形成</w:t>
      </w:r>
      <w:r>
        <w:rPr>
          <w:rFonts w:hint="eastAsia"/>
          <w:lang w:eastAsia="zh-CN"/>
        </w:rPr>
        <w:t>“</w:t>
      </w:r>
      <w:r>
        <w:rPr>
          <w:rFonts w:hint="eastAsia"/>
          <w:lang w:val="en-US" w:eastAsia="zh-CN"/>
        </w:rPr>
        <w:t>1</w:t>
      </w:r>
      <w:r>
        <w:rPr>
          <w:rFonts w:hint="default"/>
        </w:rPr>
        <w:t>+1+</w:t>
      </w:r>
      <w:r>
        <w:rPr>
          <w:rFonts w:hint="eastAsia"/>
          <w:lang w:val="en-US" w:eastAsia="zh-CN"/>
        </w:rPr>
        <w:t>N</w:t>
      </w:r>
      <w:r>
        <w:rPr>
          <w:rFonts w:hint="eastAsia"/>
          <w:lang w:eastAsia="zh-CN"/>
        </w:rPr>
        <w:t>”</w:t>
      </w:r>
      <w:r>
        <w:rPr>
          <w:rFonts w:hint="default"/>
        </w:rPr>
        <w:t>产业体</w:t>
      </w:r>
      <w:r>
        <w:rPr>
          <w:rFonts w:hint="default"/>
          <w:lang w:val="en-US" w:eastAsia="zh-CN"/>
        </w:rPr>
        <w:t>系。包括</w:t>
      </w:r>
      <w:r>
        <w:rPr>
          <w:rFonts w:hint="eastAsia"/>
          <w:lang w:val="en-US" w:eastAsia="zh-CN"/>
        </w:rPr>
        <w:t>1</w:t>
      </w:r>
      <w:r>
        <w:rPr>
          <w:rFonts w:hint="default"/>
          <w:lang w:val="en-US" w:eastAsia="zh-CN"/>
        </w:rPr>
        <w:t>个</w:t>
      </w:r>
      <w:r>
        <w:rPr>
          <w:rFonts w:hint="eastAsia"/>
          <w:lang w:val="en-US" w:eastAsia="zh-CN"/>
        </w:rPr>
        <w:t>基础</w:t>
      </w:r>
      <w:r>
        <w:rPr>
          <w:rFonts w:hint="default"/>
          <w:lang w:val="en-US" w:eastAsia="zh-CN"/>
        </w:rPr>
        <w:t>产业，1个特色产业以及</w:t>
      </w:r>
      <w:r>
        <w:rPr>
          <w:rFonts w:hint="eastAsia"/>
          <w:lang w:val="en-US" w:eastAsia="zh-CN"/>
        </w:rPr>
        <w:t>N</w:t>
      </w:r>
      <w:r>
        <w:rPr>
          <w:rFonts w:hint="default"/>
          <w:lang w:val="en-US" w:eastAsia="zh-CN"/>
        </w:rPr>
        <w:t>个</w:t>
      </w:r>
      <w:r>
        <w:rPr>
          <w:rFonts w:hint="eastAsia"/>
          <w:lang w:val="en-US" w:eastAsia="zh-CN"/>
        </w:rPr>
        <w:t>配套</w:t>
      </w:r>
      <w:r>
        <w:rPr>
          <w:rFonts w:hint="default"/>
          <w:lang w:val="en-US" w:eastAsia="zh-CN"/>
        </w:rPr>
        <w:t>产业。</w:t>
      </w:r>
    </w:p>
    <w:p w14:paraId="7668F9A5">
      <w:pPr>
        <w:bidi w:val="0"/>
        <w:rPr>
          <w:rFonts w:hint="eastAsia"/>
          <w:lang w:val="en-US" w:eastAsia="zh-CN"/>
        </w:rPr>
      </w:pPr>
      <w:r>
        <w:rPr>
          <w:rFonts w:hint="eastAsia"/>
          <w:lang w:val="en-US" w:eastAsia="zh-CN"/>
        </w:rPr>
        <w:t>悦来镇</w:t>
      </w:r>
      <w:r>
        <w:rPr>
          <w:rFonts w:hint="default"/>
          <w:lang w:val="en-US" w:eastAsia="zh-CN"/>
        </w:rPr>
        <w:t>未来产业发展应充分发挥现有优势，以现代农业为基础，粮食和</w:t>
      </w:r>
      <w:r>
        <w:rPr>
          <w:rFonts w:hint="eastAsia"/>
          <w:lang w:val="en-US" w:eastAsia="zh-CN"/>
        </w:rPr>
        <w:t>农副产品加工业</w:t>
      </w:r>
      <w:r>
        <w:rPr>
          <w:rFonts w:hint="default"/>
          <w:lang w:val="en-US" w:eastAsia="zh-CN"/>
        </w:rPr>
        <w:t>为支撑，以</w:t>
      </w:r>
      <w:r>
        <w:rPr>
          <w:rFonts w:hint="eastAsia"/>
          <w:lang w:val="en-US" w:eastAsia="zh-CN"/>
        </w:rPr>
        <w:t>绿色有机食品</w:t>
      </w:r>
      <w:r>
        <w:rPr>
          <w:rFonts w:hint="default"/>
          <w:lang w:val="en-US" w:eastAsia="zh-CN"/>
        </w:rPr>
        <w:t>为</w:t>
      </w:r>
      <w:r>
        <w:rPr>
          <w:rFonts w:hint="eastAsia"/>
          <w:lang w:val="en-US" w:eastAsia="zh-CN"/>
        </w:rPr>
        <w:t>引导</w:t>
      </w:r>
      <w:r>
        <w:rPr>
          <w:rFonts w:hint="default"/>
          <w:lang w:val="en-US" w:eastAsia="zh-CN"/>
        </w:rPr>
        <w:t>。</w:t>
      </w:r>
      <w:r>
        <w:rPr>
          <w:rFonts w:hint="eastAsia"/>
          <w:lang w:val="en-US" w:eastAsia="zh-CN"/>
        </w:rPr>
        <w:t>依托松花江水系</w:t>
      </w:r>
      <w:r>
        <w:rPr>
          <w:rFonts w:hint="eastAsia"/>
          <w:highlight w:val="none"/>
          <w:lang w:val="en-US" w:eastAsia="zh-CN"/>
        </w:rPr>
        <w:t>生态文明建设</w:t>
      </w:r>
      <w:r>
        <w:rPr>
          <w:rFonts w:hint="eastAsia"/>
          <w:lang w:val="en-US" w:eastAsia="zh-CN"/>
        </w:rPr>
        <w:t>，以此为支撑，构建以“生态</w:t>
      </w:r>
      <w:r>
        <w:rPr>
          <w:rFonts w:hint="default"/>
        </w:rPr>
        <w:t>+</w:t>
      </w:r>
      <w:r>
        <w:rPr>
          <w:rFonts w:hint="eastAsia"/>
          <w:lang w:val="en-US" w:eastAsia="zh-CN"/>
        </w:rPr>
        <w:t>，农业</w:t>
      </w:r>
      <w:r>
        <w:rPr>
          <w:rFonts w:hint="default"/>
        </w:rPr>
        <w:t>+</w:t>
      </w:r>
      <w:r>
        <w:rPr>
          <w:rFonts w:hint="eastAsia"/>
          <w:lang w:val="en-US" w:eastAsia="zh-CN"/>
        </w:rPr>
        <w:t>”为核心的“1</w:t>
      </w:r>
      <w:r>
        <w:rPr>
          <w:rFonts w:hint="default"/>
        </w:rPr>
        <w:t>+1+</w:t>
      </w:r>
      <w:r>
        <w:rPr>
          <w:rFonts w:hint="eastAsia"/>
          <w:lang w:val="en-US" w:eastAsia="zh-CN"/>
        </w:rPr>
        <w:t>N”的融合产业体系。</w:t>
      </w:r>
    </w:p>
    <w:p w14:paraId="76EE7DDA">
      <w:pPr>
        <w:bidi w:val="0"/>
        <w:rPr>
          <w:rFonts w:hint="default"/>
          <w:lang w:val="en-US" w:eastAsia="zh-CN"/>
        </w:rPr>
      </w:pPr>
      <w:r>
        <w:rPr>
          <w:rFonts w:hint="eastAsia"/>
          <w:lang w:val="en-US" w:eastAsia="zh-CN"/>
        </w:rPr>
        <w:t>“1”</w:t>
      </w:r>
      <w:r>
        <w:rPr>
          <w:rFonts w:hint="default"/>
          <w:lang w:val="en-US" w:eastAsia="zh-CN"/>
        </w:rPr>
        <w:t>：即现代农业和绿色有机食品业、粮食和农副产品加工业。改造提升三大支柱产业。</w:t>
      </w:r>
    </w:p>
    <w:p w14:paraId="28740DD7">
      <w:pPr>
        <w:bidi w:val="0"/>
        <w:rPr>
          <w:rFonts w:hint="default"/>
          <w:lang w:val="en-US" w:eastAsia="zh-CN"/>
        </w:rPr>
      </w:pPr>
      <w:r>
        <w:rPr>
          <w:rFonts w:hint="eastAsia"/>
          <w:lang w:val="en-US" w:eastAsia="zh-CN"/>
        </w:rPr>
        <w:t>“</w:t>
      </w:r>
      <w:r>
        <w:rPr>
          <w:rFonts w:hint="default"/>
          <w:lang w:val="en-US" w:eastAsia="zh-CN"/>
        </w:rPr>
        <w:t>1</w:t>
      </w:r>
      <w:r>
        <w:rPr>
          <w:rFonts w:hint="eastAsia"/>
          <w:lang w:val="en-US" w:eastAsia="zh-CN"/>
        </w:rPr>
        <w:t>”</w:t>
      </w:r>
      <w:r>
        <w:rPr>
          <w:rFonts w:hint="default"/>
          <w:lang w:val="en-US" w:eastAsia="zh-CN"/>
        </w:rPr>
        <w:t>：即</w:t>
      </w:r>
      <w:r>
        <w:rPr>
          <w:rFonts w:hint="eastAsia"/>
          <w:lang w:val="en-US" w:eastAsia="zh-CN"/>
        </w:rPr>
        <w:t>松花江水系生态文旅产业</w:t>
      </w:r>
      <w:r>
        <w:rPr>
          <w:rFonts w:hint="default"/>
          <w:lang w:val="en-US" w:eastAsia="zh-CN"/>
        </w:rPr>
        <w:t>。</w:t>
      </w:r>
      <w:r>
        <w:rPr>
          <w:rFonts w:hint="eastAsia"/>
          <w:lang w:val="en-US" w:eastAsia="zh-CN"/>
        </w:rPr>
        <w:t>做强特色产业</w:t>
      </w:r>
    </w:p>
    <w:p w14:paraId="2F36FAC8">
      <w:pPr>
        <w:bidi w:val="0"/>
        <w:rPr>
          <w:rFonts w:hint="default"/>
        </w:rPr>
      </w:pPr>
      <w:r>
        <w:rPr>
          <w:rFonts w:hint="eastAsia"/>
          <w:lang w:val="en-US" w:eastAsia="zh-CN"/>
        </w:rPr>
        <w:t>“N”</w:t>
      </w:r>
      <w:r>
        <w:rPr>
          <w:rFonts w:hint="default"/>
          <w:lang w:val="en-US" w:eastAsia="zh-CN"/>
        </w:rPr>
        <w:t>：即</w:t>
      </w:r>
      <w:r>
        <w:rPr>
          <w:rFonts w:hint="eastAsia"/>
          <w:lang w:val="en-US" w:eastAsia="zh-CN"/>
        </w:rPr>
        <w:t>围绕基础产业和主导产业提供配套服务的各类服务业。具体包括商业服务、物流仓储、产品加工、文旅宣传、休闲康养等，突出区位和交通优势，</w:t>
      </w:r>
      <w:r>
        <w:rPr>
          <w:rFonts w:hint="default"/>
          <w:lang w:val="en-US" w:eastAsia="zh-CN"/>
        </w:rPr>
        <w:t>积极培育潜力产业。</w:t>
      </w:r>
    </w:p>
    <w:p w14:paraId="7E01D81B">
      <w:pPr>
        <w:pStyle w:val="4"/>
        <w:bidi w:val="0"/>
        <w:rPr>
          <w:rFonts w:hint="default"/>
        </w:rPr>
      </w:pPr>
      <w:r>
        <w:rPr>
          <w:rFonts w:hint="default"/>
        </w:rPr>
        <w:t>优化产业空间布局</w:t>
      </w:r>
    </w:p>
    <w:p w14:paraId="325CCE08">
      <w:pPr>
        <w:bidi w:val="0"/>
        <w:rPr>
          <w:rFonts w:hint="default"/>
        </w:rPr>
      </w:pPr>
      <w:r>
        <w:rPr>
          <w:rFonts w:hint="default"/>
        </w:rPr>
        <w:t>规划构建</w:t>
      </w:r>
      <w:r>
        <w:rPr>
          <w:rFonts w:hint="eastAsia"/>
          <w:lang w:eastAsia="zh-CN"/>
        </w:rPr>
        <w:t>“</w:t>
      </w:r>
      <w:r>
        <w:rPr>
          <w:rFonts w:hint="default"/>
        </w:rPr>
        <w:t>一</w:t>
      </w:r>
      <w:r>
        <w:rPr>
          <w:rFonts w:hint="eastAsia"/>
          <w:lang w:val="en-US" w:eastAsia="zh-CN"/>
        </w:rPr>
        <w:t>心</w:t>
      </w:r>
      <w:r>
        <w:rPr>
          <w:rFonts w:hint="default"/>
        </w:rPr>
        <w:t>、</w:t>
      </w:r>
      <w:r>
        <w:rPr>
          <w:rFonts w:hint="eastAsia"/>
          <w:lang w:val="en-US" w:eastAsia="zh-CN"/>
        </w:rPr>
        <w:t>一轴、一</w:t>
      </w:r>
      <w:r>
        <w:rPr>
          <w:rFonts w:hint="default"/>
        </w:rPr>
        <w:t>带、</w:t>
      </w:r>
      <w:r>
        <w:rPr>
          <w:rFonts w:hint="eastAsia"/>
          <w:lang w:val="en-US" w:eastAsia="zh-CN"/>
        </w:rPr>
        <w:t>三</w:t>
      </w:r>
      <w:r>
        <w:rPr>
          <w:rFonts w:hint="default"/>
        </w:rPr>
        <w:t>区</w:t>
      </w:r>
      <w:r>
        <w:rPr>
          <w:rFonts w:hint="eastAsia"/>
          <w:lang w:eastAsia="zh-CN"/>
        </w:rPr>
        <w:t>”</w:t>
      </w:r>
      <w:r>
        <w:rPr>
          <w:rFonts w:hint="default"/>
        </w:rPr>
        <w:t>的产业空间新布局。</w:t>
      </w:r>
    </w:p>
    <w:p w14:paraId="65D5C927">
      <w:pPr>
        <w:bidi w:val="0"/>
        <w:rPr>
          <w:rFonts w:hint="eastAsia"/>
          <w:lang w:eastAsia="zh-CN"/>
        </w:rPr>
      </w:pPr>
      <w:r>
        <w:rPr>
          <w:rFonts w:hint="eastAsia"/>
        </w:rPr>
        <w:t>1.一</w:t>
      </w:r>
      <w:r>
        <w:rPr>
          <w:rFonts w:hint="eastAsia"/>
          <w:lang w:val="en-US" w:eastAsia="zh-CN"/>
        </w:rPr>
        <w:t>心</w:t>
      </w:r>
    </w:p>
    <w:p w14:paraId="79977196">
      <w:pPr>
        <w:bidi w:val="0"/>
        <w:rPr>
          <w:rFonts w:hint="eastAsia"/>
        </w:rPr>
      </w:pPr>
      <w:r>
        <w:rPr>
          <w:rFonts w:hint="eastAsia"/>
        </w:rPr>
        <w:t>重点依托悦来镇</w:t>
      </w:r>
      <w:r>
        <w:rPr>
          <w:rFonts w:hint="eastAsia"/>
          <w:lang w:eastAsia="zh-CN"/>
        </w:rPr>
        <w:t>镇政府驻地</w:t>
      </w:r>
      <w:r>
        <w:rPr>
          <w:rFonts w:hint="eastAsia"/>
        </w:rPr>
        <w:t>，打造生产服务中心。</w:t>
      </w:r>
    </w:p>
    <w:p w14:paraId="080CB0EA">
      <w:pPr>
        <w:bidi w:val="0"/>
        <w:rPr>
          <w:rFonts w:hint="eastAsia"/>
        </w:rPr>
      </w:pPr>
      <w:r>
        <w:rPr>
          <w:rFonts w:hint="eastAsia"/>
        </w:rPr>
        <w:t>2.</w:t>
      </w:r>
      <w:r>
        <w:rPr>
          <w:rFonts w:hint="eastAsia"/>
          <w:lang w:val="en-US" w:eastAsia="zh-CN"/>
        </w:rPr>
        <w:t>一轴</w:t>
      </w:r>
    </w:p>
    <w:p w14:paraId="1541BD36">
      <w:pPr>
        <w:bidi w:val="0"/>
        <w:rPr>
          <w:rFonts w:hint="eastAsia"/>
        </w:rPr>
      </w:pPr>
      <w:r>
        <w:rPr>
          <w:rFonts w:hint="eastAsia"/>
        </w:rPr>
        <w:t>沿国道G</w:t>
      </w:r>
      <w:r>
        <w:rPr>
          <w:rFonts w:hint="eastAsia"/>
          <w:lang w:val="en-US" w:eastAsia="zh-CN"/>
        </w:rPr>
        <w:t>22</w:t>
      </w:r>
      <w:r>
        <w:rPr>
          <w:rFonts w:hint="eastAsia"/>
        </w:rPr>
        <w:t>1</w:t>
      </w:r>
      <w:r>
        <w:rPr>
          <w:rFonts w:hint="eastAsia"/>
          <w:lang w:val="en-US" w:eastAsia="zh-CN"/>
        </w:rPr>
        <w:t>及国道G102</w:t>
      </w:r>
      <w:r>
        <w:rPr>
          <w:rFonts w:hint="eastAsia"/>
        </w:rPr>
        <w:t>形成的城镇</w:t>
      </w:r>
      <w:r>
        <w:rPr>
          <w:rFonts w:hint="eastAsia"/>
          <w:lang w:val="en-US" w:eastAsia="zh-CN"/>
        </w:rPr>
        <w:t>公路产业</w:t>
      </w:r>
      <w:r>
        <w:rPr>
          <w:rFonts w:hint="eastAsia"/>
        </w:rPr>
        <w:t>发展</w:t>
      </w:r>
      <w:r>
        <w:rPr>
          <w:rFonts w:hint="eastAsia"/>
          <w:lang w:val="en-US" w:eastAsia="zh-CN"/>
        </w:rPr>
        <w:t>轴</w:t>
      </w:r>
      <w:r>
        <w:rPr>
          <w:rFonts w:hint="eastAsia"/>
        </w:rPr>
        <w:t>。</w:t>
      </w:r>
    </w:p>
    <w:p w14:paraId="7989435F">
      <w:pPr>
        <w:bidi w:val="0"/>
        <w:rPr>
          <w:rFonts w:hint="eastAsia"/>
        </w:rPr>
      </w:pPr>
      <w:r>
        <w:rPr>
          <w:rFonts w:hint="eastAsia"/>
          <w:lang w:val="en-US" w:eastAsia="zh-CN"/>
        </w:rPr>
        <w:t>3</w:t>
      </w:r>
      <w:r>
        <w:rPr>
          <w:rFonts w:hint="eastAsia"/>
        </w:rPr>
        <w:t>.</w:t>
      </w:r>
      <w:r>
        <w:rPr>
          <w:rFonts w:hint="eastAsia"/>
          <w:lang w:val="en-US" w:eastAsia="zh-CN"/>
        </w:rPr>
        <w:t>一带</w:t>
      </w:r>
    </w:p>
    <w:p w14:paraId="1DBA261E">
      <w:pPr>
        <w:bidi w:val="0"/>
        <w:rPr>
          <w:rFonts w:hint="eastAsia"/>
        </w:rPr>
      </w:pPr>
      <w:r>
        <w:rPr>
          <w:rFonts w:hint="eastAsia"/>
        </w:rPr>
        <w:t>沿松花江</w:t>
      </w:r>
      <w:r>
        <w:rPr>
          <w:rFonts w:hint="eastAsia"/>
          <w:lang w:val="en-US" w:eastAsia="zh-CN"/>
        </w:rPr>
        <w:t>水系</w:t>
      </w:r>
      <w:r>
        <w:rPr>
          <w:rFonts w:hint="eastAsia"/>
        </w:rPr>
        <w:t>形成松花江景观带。</w:t>
      </w:r>
    </w:p>
    <w:p w14:paraId="0426C3C5">
      <w:pPr>
        <w:bidi w:val="0"/>
        <w:rPr>
          <w:rFonts w:hint="eastAsia"/>
        </w:rPr>
      </w:pPr>
      <w:r>
        <w:rPr>
          <w:rFonts w:hint="eastAsia"/>
          <w:lang w:val="en-US" w:eastAsia="zh-CN"/>
        </w:rPr>
        <w:t>4</w:t>
      </w:r>
      <w:r>
        <w:rPr>
          <w:rFonts w:hint="eastAsia"/>
        </w:rPr>
        <w:t>.</w:t>
      </w:r>
      <w:r>
        <w:rPr>
          <w:rFonts w:hint="eastAsia"/>
          <w:lang w:val="en-US" w:eastAsia="zh-CN"/>
        </w:rPr>
        <w:t>三</w:t>
      </w:r>
      <w:r>
        <w:rPr>
          <w:rFonts w:hint="eastAsia"/>
        </w:rPr>
        <w:t>区</w:t>
      </w:r>
    </w:p>
    <w:p w14:paraId="511EBCBF">
      <w:pPr>
        <w:bidi w:val="0"/>
        <w:rPr>
          <w:rFonts w:hint="default"/>
          <w:lang w:val="en-US" w:eastAsia="zh-CN"/>
        </w:rPr>
      </w:pPr>
      <w:r>
        <w:rPr>
          <w:rFonts w:hint="eastAsia"/>
          <w:lang w:val="en-US" w:eastAsia="zh-CN"/>
        </w:rPr>
        <w:t>产业发展区：依托镇政府驻地，</w:t>
      </w:r>
      <w:r>
        <w:t>打造支撑高质量发展的产业空间</w:t>
      </w:r>
      <w:r>
        <w:rPr>
          <w:rFonts w:hint="eastAsia"/>
          <w:lang w:eastAsia="zh-CN"/>
        </w:rPr>
        <w:t>，</w:t>
      </w:r>
      <w:r>
        <w:t>以</w:t>
      </w:r>
      <w:r>
        <w:rPr>
          <w:rFonts w:hint="eastAsia"/>
          <w:lang w:val="en-US" w:eastAsia="zh-CN"/>
        </w:rPr>
        <w:t>产业园区引领带动</w:t>
      </w:r>
      <w:r>
        <w:rPr>
          <w:rFonts w:hint="eastAsia"/>
          <w:lang w:eastAsia="zh-CN"/>
        </w:rPr>
        <w:t>，</w:t>
      </w:r>
      <w:r>
        <w:rPr>
          <w:rFonts w:hint="eastAsia"/>
          <w:lang w:val="en-US" w:eastAsia="zh-CN"/>
        </w:rPr>
        <w:t>农副产品</w:t>
      </w:r>
      <w:r>
        <w:t>加工</w:t>
      </w:r>
      <w:r>
        <w:rPr>
          <w:rFonts w:hint="eastAsia"/>
          <w:lang w:val="en-US" w:eastAsia="zh-CN"/>
        </w:rPr>
        <w:t>制造、文化休闲旅游</w:t>
      </w:r>
      <w:r>
        <w:t>为主的</w:t>
      </w:r>
      <w:r>
        <w:rPr>
          <w:rFonts w:hint="eastAsia"/>
          <w:lang w:val="en-US" w:eastAsia="zh-CN"/>
        </w:rPr>
        <w:t>产业集中发展区，带动悦来镇及桦川县整体发展。</w:t>
      </w:r>
    </w:p>
    <w:p w14:paraId="6F70683F">
      <w:pPr>
        <w:bidi w:val="0"/>
        <w:rPr>
          <w:rFonts w:hint="default"/>
          <w:lang w:val="en-US" w:eastAsia="zh-CN"/>
        </w:rPr>
      </w:pPr>
      <w:r>
        <w:rPr>
          <w:rFonts w:hint="eastAsia"/>
          <w:lang w:val="en-US" w:eastAsia="zh-CN"/>
        </w:rPr>
        <w:t>现代农业种植区：以县域南部的优质土地资源为基础，打造优质水稻种植片区，发展现代农业，打造种养结合体系，保证粮食安全，加大粮食产量，种植区主要集中于万升村、双兴村、</w:t>
      </w:r>
      <w:r>
        <w:rPr>
          <w:rFonts w:hint="default"/>
          <w:lang w:val="en-US" w:eastAsia="zh-CN"/>
        </w:rPr>
        <w:t>孟家岗村</w:t>
      </w:r>
      <w:r>
        <w:rPr>
          <w:rFonts w:hint="eastAsia"/>
          <w:lang w:val="en-US" w:eastAsia="zh-CN"/>
        </w:rPr>
        <w:t>、</w:t>
      </w:r>
      <w:r>
        <w:rPr>
          <w:rFonts w:hint="default"/>
          <w:lang w:val="en-US" w:eastAsia="zh-CN"/>
        </w:rPr>
        <w:t>东兴村、苏苏村、汶澄村</w:t>
      </w:r>
      <w:r>
        <w:rPr>
          <w:rFonts w:hint="eastAsia"/>
          <w:lang w:val="en-US" w:eastAsia="zh-CN"/>
        </w:rPr>
        <w:t>。</w:t>
      </w:r>
    </w:p>
    <w:p w14:paraId="0F52D56C">
      <w:pPr>
        <w:bidi w:val="0"/>
        <w:rPr>
          <w:rFonts w:hint="eastAsia"/>
          <w:lang w:val="en-US" w:eastAsia="zh-CN"/>
        </w:rPr>
      </w:pPr>
      <w:r>
        <w:rPr>
          <w:rFonts w:hint="eastAsia"/>
          <w:lang w:val="en-US" w:eastAsia="zh-CN"/>
        </w:rPr>
        <w:t>滨江旅游风景区：充分利用松花江水系的优势，加快旅游资源的综合开发，带动相关产业的迅速发展。大力发展旅游业，加快度假村基础设施维修，观赏野生动物，打造滨江旅游发展区，主要集中于中和村、马库力村、万里河村。</w:t>
      </w:r>
    </w:p>
    <w:p w14:paraId="105A07CA">
      <w:pPr>
        <w:rPr>
          <w:rFonts w:hint="default" w:ascii="Times New Roman" w:hAnsi="Times New Roman" w:eastAsia="方正小标宋_GBK" w:cs="Times New Roman"/>
          <w:b w:val="0"/>
          <w:bCs w:val="0"/>
          <w:color w:val="auto"/>
          <w:kern w:val="2"/>
          <w:szCs w:val="36"/>
          <w:highlight w:val="none"/>
        </w:rPr>
      </w:pPr>
      <w:r>
        <w:rPr>
          <w:rFonts w:hint="default" w:ascii="Times New Roman" w:hAnsi="Times New Roman" w:eastAsia="方正小标宋_GBK" w:cs="Times New Roman"/>
          <w:b w:val="0"/>
          <w:bCs w:val="0"/>
          <w:color w:val="auto"/>
          <w:kern w:val="2"/>
          <w:szCs w:val="36"/>
          <w:highlight w:val="none"/>
        </w:rPr>
        <w:br w:type="page"/>
      </w:r>
    </w:p>
    <w:p w14:paraId="2006A58E">
      <w:pPr>
        <w:pStyle w:val="2"/>
        <w:bidi w:val="0"/>
        <w:rPr>
          <w:rFonts w:hint="default"/>
          <w:lang w:val="en-US"/>
        </w:rPr>
      </w:pPr>
      <w:bookmarkStart w:id="81" w:name="_Toc4691"/>
      <w:bookmarkStart w:id="82" w:name="_Toc6577"/>
      <w:bookmarkStart w:id="83" w:name="_Toc26665"/>
      <w:r>
        <w:rPr>
          <w:rFonts w:hint="eastAsia"/>
          <w:lang w:val="en-US" w:eastAsia="zh-CN"/>
        </w:rPr>
        <w:t>镇政府驻地用地布局与结构</w:t>
      </w:r>
      <w:bookmarkEnd w:id="81"/>
    </w:p>
    <w:p w14:paraId="4BE62255">
      <w:pPr>
        <w:pStyle w:val="29"/>
        <w:keepNext/>
        <w:keepLines/>
        <w:pageBreakBefore w:val="0"/>
        <w:widowControl w:val="0"/>
        <w:numPr>
          <w:ilvl w:val="0"/>
          <w:numId w:val="12"/>
        </w:numPr>
        <w:tabs>
          <w:tab w:val="left" w:pos="420"/>
        </w:tabs>
        <w:kinsoku/>
        <w:wordWrap/>
        <w:overflowPunct/>
        <w:topLinePunct w:val="0"/>
        <w:autoSpaceDE/>
        <w:autoSpaceDN/>
        <w:bidi w:val="0"/>
        <w:adjustRightInd/>
        <w:snapToGrid/>
        <w:ind w:left="0" w:firstLine="0"/>
        <w:textAlignment w:val="auto"/>
        <w:rPr>
          <w:rFonts w:hint="default"/>
          <w:lang w:val="en-US" w:eastAsia="zh-CN"/>
        </w:rPr>
      </w:pPr>
      <w:bookmarkStart w:id="84" w:name="_Toc5087"/>
      <w:bookmarkStart w:id="85" w:name="_Toc17244"/>
      <w:r>
        <w:rPr>
          <w:rFonts w:hint="default"/>
          <w:lang w:val="en-US" w:eastAsia="zh-CN"/>
        </w:rPr>
        <w:t>优化空间结构与用地布局</w:t>
      </w:r>
      <w:bookmarkEnd w:id="84"/>
      <w:bookmarkEnd w:id="85"/>
    </w:p>
    <w:p w14:paraId="20E8B354">
      <w:pPr>
        <w:bidi w:val="0"/>
        <w:rPr>
          <w:rFonts w:hint="default"/>
          <w:lang w:val="en-US" w:eastAsia="zh-CN"/>
        </w:rPr>
      </w:pPr>
      <w:r>
        <w:rPr>
          <w:rFonts w:hint="default"/>
          <w:lang w:val="en-US" w:eastAsia="zh-CN"/>
        </w:rPr>
        <w:t>结合</w:t>
      </w:r>
      <w:r>
        <w:rPr>
          <w:rFonts w:hint="eastAsia"/>
          <w:lang w:val="en-US" w:eastAsia="zh-CN"/>
        </w:rPr>
        <w:t>镇政府驻地</w:t>
      </w:r>
      <w:r>
        <w:rPr>
          <w:rFonts w:hint="default"/>
          <w:lang w:val="en-US" w:eastAsia="zh-CN"/>
        </w:rPr>
        <w:t>的用地布局、道路系统、绿地系统规划，形成“一带两轴、两区五心”的空间格局。</w:t>
      </w:r>
    </w:p>
    <w:p w14:paraId="118CECD8">
      <w:pPr>
        <w:bidi w:val="0"/>
        <w:rPr>
          <w:rFonts w:hint="default"/>
          <w:lang w:val="en-US" w:eastAsia="zh-CN"/>
        </w:rPr>
      </w:pPr>
      <w:r>
        <w:rPr>
          <w:rFonts w:hint="default"/>
          <w:lang w:val="en-US" w:eastAsia="zh-CN"/>
        </w:rPr>
        <w:t>“一带两轴”。一带指城区北侧沿松花江形成的滨水景观带；两轴为沿悦来大街、中兴路形成的十字形城镇发展轴线。</w:t>
      </w:r>
    </w:p>
    <w:p w14:paraId="336B1F8D">
      <w:pPr>
        <w:bidi w:val="0"/>
        <w:rPr>
          <w:rFonts w:hint="default"/>
          <w:lang w:val="en-US" w:eastAsia="zh-CN"/>
        </w:rPr>
      </w:pPr>
      <w:r>
        <w:rPr>
          <w:rFonts w:hint="default"/>
          <w:lang w:val="en-US" w:eastAsia="zh-CN"/>
        </w:rPr>
        <w:t>“两区五点”。两区为北部城市生活区，南部产业发展区；五心指城区形成的五处公共服务中心，分别为综合服务中心、文化康养中心、体育健身中心、文旅商贸中心和产业发展中心</w:t>
      </w:r>
      <w:r>
        <w:rPr>
          <w:rFonts w:hint="eastAsia"/>
          <w:lang w:val="en-US" w:eastAsia="zh-CN"/>
        </w:rPr>
        <w:t>。</w:t>
      </w:r>
    </w:p>
    <w:p w14:paraId="34E2628C">
      <w:pPr>
        <w:pStyle w:val="29"/>
        <w:keepNext/>
        <w:keepLines/>
        <w:pageBreakBefore w:val="0"/>
        <w:widowControl w:val="0"/>
        <w:numPr>
          <w:ilvl w:val="0"/>
          <w:numId w:val="12"/>
        </w:numPr>
        <w:tabs>
          <w:tab w:val="left" w:pos="420"/>
        </w:tabs>
        <w:kinsoku/>
        <w:wordWrap/>
        <w:overflowPunct/>
        <w:topLinePunct w:val="0"/>
        <w:autoSpaceDE/>
        <w:autoSpaceDN/>
        <w:bidi w:val="0"/>
        <w:adjustRightInd/>
        <w:snapToGrid/>
        <w:ind w:left="0" w:firstLine="0"/>
        <w:textAlignment w:val="auto"/>
        <w:rPr>
          <w:rFonts w:hint="default"/>
          <w:lang w:val="en-US" w:eastAsia="zh-CN"/>
        </w:rPr>
      </w:pPr>
      <w:bookmarkStart w:id="86" w:name="_Toc29796"/>
      <w:bookmarkStart w:id="87" w:name="_Toc15312"/>
      <w:r>
        <w:rPr>
          <w:rFonts w:hint="eastAsia"/>
          <w:lang w:val="en-US" w:eastAsia="zh-CN"/>
        </w:rPr>
        <w:t>居住空间布局</w:t>
      </w:r>
      <w:bookmarkEnd w:id="86"/>
    </w:p>
    <w:p w14:paraId="23D144FE">
      <w:pPr>
        <w:pStyle w:val="4"/>
        <w:bidi w:val="0"/>
        <w:rPr>
          <w:rFonts w:hint="eastAsia"/>
          <w:lang w:val="en-US" w:eastAsia="zh-CN"/>
        </w:rPr>
      </w:pPr>
      <w:r>
        <w:rPr>
          <w:rFonts w:hint="eastAsia"/>
          <w:lang w:val="en-US" w:eastAsia="zh-CN"/>
        </w:rPr>
        <w:t xml:space="preserve">住房保障 </w:t>
      </w:r>
    </w:p>
    <w:p w14:paraId="0FB27A98">
      <w:pPr>
        <w:bidi w:val="0"/>
        <w:rPr>
          <w:rFonts w:hint="eastAsia"/>
          <w:lang w:val="en-US" w:eastAsia="zh-CN"/>
        </w:rPr>
      </w:pPr>
      <w:r>
        <w:rPr>
          <w:rFonts w:hint="eastAsia"/>
          <w:lang w:val="en-US" w:eastAsia="zh-CN"/>
        </w:rPr>
        <w:t>提高土地节约集约利用水平，运用市场机制盘活存量土地和低效用地，做好土地储备和整理工作。统筹安排危房改造、人居环境整治等各项建设。严格控制高层高密度住宅建设。</w:t>
      </w:r>
    </w:p>
    <w:p w14:paraId="104A9616">
      <w:pPr>
        <w:bidi w:val="0"/>
        <w:rPr>
          <w:rFonts w:hint="eastAsia"/>
          <w:lang w:val="en-US" w:eastAsia="zh-CN"/>
        </w:rPr>
      </w:pPr>
      <w:r>
        <w:rPr>
          <w:rFonts w:hint="eastAsia"/>
          <w:lang w:val="en-US" w:eastAsia="zh-CN"/>
        </w:rPr>
        <w:t>居住组团现状为宅基地，规划以城镇居住用地为主，用地规模较大，</w:t>
      </w:r>
      <w:r>
        <w:rPr>
          <w:rFonts w:hint="default"/>
          <w:lang w:val="en-US" w:eastAsia="zh-CN"/>
        </w:rPr>
        <w:t>规划住宅建筑形态宜分为三类：高层住区、多层住区、低层住区。</w:t>
      </w:r>
      <w:bookmarkStart w:id="88" w:name="_Hlk175292578"/>
      <w:r>
        <w:rPr>
          <w:rFonts w:hint="eastAsia"/>
          <w:lang w:val="en-US" w:eastAsia="zh-CN"/>
        </w:rPr>
        <w:t>规划立足现实状况，以改善居民生产生活条件为出发点，按乡镇标准配建各类公共服务设施和市政公用设施，留足绿地及公共活动空间，创造良好的人居环境</w:t>
      </w:r>
      <w:bookmarkEnd w:id="88"/>
      <w:r>
        <w:rPr>
          <w:rFonts w:hint="eastAsia"/>
          <w:lang w:val="en-US" w:eastAsia="zh-CN"/>
        </w:rPr>
        <w:t>。</w:t>
      </w:r>
    </w:p>
    <w:p w14:paraId="504277F8">
      <w:pPr>
        <w:pStyle w:val="29"/>
        <w:keepNext/>
        <w:keepLines/>
        <w:pageBreakBefore w:val="0"/>
        <w:widowControl w:val="0"/>
        <w:numPr>
          <w:ilvl w:val="0"/>
          <w:numId w:val="12"/>
        </w:numPr>
        <w:tabs>
          <w:tab w:val="left" w:pos="420"/>
        </w:tabs>
        <w:kinsoku/>
        <w:wordWrap/>
        <w:overflowPunct/>
        <w:topLinePunct w:val="0"/>
        <w:autoSpaceDE/>
        <w:autoSpaceDN/>
        <w:bidi w:val="0"/>
        <w:adjustRightInd/>
        <w:snapToGrid/>
        <w:ind w:left="0" w:firstLine="0"/>
        <w:textAlignment w:val="auto"/>
        <w:rPr>
          <w:rFonts w:hint="eastAsia"/>
          <w:lang w:val="en-US" w:eastAsia="zh-CN"/>
        </w:rPr>
      </w:pPr>
      <w:bookmarkStart w:id="89" w:name="_Toc1368"/>
      <w:r>
        <w:rPr>
          <w:rFonts w:hint="eastAsia"/>
          <w:lang w:val="en-US" w:eastAsia="zh-CN"/>
        </w:rPr>
        <w:t>公共服务空间布局</w:t>
      </w:r>
      <w:bookmarkEnd w:id="89"/>
    </w:p>
    <w:p w14:paraId="76684AAB">
      <w:pPr>
        <w:bidi w:val="0"/>
        <w:rPr>
          <w:rFonts w:hint="default"/>
          <w:lang w:val="en-US" w:eastAsia="zh-CN"/>
        </w:rPr>
      </w:pPr>
      <w:r>
        <w:rPr>
          <w:rFonts w:hint="default"/>
          <w:lang w:val="en-US" w:eastAsia="zh-CN"/>
        </w:rPr>
        <w:t>以完善体系、增加数量、提高品质、均衡布局、弹性预留为原则，优化公共服务设施配置，优化各类用地布局。</w:t>
      </w:r>
      <w:bookmarkStart w:id="90" w:name="_Hlk175292347"/>
      <w:r>
        <w:rPr>
          <w:rFonts w:hint="default"/>
          <w:lang w:val="en-US" w:eastAsia="zh-CN"/>
        </w:rPr>
        <w:t>构建优质公共服务体系，超标准补齐公共服务短板，重点完善提升基础教育、文化、体育、福利等设施。共划定</w:t>
      </w:r>
      <w:r>
        <w:rPr>
          <w:rFonts w:hint="eastAsia"/>
          <w:lang w:val="en-US" w:eastAsia="zh-CN"/>
        </w:rPr>
        <w:t>2</w:t>
      </w:r>
      <w:r>
        <w:rPr>
          <w:rFonts w:hint="default"/>
          <w:lang w:val="en-US" w:eastAsia="zh-CN"/>
        </w:rPr>
        <w:t>个15分钟生活圈、</w:t>
      </w:r>
      <w:r>
        <w:rPr>
          <w:rFonts w:hint="eastAsia"/>
          <w:lang w:val="en-US" w:eastAsia="zh-CN"/>
        </w:rPr>
        <w:t>9</w:t>
      </w:r>
      <w:r>
        <w:rPr>
          <w:rFonts w:hint="default"/>
          <w:lang w:val="en-US" w:eastAsia="zh-CN"/>
        </w:rPr>
        <w:t>个10分钟生活圈。</w:t>
      </w:r>
    </w:p>
    <w:p w14:paraId="0BF29698">
      <w:pPr>
        <w:bidi w:val="0"/>
        <w:rPr>
          <w:rFonts w:hint="default"/>
          <w:lang w:val="en-US" w:eastAsia="zh-CN"/>
        </w:rPr>
      </w:pPr>
      <w:r>
        <w:rPr>
          <w:rFonts w:hint="default"/>
          <w:lang w:val="en-US" w:eastAsia="zh-CN"/>
        </w:rPr>
        <w:t>强化生活圈内基本服务功能可达性，将生活圈作为社区公共资源配置和社会治理的基本单元。制定15分钟生活圈、10分钟生活圈居住区配套设施配置清单</w:t>
      </w:r>
      <w:bookmarkEnd w:id="90"/>
      <w:r>
        <w:rPr>
          <w:rFonts w:hint="default"/>
          <w:lang w:val="en-US" w:eastAsia="zh-CN"/>
        </w:rPr>
        <w:t>。</w:t>
      </w:r>
    </w:p>
    <w:p w14:paraId="124FAC2E">
      <w:pPr>
        <w:pStyle w:val="29"/>
        <w:keepNext/>
        <w:keepLines/>
        <w:pageBreakBefore w:val="0"/>
        <w:widowControl w:val="0"/>
        <w:numPr>
          <w:ilvl w:val="0"/>
          <w:numId w:val="12"/>
        </w:numPr>
        <w:tabs>
          <w:tab w:val="left" w:pos="420"/>
        </w:tabs>
        <w:kinsoku/>
        <w:wordWrap/>
        <w:overflowPunct/>
        <w:topLinePunct w:val="0"/>
        <w:autoSpaceDE/>
        <w:autoSpaceDN/>
        <w:bidi w:val="0"/>
        <w:adjustRightInd/>
        <w:snapToGrid/>
        <w:ind w:left="0" w:firstLine="0"/>
        <w:textAlignment w:val="auto"/>
        <w:rPr>
          <w:rFonts w:hint="eastAsia"/>
          <w:lang w:val="en-US" w:eastAsia="zh-CN"/>
        </w:rPr>
      </w:pPr>
      <w:bookmarkStart w:id="91" w:name="_Toc21767"/>
      <w:r>
        <w:rPr>
          <w:rFonts w:hint="eastAsia"/>
          <w:lang w:val="en-US" w:eastAsia="zh-CN"/>
        </w:rPr>
        <w:t>绿地与开敞空间布局</w:t>
      </w:r>
      <w:bookmarkEnd w:id="91"/>
    </w:p>
    <w:p w14:paraId="5EED640E">
      <w:pPr>
        <w:bidi w:val="0"/>
        <w:rPr>
          <w:rFonts w:hint="default"/>
        </w:rPr>
      </w:pPr>
      <w:r>
        <w:rPr>
          <w:rFonts w:hint="eastAsia"/>
          <w:lang w:val="en-US" w:eastAsia="zh-CN"/>
        </w:rPr>
        <w:t>结合城镇生态体系构建，完善镇政府驻地绿地空间布局，建设级配合理、均衡分布、类型多样、满足需求的多层次城镇公园网络。</w:t>
      </w:r>
      <w:r>
        <w:rPr>
          <w:lang w:val="en-US" w:eastAsia="zh-CN"/>
        </w:rPr>
        <w:t>规划至2035年，</w:t>
      </w:r>
      <w:r>
        <w:rPr>
          <w:rFonts w:hint="eastAsia"/>
          <w:lang w:val="en-US" w:eastAsia="zh-CN"/>
        </w:rPr>
        <w:t>规划5处县级公园、6处社区公园</w:t>
      </w:r>
      <w:r>
        <w:rPr>
          <w:lang w:val="en-US" w:eastAsia="zh-CN"/>
        </w:rPr>
        <w:t>。</w:t>
      </w:r>
    </w:p>
    <w:bookmarkEnd w:id="87"/>
    <w:p w14:paraId="04CEDCA4">
      <w:pPr>
        <w:pStyle w:val="29"/>
        <w:keepNext/>
        <w:keepLines/>
        <w:pageBreakBefore w:val="0"/>
        <w:widowControl w:val="0"/>
        <w:numPr>
          <w:ilvl w:val="0"/>
          <w:numId w:val="12"/>
        </w:numPr>
        <w:tabs>
          <w:tab w:val="left" w:pos="420"/>
        </w:tabs>
        <w:kinsoku/>
        <w:wordWrap/>
        <w:overflowPunct/>
        <w:topLinePunct w:val="0"/>
        <w:autoSpaceDE/>
        <w:autoSpaceDN/>
        <w:bidi w:val="0"/>
        <w:adjustRightInd/>
        <w:snapToGrid/>
        <w:ind w:left="0" w:firstLine="0"/>
        <w:textAlignment w:val="auto"/>
        <w:rPr>
          <w:rFonts w:hint="default"/>
          <w:lang w:val="en-US" w:eastAsia="zh-CN"/>
        </w:rPr>
      </w:pPr>
      <w:bookmarkStart w:id="92" w:name="_Toc5021"/>
      <w:bookmarkStart w:id="93" w:name="_Toc21061"/>
      <w:r>
        <w:rPr>
          <w:rFonts w:hint="default"/>
          <w:lang w:val="en-US" w:eastAsia="zh-CN"/>
        </w:rPr>
        <w:t>实施规划管控</w:t>
      </w:r>
      <w:bookmarkEnd w:id="92"/>
      <w:bookmarkEnd w:id="93"/>
    </w:p>
    <w:p w14:paraId="56BD88A8">
      <w:pPr>
        <w:bidi w:val="0"/>
        <w:rPr>
          <w:lang w:val="en-US" w:eastAsia="zh-CN"/>
        </w:rPr>
      </w:pPr>
      <w:r>
        <w:rPr>
          <w:rFonts w:hint="eastAsia"/>
          <w:lang w:val="en-US" w:eastAsia="zh-CN"/>
        </w:rPr>
        <w:t>悦来镇政府驻地规划“四线”包括绿线和黄线，不涉及蓝线和紫线控制。</w:t>
      </w:r>
    </w:p>
    <w:p w14:paraId="553569D9">
      <w:pPr>
        <w:pStyle w:val="4"/>
        <w:bidi w:val="0"/>
        <w:rPr>
          <w:rFonts w:hint="default"/>
        </w:rPr>
      </w:pPr>
      <w:r>
        <w:rPr>
          <w:rFonts w:hint="default"/>
        </w:rPr>
        <w:t>城市绿线</w:t>
      </w:r>
    </w:p>
    <w:p w14:paraId="096B26D3">
      <w:pPr>
        <w:bidi w:val="0"/>
        <w:rPr>
          <w:rFonts w:hint="default"/>
        </w:rPr>
      </w:pPr>
      <w:r>
        <w:rPr>
          <w:rFonts w:hint="default"/>
        </w:rPr>
        <w:t>绿线严格按照《城市绿线管理办法》实施管控。绿线内的用地不得改作他用，原有建筑改造应不扩大现状占地规模。因市政基础设施、公共服务设施建设需要等情形需要修改绿线的应遵循区域绿地总量不减少、服务半径不增加、绿地系统完整的原则。</w:t>
      </w:r>
    </w:p>
    <w:p w14:paraId="27E98BC2">
      <w:pPr>
        <w:pStyle w:val="4"/>
        <w:bidi w:val="0"/>
        <w:rPr>
          <w:rFonts w:hint="default"/>
        </w:rPr>
      </w:pPr>
      <w:r>
        <w:rPr>
          <w:rFonts w:hint="default"/>
        </w:rPr>
        <w:t>城市黄线</w:t>
      </w:r>
    </w:p>
    <w:p w14:paraId="6879B57F">
      <w:pPr>
        <w:bidi w:val="0"/>
        <w:rPr>
          <w:rFonts w:hint="default"/>
        </w:rPr>
      </w:pPr>
      <w:r>
        <w:rPr>
          <w:rFonts w:hint="default"/>
        </w:rPr>
        <w:t>城市黄线严格按照《城市黄线管理办法》实施管控，对现有损坏或影响城市基础设施安全、正常运作的用地，应当限期整改或拆除。因城市发展和城市功能、布局变化等，需要调整城市黄线的，应当组织专家论证，依法调整规划。</w:t>
      </w:r>
    </w:p>
    <w:p w14:paraId="4606ADCE">
      <w:pPr>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br w:type="page"/>
      </w:r>
    </w:p>
    <w:p w14:paraId="1DC46D9E">
      <w:pPr>
        <w:pStyle w:val="2"/>
        <w:bidi w:val="0"/>
        <w:rPr>
          <w:rFonts w:hint="default"/>
        </w:rPr>
      </w:pPr>
      <w:bookmarkStart w:id="94" w:name="_Toc11690"/>
      <w:bookmarkStart w:id="95" w:name="_Toc31193"/>
      <w:r>
        <w:rPr>
          <w:rFonts w:hint="default"/>
        </w:rPr>
        <w:t>完善</w:t>
      </w:r>
      <w:r>
        <w:rPr>
          <w:rFonts w:hint="eastAsia"/>
          <w:lang w:val="en-US" w:eastAsia="zh-CN"/>
        </w:rPr>
        <w:t>基础</w:t>
      </w:r>
      <w:r>
        <w:rPr>
          <w:rFonts w:hint="default"/>
        </w:rPr>
        <w:t>保障体系建设</w:t>
      </w:r>
      <w:bookmarkEnd w:id="94"/>
      <w:bookmarkEnd w:id="95"/>
    </w:p>
    <w:p w14:paraId="1AA3CF58">
      <w:pPr>
        <w:pStyle w:val="29"/>
        <w:keepNext/>
        <w:keepLines/>
        <w:pageBreakBefore w:val="0"/>
        <w:widowControl w:val="0"/>
        <w:numPr>
          <w:ilvl w:val="0"/>
          <w:numId w:val="13"/>
        </w:numPr>
        <w:tabs>
          <w:tab w:val="left" w:pos="420"/>
        </w:tabs>
        <w:kinsoku/>
        <w:wordWrap/>
        <w:overflowPunct/>
        <w:topLinePunct w:val="0"/>
        <w:autoSpaceDE/>
        <w:autoSpaceDN/>
        <w:bidi w:val="0"/>
        <w:adjustRightInd/>
        <w:snapToGrid/>
        <w:ind w:left="0" w:firstLine="0"/>
        <w:textAlignment w:val="auto"/>
        <w:rPr>
          <w:rFonts w:hint="default"/>
        </w:rPr>
      </w:pPr>
      <w:bookmarkStart w:id="96" w:name="_Toc29343"/>
      <w:bookmarkStart w:id="97" w:name="_Toc14498"/>
      <w:r>
        <w:rPr>
          <w:rFonts w:hint="default"/>
        </w:rPr>
        <w:t>优化</w:t>
      </w:r>
      <w:r>
        <w:rPr>
          <w:rFonts w:hint="eastAsia"/>
          <w:lang w:val="en-US" w:eastAsia="zh-CN"/>
        </w:rPr>
        <w:t>镇域</w:t>
      </w:r>
      <w:r>
        <w:rPr>
          <w:rFonts w:hint="default"/>
        </w:rPr>
        <w:t>综合交通组织</w:t>
      </w:r>
      <w:bookmarkEnd w:id="96"/>
      <w:bookmarkEnd w:id="97"/>
    </w:p>
    <w:p w14:paraId="1737630E">
      <w:pPr>
        <w:bidi w:val="0"/>
        <w:rPr>
          <w:rFonts w:hint="default"/>
        </w:rPr>
      </w:pPr>
      <w:r>
        <w:rPr>
          <w:rFonts w:hint="default"/>
        </w:rPr>
        <w:t>构建多层次综合立体交通体系，补齐交通基础设施短板，充分发挥</w:t>
      </w:r>
      <w:r>
        <w:rPr>
          <w:rFonts w:hint="eastAsia"/>
          <w:lang w:val="en-US" w:eastAsia="zh-CN"/>
        </w:rPr>
        <w:t>悦来镇</w:t>
      </w:r>
      <w:r>
        <w:rPr>
          <w:rFonts w:hint="default"/>
        </w:rPr>
        <w:t>区位优势，支撑社会经济发展，构建以国道为主骨架，乡道为基础，村</w:t>
      </w:r>
      <w:r>
        <w:rPr>
          <w:rFonts w:hint="eastAsia"/>
          <w:lang w:val="en-US" w:eastAsia="zh-CN"/>
        </w:rPr>
        <w:t>路</w:t>
      </w:r>
      <w:r>
        <w:rPr>
          <w:rFonts w:hint="default"/>
        </w:rPr>
        <w:t>为补充的安全便捷、内畅外达、智慧高效的综合交通体系，促进区域交通、城乡交通协调发展。提升国道通行能力和服务水平</w:t>
      </w:r>
      <w:r>
        <w:rPr>
          <w:rFonts w:hint="eastAsia"/>
          <w:lang w:eastAsia="zh-CN"/>
        </w:rPr>
        <w:t>，</w:t>
      </w:r>
      <w:r>
        <w:rPr>
          <w:rFonts w:hint="eastAsia"/>
          <w:lang w:val="en-US" w:eastAsia="zh-CN"/>
        </w:rPr>
        <w:t>发展村镇经济</w:t>
      </w:r>
      <w:r>
        <w:rPr>
          <w:rFonts w:hint="default"/>
        </w:rPr>
        <w:t>。</w:t>
      </w:r>
    </w:p>
    <w:p w14:paraId="3B897F3E">
      <w:pPr>
        <w:pStyle w:val="4"/>
        <w:bidi w:val="0"/>
        <w:rPr>
          <w:rFonts w:hint="default"/>
        </w:rPr>
      </w:pPr>
      <w:r>
        <w:rPr>
          <w:rFonts w:hint="eastAsia"/>
          <w:lang w:val="en-US" w:eastAsia="zh-CN"/>
        </w:rPr>
        <w:t>对外交通</w:t>
      </w:r>
    </w:p>
    <w:p w14:paraId="665E94F0">
      <w:pPr>
        <w:bidi w:val="0"/>
        <w:rPr>
          <w:rFonts w:hint="default"/>
          <w:lang w:val="en-US" w:eastAsia="zh-CN"/>
        </w:rPr>
      </w:pPr>
      <w:r>
        <w:rPr>
          <w:rFonts w:hint="eastAsia" w:ascii="楷体_GB2312" w:hAnsi="楷体_GB2312" w:eastAsia="楷体_GB2312" w:cs="楷体_GB2312"/>
          <w:lang w:val="en-US" w:eastAsia="zh-CN"/>
        </w:rPr>
        <w:t>国道</w:t>
      </w:r>
      <w:r>
        <w:rPr>
          <w:rFonts w:hint="eastAsia" w:ascii="楷体_GB2312" w:hAnsi="楷体_GB2312" w:eastAsia="楷体_GB2312" w:cs="楷体_GB2312"/>
        </w:rPr>
        <w:t>。</w:t>
      </w:r>
      <w:r>
        <w:rPr>
          <w:rFonts w:hint="default"/>
          <w:lang w:val="en-US" w:eastAsia="zh-CN"/>
        </w:rPr>
        <w:t>G102京抚公路、G221同哈公路</w:t>
      </w:r>
      <w:r>
        <w:rPr>
          <w:rFonts w:hint="eastAsia"/>
          <w:lang w:val="en-US" w:eastAsia="zh-CN"/>
        </w:rPr>
        <w:t>。</w:t>
      </w:r>
    </w:p>
    <w:p w14:paraId="6BCA23ED">
      <w:pPr>
        <w:bidi w:val="0"/>
        <w:rPr>
          <w:rFonts w:hint="default"/>
        </w:rPr>
      </w:pPr>
      <w:r>
        <w:rPr>
          <w:rFonts w:hint="eastAsia" w:ascii="楷体_GB2312" w:hAnsi="楷体_GB2312" w:eastAsia="楷体_GB2312" w:cs="楷体_GB2312"/>
          <w:lang w:val="en-US" w:eastAsia="zh-CN"/>
        </w:rPr>
        <w:t>村道</w:t>
      </w:r>
      <w:r>
        <w:rPr>
          <w:rFonts w:hint="default" w:ascii="楷体_GB2312" w:hAnsi="楷体_GB2312" w:eastAsia="楷体_GB2312" w:cs="楷体_GB2312"/>
          <w:lang w:val="en-US" w:eastAsia="zh-CN"/>
        </w:rPr>
        <w:t>。</w:t>
      </w:r>
      <w:r>
        <w:rPr>
          <w:rFonts w:hint="default"/>
        </w:rPr>
        <w:t>加快实施通村公路提级改造和连通工程，提高通达深度和安全水平，提升通畅水平。推进旅游路、产业路、资源路、乡镇出口路等县乡公路建设。</w:t>
      </w:r>
    </w:p>
    <w:p w14:paraId="4885D594">
      <w:pPr>
        <w:pStyle w:val="4"/>
        <w:bidi w:val="0"/>
        <w:rPr>
          <w:rFonts w:hint="default"/>
        </w:rPr>
      </w:pPr>
      <w:r>
        <w:rPr>
          <w:rFonts w:hint="eastAsia"/>
          <w:lang w:val="en-US" w:eastAsia="zh-CN"/>
        </w:rPr>
        <w:t>对内交通</w:t>
      </w:r>
    </w:p>
    <w:p w14:paraId="6DFAA660">
      <w:pPr>
        <w:bidi w:val="0"/>
        <w:rPr>
          <w:rFonts w:hint="default"/>
        </w:rPr>
      </w:pPr>
      <w:r>
        <w:rPr>
          <w:rFonts w:hint="default"/>
        </w:rPr>
        <w:t>完善内部网络，加强各村屯之间道路连通，继续推进“四好农村路”建设，把农村公路建好、管好、护好、运营好，为加快推进农业农村现代化提供更好保障。规划期内，对道路进行修缮改造，定期做好养护工作，全面提高各级道路交通通行能力和服务水平；同时对现状道路进行提档升级，实施道路硬化工程，至规划期末，内部道路通达率、硬化率达</w:t>
      </w:r>
      <w:r>
        <w:rPr>
          <w:rFonts w:hint="eastAsia"/>
          <w:highlight w:val="none"/>
          <w:lang w:eastAsia="zh-CN"/>
        </w:rPr>
        <w:t>100%</w:t>
      </w:r>
      <w:r>
        <w:rPr>
          <w:rFonts w:hint="default"/>
        </w:rPr>
        <w:t>。</w:t>
      </w:r>
    </w:p>
    <w:p w14:paraId="3B778B0B">
      <w:pPr>
        <w:pStyle w:val="4"/>
        <w:bidi w:val="0"/>
        <w:rPr>
          <w:rFonts w:hint="default"/>
          <w:lang w:val="en-US" w:eastAsia="zh-CN"/>
        </w:rPr>
      </w:pPr>
      <w:r>
        <w:rPr>
          <w:rFonts w:hint="default"/>
          <w:lang w:val="en-US" w:eastAsia="zh-CN"/>
        </w:rPr>
        <w:t>交通枢纽设施</w:t>
      </w:r>
    </w:p>
    <w:p w14:paraId="6EFDCF88">
      <w:pPr>
        <w:bidi w:val="0"/>
        <w:rPr>
          <w:rFonts w:hint="eastAsia"/>
          <w:lang w:val="en-US" w:eastAsia="zh-CN"/>
        </w:rPr>
      </w:pPr>
      <w:r>
        <w:rPr>
          <w:rFonts w:hint="eastAsia" w:ascii="楷体_GB2312" w:hAnsi="楷体_GB2312" w:eastAsia="楷体_GB2312" w:cs="楷体_GB2312"/>
        </w:rPr>
        <w:t>客运枢纽。</w:t>
      </w:r>
      <w:r>
        <w:rPr>
          <w:rFonts w:hint="eastAsia"/>
          <w:lang w:val="en-US" w:eastAsia="zh-CN"/>
        </w:rPr>
        <w:t>规划扩建桦川客运站，升级为客运综合体，占地面积约3.90万平方米。</w:t>
      </w:r>
    </w:p>
    <w:p w14:paraId="05831510">
      <w:pPr>
        <w:bidi w:val="0"/>
        <w:rPr>
          <w:rFonts w:hint="default"/>
          <w:lang w:val="en-US" w:eastAsia="zh-CN"/>
        </w:rPr>
      </w:pPr>
      <w:r>
        <w:rPr>
          <w:rFonts w:hint="default" w:ascii="楷体_GB2312" w:hAnsi="楷体_GB2312" w:eastAsia="楷体_GB2312" w:cs="楷体_GB2312"/>
          <w:lang w:val="en-US" w:eastAsia="zh-CN"/>
        </w:rPr>
        <w:t>农村客运综合服务站</w:t>
      </w:r>
      <w:r>
        <w:rPr>
          <w:rFonts w:hint="eastAsia" w:ascii="楷体_GB2312" w:hAnsi="楷体_GB2312" w:eastAsia="楷体_GB2312" w:cs="楷体_GB2312"/>
          <w:lang w:val="en-US" w:eastAsia="zh-CN"/>
        </w:rPr>
        <w:t>。</w:t>
      </w:r>
      <w:r>
        <w:rPr>
          <w:rFonts w:hint="default"/>
          <w:lang w:val="en-US" w:eastAsia="zh-CN"/>
        </w:rPr>
        <w:t>改造维修农村客运综合服务站。</w:t>
      </w:r>
    </w:p>
    <w:p w14:paraId="11A10198">
      <w:pPr>
        <w:pStyle w:val="4"/>
        <w:bidi w:val="0"/>
        <w:rPr>
          <w:rFonts w:hint="default"/>
          <w:lang w:val="en-US" w:eastAsia="zh-CN"/>
        </w:rPr>
      </w:pPr>
      <w:r>
        <w:rPr>
          <w:rFonts w:hint="eastAsia"/>
          <w:lang w:val="en-US" w:eastAsia="zh-CN"/>
        </w:rPr>
        <w:t>公共交通</w:t>
      </w:r>
    </w:p>
    <w:p w14:paraId="582623F6">
      <w:pPr>
        <w:bidi w:val="0"/>
        <w:rPr>
          <w:rFonts w:hint="eastAsia"/>
          <w:lang w:val="en-US" w:eastAsia="zh-CN"/>
        </w:rPr>
      </w:pPr>
      <w:r>
        <w:rPr>
          <w:rFonts w:hint="eastAsia"/>
          <w:lang w:val="en-US" w:eastAsia="zh-CN"/>
        </w:rPr>
        <w:t>形成以常规公交干线为主体、以小公共交通和出租车为辅助的便捷高效、多元化、有特色的公交体系。</w:t>
      </w:r>
    </w:p>
    <w:p w14:paraId="2BCE32AF">
      <w:pPr>
        <w:pStyle w:val="4"/>
        <w:bidi w:val="0"/>
        <w:rPr>
          <w:rFonts w:hint="eastAsia"/>
          <w:lang w:val="en-US" w:eastAsia="zh-CN"/>
        </w:rPr>
      </w:pPr>
      <w:bookmarkStart w:id="98" w:name="_Toc2582"/>
      <w:r>
        <w:rPr>
          <w:rFonts w:hint="eastAsia"/>
        </w:rPr>
        <w:t>镇政府驻地</w:t>
      </w:r>
      <w:r>
        <w:rPr>
          <w:rFonts w:hint="eastAsia"/>
          <w:lang w:val="en-US" w:eastAsia="zh-CN"/>
        </w:rPr>
        <w:t>道路网结构和布局规划</w:t>
      </w:r>
      <w:bookmarkEnd w:id="98"/>
    </w:p>
    <w:p w14:paraId="40620721">
      <w:pPr>
        <w:numPr>
          <w:ilvl w:val="0"/>
          <w:numId w:val="0"/>
        </w:numPr>
        <w:bidi w:val="0"/>
        <w:ind w:firstLine="640" w:firstLineChars="200"/>
        <w:rPr>
          <w:rFonts w:hint="eastAsia"/>
          <w:lang w:val="en-US" w:eastAsia="zh-CN"/>
        </w:rPr>
      </w:pPr>
      <w:bookmarkStart w:id="99" w:name="_Toc4556"/>
      <w:r>
        <w:rPr>
          <w:rFonts w:hint="eastAsia" w:cs="Times New Roman"/>
          <w:highlight w:val="none"/>
          <w:lang w:eastAsia="zh-CN" w:bidi="ar"/>
        </w:rPr>
        <w:t>1.</w:t>
      </w:r>
      <w:r>
        <w:rPr>
          <w:rFonts w:hint="eastAsia"/>
          <w:lang w:val="en-US" w:eastAsia="zh-CN"/>
        </w:rPr>
        <w:t>道路系统</w:t>
      </w:r>
    </w:p>
    <w:p w14:paraId="72546097">
      <w:pPr>
        <w:bidi w:val="0"/>
        <w:rPr>
          <w:rFonts w:hint="eastAsia"/>
          <w:lang w:val="en-US" w:eastAsia="zh-CN"/>
        </w:rPr>
      </w:pPr>
      <w:r>
        <w:rPr>
          <w:rFonts w:hint="eastAsia"/>
          <w:lang w:val="en-US" w:eastAsia="zh-CN"/>
        </w:rPr>
        <w:t>根据现状道路特点和用地开发边界，规划道路结构为方格网形式。道路等级分为城镇主干路（一级公路）、次干路、支路和村庄巷道。其中，规划镇政府驻地道路网密度8.25公里/平方公里。</w:t>
      </w:r>
    </w:p>
    <w:p w14:paraId="3E3C16EC">
      <w:pPr>
        <w:bidi w:val="0"/>
        <w:rPr>
          <w:rFonts w:hint="eastAsia"/>
          <w:lang w:val="en-US" w:eastAsia="zh-CN"/>
        </w:rPr>
      </w:pPr>
      <w:r>
        <w:rPr>
          <w:rFonts w:hint="eastAsia"/>
          <w:u w:val="single"/>
          <w:lang w:val="en-US" w:eastAsia="zh-CN"/>
        </w:rPr>
        <w:t>规划主干路间距500—1000米，道路红线宽度控制为30—40米</w:t>
      </w:r>
      <w:r>
        <w:rPr>
          <w:rFonts w:hint="eastAsia"/>
          <w:lang w:val="en-US" w:eastAsia="zh-CN"/>
        </w:rPr>
        <w:t>，以双向4—6车道、一块板、三块板形式为主，设计车速40—60公里/小时。</w:t>
      </w:r>
    </w:p>
    <w:p w14:paraId="6202030D">
      <w:pPr>
        <w:bidi w:val="0"/>
        <w:rPr>
          <w:rFonts w:hint="eastAsia"/>
          <w:lang w:val="en-US" w:eastAsia="zh-CN"/>
        </w:rPr>
      </w:pPr>
      <w:r>
        <w:rPr>
          <w:rFonts w:hint="eastAsia"/>
          <w:u w:val="single"/>
          <w:lang w:val="en-US" w:eastAsia="zh-CN"/>
        </w:rPr>
        <w:t>规划次干路间距350—500米，道路红线宽度控制为24—30米</w:t>
      </w:r>
      <w:r>
        <w:rPr>
          <w:rFonts w:hint="eastAsia"/>
          <w:lang w:val="en-US" w:eastAsia="zh-CN"/>
        </w:rPr>
        <w:t>，以双向2—4车道、一块板形式为主，设计车速30—40公里/小时。</w:t>
      </w:r>
    </w:p>
    <w:p w14:paraId="23BAECB0">
      <w:pPr>
        <w:ind w:firstLine="640" w:firstLineChars="200"/>
        <w:rPr>
          <w:rFonts w:hint="default" w:ascii="Times New Roman" w:hAnsi="Times New Roman" w:eastAsia="仿宋_GB2312" w:cs="Times New Roman"/>
          <w:szCs w:val="32"/>
          <w:highlight w:val="none"/>
          <w:u w:val="single"/>
          <w:lang w:val="en-US" w:eastAsia="zh-CN"/>
        </w:rPr>
      </w:pPr>
      <w:r>
        <w:rPr>
          <w:rFonts w:hint="eastAsia" w:ascii="Times New Roman" w:hAnsi="Times New Roman" w:cs="Times New Roman"/>
          <w:szCs w:val="32"/>
          <w:highlight w:val="none"/>
        </w:rPr>
        <w:t>规划建议</w:t>
      </w:r>
      <w:r>
        <w:rPr>
          <w:rFonts w:hint="eastAsia" w:ascii="Times New Roman" w:hAnsi="Times New Roman" w:cs="Times New Roman"/>
          <w:szCs w:val="32"/>
          <w:highlight w:val="none"/>
          <w:lang w:val="en-US" w:eastAsia="zh-CN"/>
        </w:rPr>
        <w:t>新建建筑退后主干路不小于5米。</w:t>
      </w:r>
    </w:p>
    <w:p w14:paraId="28632A18">
      <w:pPr>
        <w:numPr>
          <w:ilvl w:val="0"/>
          <w:numId w:val="0"/>
        </w:numPr>
        <w:bidi w:val="0"/>
        <w:ind w:firstLine="640" w:firstLineChars="200"/>
        <w:rPr>
          <w:rFonts w:hint="eastAsia" w:ascii="Times New Roman" w:hAnsi="Times New Roman"/>
          <w:lang w:val="en-US" w:eastAsia="zh-CN"/>
        </w:rPr>
      </w:pPr>
      <w:r>
        <w:rPr>
          <w:rFonts w:hint="eastAsia" w:cs="Times New Roman"/>
          <w:highlight w:val="none"/>
          <w:lang w:val="en-US" w:eastAsia="zh-CN" w:bidi="ar"/>
        </w:rPr>
        <w:t>2</w:t>
      </w:r>
      <w:r>
        <w:rPr>
          <w:rFonts w:hint="eastAsia" w:cs="Times New Roman"/>
          <w:highlight w:val="none"/>
          <w:lang w:eastAsia="zh-CN" w:bidi="ar"/>
        </w:rPr>
        <w:t>.</w:t>
      </w:r>
      <w:r>
        <w:rPr>
          <w:rFonts w:hint="eastAsia" w:ascii="Times New Roman" w:hAnsi="Times New Roman"/>
          <w:lang w:val="en-US" w:eastAsia="zh-CN"/>
        </w:rPr>
        <w:t>慢行系统</w:t>
      </w:r>
    </w:p>
    <w:p w14:paraId="4FDD0B2E">
      <w:pPr>
        <w:bidi w:val="0"/>
        <w:rPr>
          <w:rFonts w:hint="eastAsia"/>
          <w:lang w:val="en-US" w:eastAsia="zh-CN"/>
        </w:rPr>
      </w:pPr>
      <w:r>
        <w:rPr>
          <w:rFonts w:hint="eastAsia"/>
          <w:lang w:val="en-US" w:eastAsia="zh-CN"/>
        </w:rPr>
        <w:t>规划在驻地内结合体育公园、沿江公园等大型公园绿地、桦西街和桦东街等主要景观道和滨水绿地设置景观步行系统；结合环状水系，规划在桦西街西侧设置以商业、休闲、娱乐为主的商业滨水步行系统。景观步行系统和商业步行系统以带状的形式相互串联、衔接和融合，形成完整、富有生态园林城市特色的步行交通系统。</w:t>
      </w:r>
    </w:p>
    <w:p w14:paraId="3B6CFF5D">
      <w:pPr>
        <w:numPr>
          <w:ilvl w:val="0"/>
          <w:numId w:val="0"/>
        </w:numPr>
        <w:bidi w:val="0"/>
        <w:ind w:firstLine="640" w:firstLineChars="200"/>
        <w:rPr>
          <w:rFonts w:hint="eastAsia" w:ascii="Times New Roman" w:hAnsi="Times New Roman"/>
          <w:lang w:val="en-US" w:eastAsia="zh-CN"/>
        </w:rPr>
      </w:pPr>
      <w:r>
        <w:rPr>
          <w:rFonts w:hint="eastAsia" w:cs="Times New Roman"/>
          <w:highlight w:val="none"/>
          <w:lang w:val="en-US" w:eastAsia="zh-CN" w:bidi="ar"/>
        </w:rPr>
        <w:t>3</w:t>
      </w:r>
      <w:r>
        <w:rPr>
          <w:rFonts w:hint="eastAsia" w:cs="Times New Roman"/>
          <w:highlight w:val="none"/>
          <w:lang w:eastAsia="zh-CN" w:bidi="ar"/>
        </w:rPr>
        <w:t>.</w:t>
      </w:r>
      <w:r>
        <w:rPr>
          <w:rFonts w:hint="eastAsia" w:ascii="Times New Roman" w:hAnsi="Times New Roman"/>
          <w:lang w:val="en-US" w:eastAsia="zh-CN"/>
        </w:rPr>
        <w:t>静态交通系统</w:t>
      </w:r>
    </w:p>
    <w:p w14:paraId="0CB97A56">
      <w:pPr>
        <w:bidi w:val="0"/>
        <w:rPr>
          <w:rFonts w:hint="eastAsia"/>
          <w:lang w:val="en-US" w:eastAsia="zh-CN"/>
        </w:rPr>
      </w:pPr>
      <w:r>
        <w:rPr>
          <w:rFonts w:hint="eastAsia"/>
          <w:lang w:val="en-US" w:eastAsia="zh-CN"/>
        </w:rPr>
        <w:t>停车场</w:t>
      </w:r>
      <w:r>
        <w:rPr>
          <w:rFonts w:hint="eastAsia"/>
        </w:rPr>
        <w:t>。</w:t>
      </w:r>
      <w:r>
        <w:rPr>
          <w:rFonts w:hint="eastAsia"/>
          <w:lang w:val="en-US" w:eastAsia="zh-CN"/>
        </w:rPr>
        <w:t>规划公共停车场12处，构建以配建为主、公共为辅、路内停车为补充的静态交通体系。建筑配建停车泊位作为静态交通设施的主体，占比应达85%以上，倡导停车泊位错时共享。新建住宅配建停车位应建设充电基础设施或预留安装条件。公共建筑物配建停车场建设充电基础设施与预留建设安装条件的车位比例不应低于10%。</w:t>
      </w:r>
    </w:p>
    <w:p w14:paraId="36D0FC9D">
      <w:pPr>
        <w:pStyle w:val="4"/>
        <w:bidi w:val="0"/>
        <w:rPr>
          <w:rFonts w:hint="eastAsia"/>
          <w:lang w:val="en-US" w:eastAsia="zh-CN"/>
        </w:rPr>
      </w:pPr>
      <w:r>
        <w:rPr>
          <w:rFonts w:hint="eastAsia"/>
          <w:lang w:val="en-US" w:eastAsia="zh-CN"/>
        </w:rPr>
        <w:t>交通枢纽规划</w:t>
      </w:r>
      <w:bookmarkEnd w:id="99"/>
    </w:p>
    <w:p w14:paraId="1278FDCB">
      <w:pPr>
        <w:bidi w:val="0"/>
        <w:rPr>
          <w:rFonts w:hint="eastAsia"/>
          <w:lang w:val="en-US" w:eastAsia="zh-CN"/>
        </w:rPr>
      </w:pPr>
      <w:r>
        <w:rPr>
          <w:rFonts w:hint="eastAsia" w:ascii="楷体_GB2312" w:hAnsi="楷体_GB2312" w:eastAsia="楷体_GB2312" w:cs="楷体_GB2312"/>
        </w:rPr>
        <w:t>客运站。</w:t>
      </w:r>
      <w:r>
        <w:rPr>
          <w:rFonts w:hint="eastAsia"/>
          <w:lang w:val="en-US" w:eastAsia="zh-CN"/>
        </w:rPr>
        <w:t>规划近期保留现有位于城区中部和城区南部的两处公路客运站，考虑到未来城市发展需求，远期将位于城区中部的桦川县客运站进行外迁，将其迁至南环路南侧，以减少客运交通对城市交通和城市环境造成的影响。</w:t>
      </w:r>
    </w:p>
    <w:p w14:paraId="7F560F6E">
      <w:pPr>
        <w:pStyle w:val="29"/>
        <w:keepNext/>
        <w:keepLines/>
        <w:pageBreakBefore w:val="0"/>
        <w:widowControl w:val="0"/>
        <w:numPr>
          <w:ilvl w:val="0"/>
          <w:numId w:val="13"/>
        </w:numPr>
        <w:tabs>
          <w:tab w:val="left" w:pos="420"/>
        </w:tabs>
        <w:kinsoku/>
        <w:wordWrap/>
        <w:overflowPunct/>
        <w:topLinePunct w:val="0"/>
        <w:autoSpaceDE/>
        <w:autoSpaceDN/>
        <w:bidi w:val="0"/>
        <w:adjustRightInd/>
        <w:snapToGrid/>
        <w:ind w:left="0" w:firstLine="0"/>
        <w:textAlignment w:val="auto"/>
        <w:rPr>
          <w:rFonts w:hint="default"/>
          <w:lang w:val="en-US" w:eastAsia="zh-CN"/>
        </w:rPr>
      </w:pPr>
      <w:bookmarkStart w:id="100" w:name="_Toc11794"/>
      <w:bookmarkStart w:id="101" w:name="_Toc24936"/>
      <w:bookmarkStart w:id="102" w:name="_Toc694"/>
      <w:r>
        <w:rPr>
          <w:rFonts w:hint="default"/>
        </w:rPr>
        <w:t>提高公服设施均等化水平</w:t>
      </w:r>
      <w:bookmarkEnd w:id="100"/>
      <w:bookmarkEnd w:id="101"/>
    </w:p>
    <w:p w14:paraId="1C33E1E2">
      <w:pPr>
        <w:pStyle w:val="4"/>
        <w:bidi w:val="0"/>
        <w:rPr>
          <w:rFonts w:hint="default"/>
        </w:rPr>
      </w:pPr>
      <w:r>
        <w:rPr>
          <w:rFonts w:hint="default"/>
        </w:rPr>
        <w:t>构建公共服务设施体系</w:t>
      </w:r>
    </w:p>
    <w:p w14:paraId="223005F4">
      <w:pPr>
        <w:bidi w:val="0"/>
      </w:pPr>
      <w:r>
        <w:t>规划在尊重现状的基础上，结合人口发展趋势，</w:t>
      </w:r>
      <w:r>
        <w:rPr>
          <w:rFonts w:hint="eastAsia"/>
        </w:rPr>
        <w:t>按照黑龙江省地方标准《社区生活圈规划技术指南》（</w:t>
      </w:r>
      <w:r>
        <w:t>DB23/T3566—2023</w:t>
      </w:r>
      <w:r>
        <w:rPr>
          <w:rFonts w:hint="eastAsia"/>
        </w:rPr>
        <w:t>）</w:t>
      </w:r>
      <w:r>
        <w:t>分项分级设置各类公共服务设施，建设“</w:t>
      </w:r>
      <w:r>
        <w:rPr>
          <w:rFonts w:hint="eastAsia"/>
        </w:rPr>
        <w:t>乡/镇层级</w:t>
      </w:r>
      <w:r>
        <w:t>—</w:t>
      </w:r>
      <w:r>
        <w:rPr>
          <w:rFonts w:hint="eastAsia"/>
        </w:rPr>
        <w:t>村/组级</w:t>
      </w:r>
      <w:r>
        <w:t>”</w:t>
      </w:r>
      <w:r>
        <w:rPr>
          <w:rFonts w:hint="eastAsia"/>
        </w:rPr>
        <w:t>两</w:t>
      </w:r>
      <w:r>
        <w:t>级</w:t>
      </w:r>
      <w:r>
        <w:rPr>
          <w:rFonts w:hint="eastAsia"/>
        </w:rPr>
        <w:t>社区生活圈</w:t>
      </w:r>
      <w:r>
        <w:t>公共服务体系，全面实现城乡基本服务设施均等化</w:t>
      </w:r>
      <w:r>
        <w:rPr>
          <w:rFonts w:hint="eastAsia"/>
        </w:rPr>
        <w:t>，</w:t>
      </w:r>
      <w:r>
        <w:t>打造面向镇域服务的公共服务体系，</w:t>
      </w:r>
      <w:r>
        <w:rPr>
          <w:rFonts w:hint="eastAsia"/>
        </w:rPr>
        <w:t>乡/镇层级公共服务中心1个，</w:t>
      </w:r>
      <w:r>
        <w:t>主要公共服务设施重点向镇区集中，提升镇区设施服务水平和设施利用效率。</w:t>
      </w:r>
      <w:r>
        <w:rPr>
          <w:rFonts w:hint="eastAsia"/>
        </w:rPr>
        <w:t>村/组级公共服务中心</w:t>
      </w:r>
      <w:r>
        <w:rPr>
          <w:rFonts w:hint="eastAsia"/>
          <w:lang w:val="en-US" w:eastAsia="zh-CN"/>
        </w:rPr>
        <w:t>9</w:t>
      </w:r>
      <w:r>
        <w:rPr>
          <w:rFonts w:hint="eastAsia"/>
        </w:rPr>
        <w:t>个，</w:t>
      </w:r>
      <w:r>
        <w:t>结合现状村委会规划，为本村和周边村庄提供基本公共服务。</w:t>
      </w:r>
    </w:p>
    <w:p w14:paraId="24D90705">
      <w:pPr>
        <w:pStyle w:val="4"/>
        <w:bidi w:val="0"/>
      </w:pPr>
      <w:r>
        <w:t>教育</w:t>
      </w:r>
      <w:r>
        <w:rPr>
          <w:rFonts w:hint="eastAsia"/>
          <w:lang w:val="en-US" w:eastAsia="zh-CN"/>
        </w:rPr>
        <w:t>科研</w:t>
      </w:r>
      <w:r>
        <w:t>设施</w:t>
      </w:r>
    </w:p>
    <w:p w14:paraId="34637E99">
      <w:pPr>
        <w:bidi w:val="0"/>
      </w:pPr>
      <w:r>
        <w:t>建设公平、优质、创新、开放的教育体系，努力办好人民满意的教育，建立优质均衡、公平开放的基础教育体系。增加学前教育资源供给，优化布局，扩大普惠性幼儿园覆盖率。推进义务教育向优质普惠迈进，完善义务教育、高中教育体系，全面实施素质教育。</w:t>
      </w:r>
    </w:p>
    <w:p w14:paraId="6A6AADE5">
      <w:pPr>
        <w:bidi w:val="0"/>
        <w:rPr>
          <w:rFonts w:hint="default"/>
        </w:rPr>
      </w:pPr>
      <w:r>
        <w:t>镇</w:t>
      </w:r>
      <w:r>
        <w:rPr>
          <w:rFonts w:hint="eastAsia"/>
        </w:rPr>
        <w:t>区</w:t>
      </w:r>
      <w:r>
        <w:t>：</w:t>
      </w:r>
      <w:r>
        <w:rPr>
          <w:rFonts w:hint="default"/>
        </w:rPr>
        <w:t>在满足中小学配置要求情况下，重点提升职业学校教育设施。</w:t>
      </w:r>
    </w:p>
    <w:p w14:paraId="0EA20CB3">
      <w:pPr>
        <w:bidi w:val="0"/>
      </w:pPr>
      <w:r>
        <w:rPr>
          <w:rFonts w:hint="eastAsia"/>
        </w:rPr>
        <w:t>中心村及基层村：不单独设置教育用地，规划所有适龄儿童集中到镇区入学。</w:t>
      </w:r>
    </w:p>
    <w:p w14:paraId="32BC7850">
      <w:pPr>
        <w:pStyle w:val="4"/>
        <w:bidi w:val="0"/>
      </w:pPr>
      <w:r>
        <w:t>医疗卫生设施</w:t>
      </w:r>
    </w:p>
    <w:p w14:paraId="3F54B9A3">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Times New Roman" w:hAnsi="Times New Roman" w:eastAsia="仿宋_GB2312"/>
          <w:bCs w:val="0"/>
          <w:color w:val="auto"/>
          <w:sz w:val="32"/>
          <w:szCs w:val="32"/>
          <w:highlight w:val="none"/>
        </w:rPr>
      </w:pPr>
      <w:r>
        <w:rPr>
          <w:rFonts w:ascii="Times New Roman" w:hAnsi="Times New Roman" w:eastAsia="仿宋_GB2312"/>
          <w:bCs w:val="0"/>
          <w:color w:val="auto"/>
          <w:sz w:val="32"/>
          <w:szCs w:val="32"/>
          <w:highlight w:val="none"/>
        </w:rPr>
        <w:t>高标准配置医疗卫生设施，建立乡镇级医疗卫生设施诊疗体系。构建以乡镇卫生院为中心，村级卫生</w:t>
      </w:r>
      <w:r>
        <w:rPr>
          <w:rFonts w:hint="eastAsia" w:asciiTheme="minorEastAsia" w:hAnsiTheme="minorEastAsia" w:eastAsiaTheme="minorEastAsia"/>
          <w:bCs w:val="0"/>
          <w:color w:val="auto"/>
          <w:sz w:val="32"/>
          <w:szCs w:val="32"/>
          <w:highlight w:val="none"/>
        </w:rPr>
        <w:t>室</w:t>
      </w:r>
      <w:r>
        <w:rPr>
          <w:rFonts w:ascii="Times New Roman" w:hAnsi="Times New Roman" w:eastAsia="仿宋_GB2312"/>
          <w:bCs w:val="0"/>
          <w:color w:val="auto"/>
          <w:sz w:val="32"/>
          <w:szCs w:val="32"/>
          <w:highlight w:val="none"/>
        </w:rPr>
        <w:t>为补充的卫生网络系统。基本建成覆盖镇域、功能齐全完善的医疗救治、疾病预防控制体系。</w:t>
      </w:r>
    </w:p>
    <w:p w14:paraId="30867FD3">
      <w:pPr>
        <w:pStyle w:val="37"/>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bCs w:val="0"/>
          <w:color w:val="auto"/>
          <w:sz w:val="32"/>
          <w:szCs w:val="32"/>
          <w:highlight w:val="none"/>
        </w:rPr>
        <w:t>镇区：</w:t>
      </w:r>
      <w:r>
        <w:rPr>
          <w:rFonts w:hint="default" w:ascii="Times New Roman" w:hAnsi="Times New Roman" w:eastAsia="仿宋_GB2312" w:cs="Times New Roman"/>
          <w:bCs/>
          <w:sz w:val="32"/>
          <w:szCs w:val="32"/>
          <w:highlight w:val="none"/>
          <w:u w:val="none"/>
        </w:rPr>
        <w:t>规划配置综合医院、中医类医院、护理院、急救中心、妇幼保健院和疾病预防控制中心。</w:t>
      </w:r>
    </w:p>
    <w:p w14:paraId="53719729">
      <w:pPr>
        <w:pStyle w:val="15"/>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bCs w:val="0"/>
          <w:color w:val="auto"/>
          <w:sz w:val="32"/>
          <w:szCs w:val="32"/>
          <w:highlight w:val="none"/>
        </w:rPr>
      </w:pPr>
      <w:r>
        <w:rPr>
          <w:rFonts w:hint="eastAsia" w:ascii="Times New Roman" w:hAnsi="Times New Roman" w:eastAsia="仿宋_GB2312"/>
          <w:bCs w:val="0"/>
          <w:color w:val="auto"/>
          <w:sz w:val="32"/>
          <w:szCs w:val="32"/>
          <w:highlight w:val="none"/>
        </w:rPr>
        <w:t>中心村及基层村</w:t>
      </w:r>
      <w:r>
        <w:rPr>
          <w:rFonts w:hint="eastAsia" w:ascii="Times New Roman" w:hAnsi="Times New Roman" w:eastAsia="仿宋_GB2312"/>
          <w:bCs w:val="0"/>
          <w:color w:val="auto"/>
          <w:sz w:val="32"/>
          <w:szCs w:val="32"/>
          <w:highlight w:val="none"/>
          <w:lang w:eastAsia="zh-CN"/>
        </w:rPr>
        <w:t>：</w:t>
      </w:r>
      <w:r>
        <w:rPr>
          <w:rFonts w:hint="eastAsia" w:ascii="Times New Roman" w:hAnsi="Times New Roman" w:eastAsia="仿宋_GB2312"/>
          <w:bCs w:val="0"/>
          <w:color w:val="auto"/>
          <w:sz w:val="32"/>
          <w:szCs w:val="32"/>
          <w:highlight w:val="none"/>
        </w:rPr>
        <w:t>规划按照一村一室进行配置村级卫生室，对现有村庄卫生室进行提升，完善乡村一级医疗卫生水平，强化基层医疗作用，做到小病不出村。</w:t>
      </w:r>
    </w:p>
    <w:p w14:paraId="5335EFDF">
      <w:pPr>
        <w:pStyle w:val="4"/>
        <w:bidi w:val="0"/>
      </w:pPr>
      <w:r>
        <w:t>文化设施</w:t>
      </w:r>
    </w:p>
    <w:p w14:paraId="2535D5DB">
      <w:pPr>
        <w:bidi w:val="0"/>
      </w:pPr>
      <w:r>
        <w:t>建立供给丰富、均衡高效的文化服务体系，扩大公共文化服务有效供给，建设一批高品质文化设施，鼓励学校、企事业单位文化设施向社会开放，实现城乡文化服务互联互通。</w:t>
      </w:r>
    </w:p>
    <w:p w14:paraId="3B7FD33C">
      <w:pPr>
        <w:bidi w:val="0"/>
        <w:rPr>
          <w:rFonts w:hint="default"/>
        </w:rPr>
      </w:pPr>
      <w:r>
        <w:t>镇区：</w:t>
      </w:r>
      <w:r>
        <w:rPr>
          <w:rFonts w:hint="default"/>
        </w:rPr>
        <w:t>规划配置公共图书馆、综合博物馆、文化馆、工人文化宫、青少年宫、妇女儿童活动中心、老年人（干部）活动中心等公共文化设施。</w:t>
      </w:r>
    </w:p>
    <w:p w14:paraId="70A314C4">
      <w:pPr>
        <w:bidi w:val="0"/>
      </w:pPr>
      <w:r>
        <w:rPr>
          <w:rFonts w:hint="eastAsia"/>
        </w:rPr>
        <w:t>中心村及基层村</w:t>
      </w:r>
      <w:r>
        <w:t>：设置包括文化活动室、</w:t>
      </w:r>
      <w:r>
        <w:rPr>
          <w:rFonts w:hint="eastAsia"/>
        </w:rPr>
        <w:t>农家书屋</w:t>
      </w:r>
      <w:r>
        <w:t>等，以满足广大农村居民的日常文化生活需要</w:t>
      </w:r>
      <w:r>
        <w:rPr>
          <w:rFonts w:hint="eastAsia"/>
        </w:rPr>
        <w:t>。有条件的村庄可设置特色民俗活动点，用来举办农民</w:t>
      </w:r>
      <w:r>
        <w:rPr>
          <w:rFonts w:hint="eastAsia"/>
          <w:highlight w:val="none"/>
          <w:lang w:eastAsia="zh-CN"/>
        </w:rPr>
        <w:t>集体</w:t>
      </w:r>
      <w:r>
        <w:rPr>
          <w:rFonts w:hint="eastAsia"/>
        </w:rPr>
        <w:t>活动和民俗活动，</w:t>
      </w:r>
      <w:r>
        <w:t>服务周边村民。</w:t>
      </w:r>
    </w:p>
    <w:p w14:paraId="34099AA1">
      <w:pPr>
        <w:pStyle w:val="4"/>
        <w:bidi w:val="0"/>
      </w:pPr>
      <w:r>
        <w:t>体育设施</w:t>
      </w:r>
    </w:p>
    <w:p w14:paraId="272322DD">
      <w:pPr>
        <w:bidi w:val="0"/>
      </w:pPr>
      <w:r>
        <w:t>建立体系完善、惠及大众的全民健身公共服务体系。兼顾竞技体育与全民健身的需求，侧重全民健身设施的建设。推动学校体育设施向社会开放，鼓励体育设施与其他公共服务设施共建共享，鼓励公园绿地及其他开敞空间提供体育健身服务功能。</w:t>
      </w:r>
    </w:p>
    <w:p w14:paraId="76B17C84">
      <w:pPr>
        <w:bidi w:val="0"/>
        <w:rPr>
          <w:rFonts w:hint="default"/>
        </w:rPr>
      </w:pPr>
      <w:r>
        <w:t>镇区：</w:t>
      </w:r>
      <w:r>
        <w:rPr>
          <w:rFonts w:hint="default"/>
        </w:rPr>
        <w:t>规划配置公共体育场、公共体育馆、综合体育公园和具备一定规模的室外冰雪运动场等设施；规划配置骑行道，宜结合公共绿地设置。</w:t>
      </w:r>
    </w:p>
    <w:p w14:paraId="305BA386">
      <w:pPr>
        <w:bidi w:val="0"/>
      </w:pPr>
      <w:r>
        <w:rPr>
          <w:rFonts w:hint="eastAsia"/>
        </w:rPr>
        <w:t>中心村及基层村</w:t>
      </w:r>
      <w:r>
        <w:t>：体育设施规划结合</w:t>
      </w:r>
      <w:r>
        <w:rPr>
          <w:rFonts w:hint="eastAsia"/>
        </w:rPr>
        <w:t>公园广场</w:t>
      </w:r>
      <w:r>
        <w:t>或文化活动室布置体育设施，配备必要的运动设施及体育器材，组织村民参加活动。</w:t>
      </w:r>
    </w:p>
    <w:p w14:paraId="369CBC74">
      <w:pPr>
        <w:pStyle w:val="4"/>
        <w:bidi w:val="0"/>
      </w:pPr>
      <w:r>
        <w:t>社会福利设施</w:t>
      </w:r>
    </w:p>
    <w:p w14:paraId="656FE16B">
      <w:pPr>
        <w:bidi w:val="0"/>
      </w:pPr>
      <w:r>
        <w:t>提升社会保障水平，坚持普惠性、保基本、均等化、可持续、高标准建设社会保障服务设施，切实保障老人、儿童和</w:t>
      </w:r>
      <w:r>
        <w:rPr>
          <w:rFonts w:hint="eastAsia"/>
          <w:highlight w:val="none"/>
          <w:lang w:eastAsia="zh-CN"/>
        </w:rPr>
        <w:t>残障人士</w:t>
      </w:r>
      <w:r>
        <w:t>的基本公共服务，建成以家庭为基础、社区为依托、机构养老为补充、医养相结合的养老服务体系，形成网络健全、便捷高效的养老服务格局。</w:t>
      </w:r>
    </w:p>
    <w:p w14:paraId="3094B352">
      <w:pPr>
        <w:bidi w:val="0"/>
        <w:rPr>
          <w:rFonts w:hint="default"/>
        </w:rPr>
      </w:pPr>
      <w:r>
        <w:t>镇区：</w:t>
      </w:r>
      <w:r>
        <w:rPr>
          <w:rFonts w:hint="default"/>
        </w:rPr>
        <w:t>规划配置敬老院，应独立占地，活动场地不小于400平方米，可与老年养护院联合设置，应积极推进“医养结合”大型高端养老服务基地建设。规划配置残疾人综合服务设施，可兼容设置。</w:t>
      </w:r>
    </w:p>
    <w:p w14:paraId="735720C1">
      <w:pPr>
        <w:bidi w:val="0"/>
      </w:pPr>
      <w:r>
        <w:rPr>
          <w:rFonts w:hint="eastAsia"/>
        </w:rPr>
        <w:t>中心村及基层村</w:t>
      </w:r>
      <w:r>
        <w:t>：结合村委会以及闲置校舍建设老年人日间照料中心、老年活动室，服务周边村民。</w:t>
      </w:r>
      <w:r>
        <w:rPr>
          <w:rFonts w:hint="eastAsia"/>
        </w:rPr>
        <w:t>有条件的村庄可设置幸福大院和老年人餐厅。</w:t>
      </w:r>
    </w:p>
    <w:p w14:paraId="7F37C684">
      <w:pPr>
        <w:pStyle w:val="29"/>
        <w:keepNext/>
        <w:keepLines/>
        <w:pageBreakBefore w:val="0"/>
        <w:widowControl w:val="0"/>
        <w:numPr>
          <w:ilvl w:val="0"/>
          <w:numId w:val="13"/>
        </w:numPr>
        <w:tabs>
          <w:tab w:val="left" w:pos="420"/>
        </w:tabs>
        <w:kinsoku/>
        <w:wordWrap/>
        <w:overflowPunct/>
        <w:topLinePunct w:val="0"/>
        <w:autoSpaceDE/>
        <w:autoSpaceDN/>
        <w:bidi w:val="0"/>
        <w:adjustRightInd/>
        <w:snapToGrid/>
        <w:ind w:left="0" w:firstLine="0"/>
        <w:textAlignment w:val="auto"/>
        <w:rPr>
          <w:rFonts w:hint="default"/>
        </w:rPr>
      </w:pPr>
      <w:bookmarkStart w:id="103" w:name="_Toc26179"/>
      <w:bookmarkStart w:id="104" w:name="_Toc26281"/>
      <w:r>
        <w:rPr>
          <w:rFonts w:hint="default"/>
        </w:rPr>
        <w:t>优化</w:t>
      </w:r>
      <w:r>
        <w:rPr>
          <w:rFonts w:hint="eastAsia"/>
          <w:lang w:val="en-US" w:eastAsia="zh-CN"/>
        </w:rPr>
        <w:t>镇域</w:t>
      </w:r>
      <w:r>
        <w:rPr>
          <w:rFonts w:hint="default"/>
        </w:rPr>
        <w:t>基础设施空间布局</w:t>
      </w:r>
      <w:bookmarkEnd w:id="103"/>
      <w:bookmarkEnd w:id="104"/>
    </w:p>
    <w:p w14:paraId="18DF8FA8">
      <w:pPr>
        <w:pStyle w:val="4"/>
        <w:bidi w:val="0"/>
        <w:rPr>
          <w:rFonts w:hint="default"/>
        </w:rPr>
      </w:pPr>
      <w:r>
        <w:rPr>
          <w:rFonts w:hint="default"/>
        </w:rPr>
        <w:t>优化电力设施布局</w:t>
      </w:r>
    </w:p>
    <w:p w14:paraId="5A1A8B60">
      <w:pPr>
        <w:bidi w:val="0"/>
        <w:rPr>
          <w:rFonts w:hint="eastAsia"/>
        </w:rPr>
      </w:pPr>
      <w:r>
        <w:rPr>
          <w:rFonts w:hint="eastAsia"/>
          <w:lang w:val="en-US" w:eastAsia="zh-CN"/>
        </w:rPr>
        <w:t>加强10千伏配电网升级改造，建设联络通道实现负荷转代，提高供电能力，满足用电负荷发展的需要。</w:t>
      </w:r>
    </w:p>
    <w:p w14:paraId="0D6972B5">
      <w:pPr>
        <w:bidi w:val="0"/>
        <w:rPr>
          <w:rFonts w:hint="eastAsia"/>
        </w:rPr>
      </w:pPr>
      <w:r>
        <w:rPr>
          <w:rFonts w:hint="eastAsia"/>
        </w:rPr>
        <w:t>科学规划城乡配电网，加快电网建设和改造，电网与电源建设同步发展，强化网络结构和完善主系统联络通道。</w:t>
      </w:r>
    </w:p>
    <w:p w14:paraId="5D77A35D">
      <w:pPr>
        <w:bidi w:val="0"/>
        <w:rPr>
          <w:rFonts w:hint="eastAsia"/>
        </w:rPr>
      </w:pPr>
      <w:r>
        <w:rPr>
          <w:rFonts w:hint="eastAsia"/>
        </w:rPr>
        <w:t>高压电力廊道要求。500千伏高压走廊宽度不低于60米（宜在60</w:t>
      </w:r>
      <w:r>
        <w:rPr>
          <w:rFonts w:hint="eastAsia"/>
          <w:lang w:eastAsia="zh-CN"/>
        </w:rPr>
        <w:t>—</w:t>
      </w:r>
      <w:r>
        <w:rPr>
          <w:rFonts w:hint="eastAsia"/>
        </w:rPr>
        <w:t>75米），220千伏高压走廊宽度不低于30米（宜在30</w:t>
      </w:r>
      <w:r>
        <w:rPr>
          <w:rFonts w:hint="eastAsia"/>
          <w:lang w:eastAsia="zh-CN"/>
        </w:rPr>
        <w:t>—</w:t>
      </w:r>
      <w:r>
        <w:rPr>
          <w:rFonts w:hint="eastAsia"/>
        </w:rPr>
        <w:t>40米），66千伏和110千伏高压走廊宽度不低于15米（宜在15</w:t>
      </w:r>
      <w:r>
        <w:rPr>
          <w:rFonts w:hint="eastAsia"/>
          <w:lang w:eastAsia="zh-CN"/>
        </w:rPr>
        <w:t>—</w:t>
      </w:r>
      <w:r>
        <w:rPr>
          <w:rFonts w:hint="eastAsia"/>
        </w:rPr>
        <w:t>25米），35千伏高压走廊宽度不低于15米（宜在15</w:t>
      </w:r>
      <w:r>
        <w:rPr>
          <w:rFonts w:hint="eastAsia"/>
          <w:lang w:eastAsia="zh-CN"/>
        </w:rPr>
        <w:t>—</w:t>
      </w:r>
      <w:r>
        <w:rPr>
          <w:rFonts w:hint="eastAsia"/>
        </w:rPr>
        <w:t>20米）。采取各种措施保障供电设施和高压走廊用地不被侵占，加强高压电力廊道预留和管控。</w:t>
      </w:r>
    </w:p>
    <w:p w14:paraId="1199CAE3">
      <w:pPr>
        <w:pStyle w:val="4"/>
        <w:bidi w:val="0"/>
        <w:rPr>
          <w:rFonts w:hint="default"/>
        </w:rPr>
      </w:pPr>
      <w:r>
        <w:rPr>
          <w:rFonts w:hint="default"/>
        </w:rPr>
        <w:t>优化燃气设施布局</w:t>
      </w:r>
    </w:p>
    <w:p w14:paraId="77B6ECF2">
      <w:pPr>
        <w:bidi w:val="0"/>
        <w:rPr>
          <w:rFonts w:hint="eastAsia"/>
          <w:lang w:val="en-US" w:eastAsia="zh-CN"/>
        </w:rPr>
      </w:pPr>
      <w:r>
        <w:rPr>
          <w:rFonts w:hint="eastAsia"/>
          <w:lang w:val="en-US" w:eastAsia="zh-CN"/>
        </w:rPr>
        <w:t>规划镇政府驻地以天然气作为主要气源，以液化石油气为辅助气源。天然气供气站位于桦川县悦来大街南段，占地面积为12000平方米，规划远期扩建天然气供气站。</w:t>
      </w:r>
    </w:p>
    <w:p w14:paraId="6CEDDC67">
      <w:pPr>
        <w:bidi w:val="0"/>
        <w:rPr>
          <w:rFonts w:hint="default"/>
          <w:lang w:val="en-US" w:eastAsia="zh-CN"/>
        </w:rPr>
      </w:pPr>
      <w:r>
        <w:rPr>
          <w:rFonts w:hint="default"/>
          <w:lang w:val="en-US" w:eastAsia="zh-CN"/>
        </w:rPr>
        <w:t>推广使用秸秆燃料块并配套使用专用炉具的模式。采用直燃式秸秆半气化炉，可带暖气设备给居室供暖，热效率比较高，供暖效果好。</w:t>
      </w:r>
    </w:p>
    <w:p w14:paraId="7DAEC0C1">
      <w:pPr>
        <w:pStyle w:val="4"/>
        <w:bidi w:val="0"/>
        <w:rPr>
          <w:rFonts w:hint="default"/>
        </w:rPr>
      </w:pPr>
      <w:r>
        <w:rPr>
          <w:rFonts w:hint="default"/>
        </w:rPr>
        <w:t>优化给水设施布局</w:t>
      </w:r>
    </w:p>
    <w:p w14:paraId="6F287266">
      <w:pPr>
        <w:bidi w:val="0"/>
        <w:rPr>
          <w:rFonts w:hint="eastAsia"/>
          <w:lang w:val="en-US" w:eastAsia="zh-CN"/>
        </w:rPr>
      </w:pPr>
      <w:r>
        <w:rPr>
          <w:rFonts w:hint="eastAsia"/>
          <w:lang w:val="en-US" w:eastAsia="zh-CN"/>
        </w:rPr>
        <w:t>1.规划用水量计算</w:t>
      </w:r>
    </w:p>
    <w:p w14:paraId="6BBACDD9">
      <w:pPr>
        <w:bidi w:val="0"/>
        <w:rPr>
          <w:rFonts w:hint="eastAsia"/>
          <w:lang w:val="en-US" w:eastAsia="zh-CN"/>
        </w:rPr>
      </w:pPr>
      <w:r>
        <w:rPr>
          <w:rFonts w:hint="eastAsia"/>
          <w:lang w:val="en-US" w:eastAsia="zh-CN"/>
        </w:rPr>
        <w:t>确定各村屯生活供水量安全标准为100升/人·日。</w:t>
      </w:r>
    </w:p>
    <w:p w14:paraId="590CA325">
      <w:pPr>
        <w:bidi w:val="0"/>
        <w:rPr>
          <w:rFonts w:hint="eastAsia"/>
          <w:lang w:val="en-US" w:eastAsia="zh-CN"/>
        </w:rPr>
      </w:pPr>
      <w:r>
        <w:rPr>
          <w:rFonts w:hint="eastAsia"/>
          <w:lang w:val="en-US" w:eastAsia="zh-CN"/>
        </w:rPr>
        <w:t>2.供水水源</w:t>
      </w:r>
    </w:p>
    <w:p w14:paraId="6FBC9C74">
      <w:pPr>
        <w:bidi w:val="0"/>
        <w:rPr>
          <w:rFonts w:hint="eastAsia"/>
          <w:lang w:val="en-US" w:eastAsia="zh-CN"/>
        </w:rPr>
      </w:pPr>
      <w:r>
        <w:rPr>
          <w:rFonts w:hint="eastAsia"/>
          <w:lang w:val="en-US" w:eastAsia="zh-CN"/>
        </w:rPr>
        <w:t>现状各村屯水源均采用地下水为水源，采用深水井供水。</w:t>
      </w:r>
    </w:p>
    <w:p w14:paraId="05F6F7D9">
      <w:pPr>
        <w:bidi w:val="0"/>
        <w:rPr>
          <w:rFonts w:hint="eastAsia"/>
          <w:lang w:val="en-US" w:eastAsia="zh-CN"/>
        </w:rPr>
      </w:pPr>
      <w:r>
        <w:rPr>
          <w:rFonts w:hint="eastAsia"/>
          <w:lang w:val="en-US" w:eastAsia="zh-CN"/>
        </w:rPr>
        <w:t>3.水源保护及水质监测体系建设</w:t>
      </w:r>
    </w:p>
    <w:p w14:paraId="79B9B55F">
      <w:pPr>
        <w:bidi w:val="0"/>
        <w:rPr>
          <w:rFonts w:hint="eastAsia"/>
          <w:lang w:val="en-US" w:eastAsia="zh-CN"/>
        </w:rPr>
      </w:pPr>
      <w:r>
        <w:rPr>
          <w:rFonts w:hint="eastAsia"/>
          <w:lang w:val="en-US" w:eastAsia="zh-CN"/>
        </w:rPr>
        <w:t>水源保护是饮水安</w:t>
      </w:r>
      <w:r>
        <w:rPr>
          <w:rFonts w:hint="eastAsia"/>
          <w:highlight w:val="none"/>
          <w:lang w:val="en-US" w:eastAsia="zh-CN"/>
        </w:rPr>
        <w:t>全的</w:t>
      </w:r>
      <w:r>
        <w:rPr>
          <w:rFonts w:hint="eastAsia"/>
          <w:lang w:val="en-US" w:eastAsia="zh-CN"/>
        </w:rPr>
        <w:t>重要保障，因此应加大力度对饮用水水源进行保护，依据《黑龙江省饮用水卫生监督管理规定》中要</w:t>
      </w:r>
      <w:r>
        <w:rPr>
          <w:rFonts w:hint="eastAsia"/>
          <w:highlight w:val="none"/>
          <w:lang w:val="en-US" w:eastAsia="zh-CN"/>
        </w:rPr>
        <w:t>求的</w:t>
      </w:r>
      <w:r>
        <w:rPr>
          <w:rFonts w:hint="eastAsia"/>
          <w:lang w:val="en-US" w:eastAsia="zh-CN"/>
        </w:rPr>
        <w:t>集中供水单位周围10米内不得设置生活居住区和修建</w:t>
      </w:r>
      <w:r>
        <w:rPr>
          <w:rFonts w:hint="eastAsia"/>
          <w:highlight w:val="none"/>
          <w:lang w:val="en-US" w:eastAsia="zh-CN"/>
        </w:rPr>
        <w:t>畜禽</w:t>
      </w:r>
      <w:r>
        <w:rPr>
          <w:rFonts w:hint="eastAsia"/>
          <w:lang w:val="en-US" w:eastAsia="zh-CN"/>
        </w:rPr>
        <w:t>饲养场、渗水厕所、渗水坑等污染源，不得堆放垃圾、粪便、废渣等污染物或铺设污水渠道等。增加水源地保护措施。</w:t>
      </w:r>
    </w:p>
    <w:p w14:paraId="266C991B">
      <w:pPr>
        <w:bidi w:val="0"/>
        <w:rPr>
          <w:rFonts w:hint="eastAsia"/>
          <w:lang w:val="en-US" w:eastAsia="zh-CN"/>
        </w:rPr>
      </w:pPr>
      <w:r>
        <w:rPr>
          <w:rFonts w:hint="eastAsia"/>
          <w:lang w:val="en-US" w:eastAsia="zh-CN"/>
        </w:rPr>
        <w:t>净水站供水和用水点的水质监测，对取水、制水、供水实施全过程管理，及时掌握城乡饮用水水源环境、供水水质状况，并定期检查。</w:t>
      </w:r>
    </w:p>
    <w:p w14:paraId="260D309E">
      <w:pPr>
        <w:bidi w:val="0"/>
        <w:rPr>
          <w:rFonts w:hint="eastAsia"/>
          <w:lang w:val="en-US" w:eastAsia="zh-CN"/>
        </w:rPr>
      </w:pPr>
      <w:r>
        <w:rPr>
          <w:rFonts w:hint="eastAsia"/>
          <w:lang w:val="en-US" w:eastAsia="zh-CN"/>
        </w:rPr>
        <w:t>对检查不合格的供水单位，严格按照有关规定进行查处，并督促限期整改。各供水单位建立以水质为核心的质量管理体系，建立严格的取样、检测和化验制度，按国家有关标准和操作规程检测供水水质，并完善检测数据的统计分析和报表制度。</w:t>
      </w:r>
    </w:p>
    <w:p w14:paraId="3CE9546D">
      <w:pPr>
        <w:pStyle w:val="4"/>
        <w:bidi w:val="0"/>
        <w:rPr>
          <w:rFonts w:hint="default"/>
        </w:rPr>
      </w:pPr>
      <w:r>
        <w:rPr>
          <w:rFonts w:hint="default"/>
        </w:rPr>
        <w:t>优化排水设施布局</w:t>
      </w:r>
    </w:p>
    <w:p w14:paraId="162DE038">
      <w:pPr>
        <w:bidi w:val="0"/>
        <w:rPr>
          <w:rFonts w:hint="eastAsia"/>
          <w:lang w:val="en-US" w:eastAsia="zh-CN"/>
        </w:rPr>
      </w:pPr>
      <w:r>
        <w:rPr>
          <w:rFonts w:hint="eastAsia"/>
          <w:lang w:val="en-US" w:eastAsia="zh-CN"/>
        </w:rPr>
        <w:t>1.规划排水体制</w:t>
      </w:r>
    </w:p>
    <w:p w14:paraId="6253938F">
      <w:pPr>
        <w:bidi w:val="0"/>
        <w:rPr>
          <w:rFonts w:hint="eastAsia"/>
          <w:lang w:val="en-US" w:eastAsia="zh-CN"/>
        </w:rPr>
      </w:pPr>
      <w:r>
        <w:rPr>
          <w:rFonts w:hint="eastAsia"/>
          <w:lang w:val="en-US" w:eastAsia="zh-CN"/>
        </w:rPr>
        <w:t>实施雨污分流、粪便污水资源化利用。</w:t>
      </w:r>
    </w:p>
    <w:p w14:paraId="1CC56DB4">
      <w:pPr>
        <w:bidi w:val="0"/>
        <w:rPr>
          <w:rFonts w:hint="eastAsia"/>
          <w:lang w:val="en-US" w:eastAsia="zh-CN"/>
        </w:rPr>
      </w:pPr>
      <w:r>
        <w:rPr>
          <w:rFonts w:hint="eastAsia"/>
          <w:lang w:val="en-US" w:eastAsia="zh-CN"/>
        </w:rPr>
        <w:t>2.污水处理规划</w:t>
      </w:r>
    </w:p>
    <w:p w14:paraId="161A1619">
      <w:pPr>
        <w:bidi w:val="0"/>
        <w:rPr>
          <w:rFonts w:hint="eastAsia"/>
          <w:lang w:val="en-US" w:eastAsia="zh-CN"/>
        </w:rPr>
      </w:pPr>
      <w:r>
        <w:rPr>
          <w:rFonts w:hint="eastAsia"/>
          <w:lang w:val="en-US" w:eastAsia="zh-CN"/>
        </w:rPr>
        <w:t>村屯住宅分散，全部进行集中处理，将面临污水收集管网投资的巨大压力。为此，要积极探索，因地制宜，对分散农户引进技术实行就地处理。目前的处理方法主要有人工生态湿地、沼气、无动力厌氧、改良“三格式”、氧化塘以及地埋式一体化设施等。</w:t>
      </w:r>
    </w:p>
    <w:p w14:paraId="692C2597">
      <w:pPr>
        <w:bidi w:val="0"/>
        <w:rPr>
          <w:rFonts w:hint="eastAsia"/>
          <w:lang w:val="en-US" w:eastAsia="zh-CN"/>
        </w:rPr>
      </w:pPr>
      <w:r>
        <w:rPr>
          <w:rFonts w:hint="eastAsia"/>
          <w:lang w:val="en-US" w:eastAsia="zh-CN"/>
        </w:rPr>
        <w:t>有条件的村屯要尽快建设地下排污管网，利用明沟和暗沟排放污水的村屯，污水要有组织排放，设立固定、不渗漏、不外溢的污水氧化塘。</w:t>
      </w:r>
    </w:p>
    <w:p w14:paraId="6520B29C">
      <w:pPr>
        <w:bidi w:val="0"/>
        <w:rPr>
          <w:rFonts w:hint="eastAsia"/>
          <w:lang w:val="en-US" w:eastAsia="zh-CN"/>
        </w:rPr>
      </w:pPr>
      <w:r>
        <w:rPr>
          <w:rFonts w:hint="eastAsia"/>
          <w:lang w:val="en-US" w:eastAsia="zh-CN"/>
        </w:rPr>
        <w:t>在工程技术措施上，要综合采取减少污染源措施（如清洁生产、节约用水）、提高农田及水环境自净能力措施以及人工污水处理措施，仅仅采取人工处理措施是十分有限的，而且在经济上难以承受。要充分利用农村地域的自然净化能力，即充分利用农村周边的河流、渠系、池塘、农田和荒地等，开展土地污水处理、污水灌溉，建设人工湿地、氧化塘或氧化沟，构建水循环系统和水生植物与荒地结合的生态净化系统等措施。同时可以采用氧化塘等污水处理措施，与畜禽养殖和水产、渔业等相结合，可以保证常年运行，既降低污水处理成本，又产生经济效益。</w:t>
      </w:r>
    </w:p>
    <w:p w14:paraId="701F3BE1">
      <w:pPr>
        <w:bidi w:val="0"/>
        <w:rPr>
          <w:rFonts w:hint="eastAsia"/>
          <w:lang w:val="en-US" w:eastAsia="zh-CN"/>
        </w:rPr>
      </w:pPr>
      <w:r>
        <w:rPr>
          <w:rFonts w:hint="eastAsia"/>
          <w:lang w:val="en-US" w:eastAsia="zh-CN"/>
        </w:rPr>
        <w:t>规划对现状雨水排水明沟、明渠进行清淤，根据需要建设排水明沟或暗渠，雨水边沟的建设与道路整治一起逐步施行，引导雨水排放，避免发生暴雨天气积水现象。规划远期，根据乡镇发展建设情况，经济能力满足条件后可逐步建设暗管排放雨水，保持路面清洁卫生，提升生活条件标准。</w:t>
      </w:r>
    </w:p>
    <w:p w14:paraId="75F46913">
      <w:pPr>
        <w:pStyle w:val="4"/>
        <w:bidi w:val="0"/>
        <w:rPr>
          <w:rFonts w:hint="default"/>
        </w:rPr>
      </w:pPr>
      <w:r>
        <w:rPr>
          <w:rFonts w:hint="default"/>
        </w:rPr>
        <w:t>优化</w:t>
      </w:r>
      <w:r>
        <w:rPr>
          <w:rFonts w:hint="eastAsia"/>
          <w:lang w:val="en-US" w:eastAsia="zh-CN"/>
        </w:rPr>
        <w:t>通信</w:t>
      </w:r>
      <w:r>
        <w:rPr>
          <w:rFonts w:hint="default"/>
        </w:rPr>
        <w:t>工程布局</w:t>
      </w:r>
    </w:p>
    <w:p w14:paraId="60D41BB9">
      <w:pPr>
        <w:bidi w:val="0"/>
        <w:rPr>
          <w:rFonts w:hint="default"/>
          <w:lang w:val="en-US" w:eastAsia="zh-CN"/>
        </w:rPr>
      </w:pPr>
      <w:r>
        <w:rPr>
          <w:rFonts w:hint="eastAsia"/>
          <w:lang w:val="en-US" w:eastAsia="zh-CN"/>
        </w:rPr>
        <w:t>加强信息基础设施建设，加快下一代移动通信网络、互联网、高速宽带传输网络等信息基础设施建设，促进电信网、广播电视网、互联网三网融合，推进互联网与物联网应用，推动城镇智能化建设，加快</w:t>
      </w:r>
      <w:r>
        <w:rPr>
          <w:rFonts w:hint="default"/>
          <w:lang w:val="en-US" w:eastAsia="zh-CN"/>
        </w:rPr>
        <w:t>5G</w:t>
      </w:r>
      <w:r>
        <w:rPr>
          <w:rFonts w:hint="eastAsia"/>
          <w:lang w:val="en-US" w:eastAsia="zh-CN"/>
        </w:rPr>
        <w:t>网络建设，扩大千兆及以上光纤覆盖范围。构建</w:t>
      </w:r>
      <w:r>
        <w:rPr>
          <w:rFonts w:hint="eastAsia"/>
          <w:highlight w:val="none"/>
          <w:lang w:val="en-US" w:eastAsia="zh-CN"/>
        </w:rPr>
        <w:t>现代化邮政体系，</w:t>
      </w:r>
      <w:r>
        <w:rPr>
          <w:rFonts w:hint="eastAsia"/>
          <w:lang w:val="en-US" w:eastAsia="zh-CN"/>
        </w:rPr>
        <w:t>提升邮政收寄、处理、运输和投递环节服务能力，构建“骨干－枢纽－末端”综合立体、通达高效、智能安全的邮政寄递网络。完善农村邮站及邮路建设，推动城乡区域协同发展。</w:t>
      </w:r>
    </w:p>
    <w:p w14:paraId="35E7262D">
      <w:pPr>
        <w:pStyle w:val="4"/>
        <w:bidi w:val="0"/>
        <w:rPr>
          <w:rFonts w:hint="default"/>
        </w:rPr>
      </w:pPr>
      <w:r>
        <w:rPr>
          <w:rFonts w:hint="default"/>
        </w:rPr>
        <w:t>优化供热设施布局</w:t>
      </w:r>
    </w:p>
    <w:p w14:paraId="381D6928">
      <w:pPr>
        <w:bidi w:val="0"/>
        <w:rPr>
          <w:rFonts w:hint="eastAsia"/>
          <w:lang w:val="en-US" w:eastAsia="zh-CN"/>
        </w:rPr>
      </w:pPr>
      <w:r>
        <w:rPr>
          <w:rFonts w:hint="eastAsia"/>
          <w:lang w:val="en-US" w:eastAsia="zh-CN"/>
        </w:rPr>
        <w:t>构建以集中供暖为主、分散供暖为辅的基本格局。实施燃煤热源超低排放改造，逐步提高燃煤热源清洁化比例。</w:t>
      </w:r>
    </w:p>
    <w:p w14:paraId="3A1CCC6F">
      <w:pPr>
        <w:bidi w:val="0"/>
        <w:rPr>
          <w:rFonts w:hint="eastAsia"/>
          <w:lang w:val="en-US" w:eastAsia="zh-CN"/>
        </w:rPr>
      </w:pPr>
      <w:r>
        <w:rPr>
          <w:rFonts w:hint="eastAsia"/>
          <w:lang w:val="en-US" w:eastAsia="zh-CN"/>
        </w:rPr>
        <w:t>村庄供热建议采用以下两种模式：</w:t>
      </w:r>
      <w:r>
        <w:rPr>
          <w:rFonts w:hint="default"/>
          <w:lang w:val="en-US" w:eastAsia="zh-CN"/>
        </w:rPr>
        <w:t>一是独立供热模式。可采用直燃式秸秆半</w:t>
      </w:r>
      <w:r>
        <w:rPr>
          <w:rFonts w:hint="eastAsia"/>
          <w:highlight w:val="none"/>
          <w:lang w:val="en-US" w:eastAsia="zh-CN"/>
        </w:rPr>
        <w:t>汽化多功能</w:t>
      </w:r>
      <w:r>
        <w:rPr>
          <w:rFonts w:hint="default"/>
          <w:lang w:val="en-US" w:eastAsia="zh-CN"/>
        </w:rPr>
        <w:t>水暖炉采暖、墙体保温与地盘管独立供热模式。二是集中供热模式。有条件的地方，可采用建设锅炉房，使用秸秆压块专用供暖锅炉集中供热模式。</w:t>
      </w:r>
    </w:p>
    <w:p w14:paraId="20CB8550">
      <w:pPr>
        <w:pStyle w:val="4"/>
        <w:bidi w:val="0"/>
        <w:rPr>
          <w:rFonts w:hint="default"/>
        </w:rPr>
      </w:pPr>
      <w:r>
        <w:rPr>
          <w:rFonts w:hint="default"/>
        </w:rPr>
        <w:t>优化环卫设施布局</w:t>
      </w:r>
    </w:p>
    <w:p w14:paraId="6A871E9D">
      <w:pPr>
        <w:bidi w:val="0"/>
        <w:rPr>
          <w:rFonts w:hint="eastAsia"/>
          <w:lang w:val="en-US" w:eastAsia="zh-CN"/>
        </w:rPr>
      </w:pPr>
      <w:r>
        <w:rPr>
          <w:rFonts w:hint="default"/>
          <w:lang w:val="en-US" w:eastAsia="zh-CN"/>
        </w:rPr>
        <w:t>逐步推行生活垃圾分类制度，完善以</w:t>
      </w:r>
      <w:r>
        <w:rPr>
          <w:rFonts w:hint="eastAsia"/>
          <w:lang w:val="en-US" w:eastAsia="zh-CN"/>
        </w:rPr>
        <w:t>“村屯</w:t>
      </w:r>
      <w:r>
        <w:rPr>
          <w:rFonts w:hint="default"/>
          <w:lang w:val="en-US" w:eastAsia="zh-CN"/>
        </w:rPr>
        <w:t>收集</w:t>
      </w:r>
      <w:r>
        <w:rPr>
          <w:rFonts w:hint="eastAsia"/>
          <w:lang w:val="en-US" w:eastAsia="zh-CN"/>
        </w:rPr>
        <w:t>－乡镇</w:t>
      </w:r>
      <w:r>
        <w:rPr>
          <w:rFonts w:hint="default"/>
          <w:lang w:val="en-US" w:eastAsia="zh-CN"/>
        </w:rPr>
        <w:t>转运</w:t>
      </w:r>
      <w:r>
        <w:rPr>
          <w:rFonts w:hint="eastAsia"/>
          <w:lang w:val="en-US" w:eastAsia="zh-CN"/>
        </w:rPr>
        <w:t>－</w:t>
      </w:r>
      <w:r>
        <w:rPr>
          <w:rFonts w:hint="default"/>
          <w:lang w:val="en-US" w:eastAsia="zh-CN"/>
        </w:rPr>
        <w:t>县集中处理</w:t>
      </w:r>
      <w:r>
        <w:rPr>
          <w:rFonts w:hint="eastAsia"/>
          <w:lang w:val="en-US" w:eastAsia="zh-CN"/>
        </w:rPr>
        <w:t>”</w:t>
      </w:r>
      <w:r>
        <w:rPr>
          <w:rFonts w:hint="default"/>
          <w:lang w:val="en-US" w:eastAsia="zh-CN"/>
        </w:rPr>
        <w:t>的生活垃圾收运及处理体系。</w:t>
      </w:r>
      <w:r>
        <w:rPr>
          <w:rFonts w:hint="eastAsia"/>
          <w:lang w:val="en-US" w:eastAsia="zh-CN"/>
        </w:rPr>
        <w:t>各村屯建成垃圾分类收集转运一体化站，由乡镇转运至中心城区垃圾转运站，由桦川</w:t>
      </w:r>
      <w:r>
        <w:rPr>
          <w:rFonts w:hint="default"/>
          <w:lang w:val="en-US" w:eastAsia="zh-CN"/>
        </w:rPr>
        <w:t>县</w:t>
      </w:r>
      <w:r>
        <w:rPr>
          <w:rFonts w:hint="eastAsia"/>
          <w:lang w:val="en-US" w:eastAsia="zh-CN"/>
        </w:rPr>
        <w:t>统一转运至佳木斯市</w:t>
      </w:r>
      <w:r>
        <w:rPr>
          <w:rFonts w:hint="default"/>
          <w:lang w:val="en-US" w:eastAsia="zh-CN"/>
        </w:rPr>
        <w:t>生活垃圾焚烧</w:t>
      </w:r>
      <w:r>
        <w:rPr>
          <w:rFonts w:hint="eastAsia"/>
          <w:lang w:val="en-US" w:eastAsia="zh-CN"/>
        </w:rPr>
        <w:t>发电厂统一焚烧。</w:t>
      </w:r>
    </w:p>
    <w:bookmarkEnd w:id="102"/>
    <w:p w14:paraId="60F2C1DF">
      <w:pPr>
        <w:pStyle w:val="29"/>
        <w:keepNext/>
        <w:keepLines/>
        <w:pageBreakBefore w:val="0"/>
        <w:widowControl w:val="0"/>
        <w:numPr>
          <w:ilvl w:val="0"/>
          <w:numId w:val="13"/>
        </w:numPr>
        <w:tabs>
          <w:tab w:val="left" w:pos="420"/>
        </w:tabs>
        <w:kinsoku/>
        <w:wordWrap/>
        <w:overflowPunct/>
        <w:topLinePunct w:val="0"/>
        <w:autoSpaceDE/>
        <w:autoSpaceDN/>
        <w:bidi w:val="0"/>
        <w:adjustRightInd/>
        <w:snapToGrid/>
        <w:ind w:left="0" w:firstLine="0"/>
        <w:textAlignment w:val="auto"/>
        <w:rPr>
          <w:rFonts w:hint="default"/>
          <w:lang w:val="en-US" w:eastAsia="zh-CN"/>
        </w:rPr>
      </w:pPr>
      <w:bookmarkStart w:id="105" w:name="_Toc2907"/>
      <w:bookmarkStart w:id="106" w:name="_Toc360266031"/>
      <w:bookmarkStart w:id="107" w:name="_Toc298841274"/>
      <w:r>
        <w:rPr>
          <w:rFonts w:hint="eastAsia"/>
          <w:lang w:val="en-US" w:eastAsia="zh-CN"/>
        </w:rPr>
        <w:t>健全综合防灾体系</w:t>
      </w:r>
      <w:bookmarkEnd w:id="105"/>
    </w:p>
    <w:bookmarkEnd w:id="106"/>
    <w:bookmarkEnd w:id="107"/>
    <w:p w14:paraId="33790FC2">
      <w:pPr>
        <w:pStyle w:val="4"/>
        <w:bidi w:val="0"/>
        <w:rPr>
          <w:rFonts w:hint="default"/>
        </w:rPr>
      </w:pPr>
      <w:bookmarkStart w:id="108" w:name="_Toc298841273"/>
      <w:bookmarkStart w:id="109" w:name="_Toc360266030"/>
      <w:r>
        <w:rPr>
          <w:rFonts w:hint="eastAsia"/>
        </w:rPr>
        <w:t>综合防灾总体目标</w:t>
      </w:r>
      <w:bookmarkEnd w:id="108"/>
      <w:bookmarkEnd w:id="109"/>
    </w:p>
    <w:p w14:paraId="4296CEA1">
      <w:pPr>
        <w:bidi w:val="0"/>
        <w:rPr>
          <w:rFonts w:hint="eastAsia"/>
          <w:lang w:val="en-US" w:eastAsia="zh-CN"/>
        </w:rPr>
      </w:pPr>
      <w:r>
        <w:rPr>
          <w:rFonts w:hint="eastAsia"/>
          <w:lang w:val="en-US" w:eastAsia="zh-CN"/>
        </w:rPr>
        <w:t>建设具有健全的防灾法规体系和防灾规划体系，具有完善的工程设施抗灾设防和应急救灾体系；重大工程及生命线基础设施抗灾能力全面符合国家相关规范要求，达到防御大灾的要求，具有完善的灾害预警和应急机制；具有充分有效的避难疏散设施；保障信息收集、处理、发布和反应渠道畅通；市民具有良好的防灾减灾和公共安全意识。</w:t>
      </w:r>
    </w:p>
    <w:p w14:paraId="7FC51605">
      <w:pPr>
        <w:pStyle w:val="4"/>
        <w:bidi w:val="0"/>
        <w:rPr>
          <w:rFonts w:hint="eastAsia"/>
        </w:rPr>
      </w:pPr>
      <w:r>
        <w:rPr>
          <w:rFonts w:hint="eastAsia"/>
        </w:rPr>
        <w:t>综合防灾与公共安全保障</w:t>
      </w:r>
    </w:p>
    <w:p w14:paraId="0A6F5C49">
      <w:pPr>
        <w:bidi w:val="0"/>
        <w:rPr>
          <w:rFonts w:hint="eastAsia"/>
          <w:lang w:val="en-US" w:eastAsia="zh-CN"/>
        </w:rPr>
      </w:pPr>
      <w:r>
        <w:rPr>
          <w:rFonts w:hint="eastAsia"/>
          <w:lang w:val="en-US" w:eastAsia="zh-CN"/>
        </w:rPr>
        <w:t>1.综合防灾空间结构</w:t>
      </w:r>
    </w:p>
    <w:p w14:paraId="0E1A7CB9">
      <w:pPr>
        <w:bidi w:val="0"/>
        <w:rPr>
          <w:rFonts w:hint="eastAsia"/>
          <w:lang w:val="en-US" w:eastAsia="zh-CN"/>
        </w:rPr>
      </w:pPr>
      <w:r>
        <w:rPr>
          <w:rFonts w:hint="eastAsia"/>
          <w:lang w:val="en-US" w:eastAsia="zh-CN"/>
        </w:rPr>
        <w:t>构建以救援主通道、疏散主通道、疏散次通道和一般疏散通道为主体的分级疏散救援通道体系。建立布局合理的避难场所体系，利用现有和规划建设的公园广场、绿地、学校等</w:t>
      </w:r>
      <w:r>
        <w:rPr>
          <w:rFonts w:hint="eastAsia"/>
          <w:highlight w:val="none"/>
          <w:lang w:val="en-US" w:eastAsia="zh-CN"/>
        </w:rPr>
        <w:t>场地</w:t>
      </w:r>
      <w:r>
        <w:rPr>
          <w:rFonts w:hint="eastAsia"/>
          <w:lang w:val="en-US" w:eastAsia="zh-CN"/>
        </w:rPr>
        <w:t>以及地下空间，加强室内、综合性及农村地区应急避难场所建设。利用全国自然灾害综合风险普查结果，合理避让自然灾害高风险区域。</w:t>
      </w:r>
    </w:p>
    <w:p w14:paraId="65B16A44">
      <w:pPr>
        <w:bidi w:val="0"/>
        <w:rPr>
          <w:rFonts w:hint="eastAsia"/>
          <w:lang w:val="en-US" w:eastAsia="zh-CN"/>
        </w:rPr>
      </w:pPr>
      <w:r>
        <w:rPr>
          <w:rFonts w:hint="eastAsia"/>
          <w:lang w:val="en-US" w:eastAsia="zh-CN"/>
        </w:rPr>
        <w:t>至2035年，室内外</w:t>
      </w:r>
      <w:r>
        <w:rPr>
          <w:rFonts w:hint="eastAsia"/>
          <w:highlight w:val="none"/>
          <w:lang w:val="en-US" w:eastAsia="zh-CN"/>
        </w:rPr>
        <w:t>应急避难场所</w:t>
      </w:r>
      <w:r>
        <w:rPr>
          <w:rFonts w:hint="eastAsia"/>
          <w:lang w:val="en-US" w:eastAsia="zh-CN"/>
        </w:rPr>
        <w:t>的服务覆盖率达到100％。</w:t>
      </w:r>
      <w:r>
        <w:rPr>
          <w:rFonts w:hint="eastAsia"/>
          <w:highlight w:val="none"/>
          <w:lang w:val="en-US" w:eastAsia="zh-CN"/>
        </w:rPr>
        <w:t>应急避难场所</w:t>
      </w:r>
      <w:r>
        <w:rPr>
          <w:rFonts w:hint="eastAsia"/>
          <w:lang w:val="en-US" w:eastAsia="zh-CN"/>
        </w:rPr>
        <w:t>人均</w:t>
      </w:r>
      <w:r>
        <w:rPr>
          <w:rFonts w:hint="eastAsia"/>
          <w:highlight w:val="none"/>
          <w:lang w:val="en-US" w:eastAsia="zh-CN"/>
        </w:rPr>
        <w:t>避难场所</w:t>
      </w:r>
      <w:r>
        <w:rPr>
          <w:rFonts w:hint="eastAsia"/>
          <w:lang w:val="en-US" w:eastAsia="zh-CN"/>
        </w:rPr>
        <w:t>面积达到1.5平方米（含）以上。</w:t>
      </w:r>
    </w:p>
    <w:p w14:paraId="70196F5E">
      <w:pPr>
        <w:bidi w:val="0"/>
        <w:rPr>
          <w:rFonts w:hint="eastAsia"/>
          <w:lang w:val="en-US" w:eastAsia="zh-CN"/>
        </w:rPr>
      </w:pPr>
      <w:r>
        <w:rPr>
          <w:rFonts w:hint="eastAsia"/>
          <w:lang w:val="en-US" w:eastAsia="zh-CN"/>
        </w:rPr>
        <w:t>2.地质灾害预防</w:t>
      </w:r>
    </w:p>
    <w:p w14:paraId="11E64BC5">
      <w:pPr>
        <w:bidi w:val="0"/>
        <w:rPr>
          <w:rFonts w:hint="eastAsia"/>
          <w:lang w:val="en-US" w:eastAsia="zh-CN"/>
        </w:rPr>
      </w:pPr>
      <w:r>
        <w:rPr>
          <w:rFonts w:hint="eastAsia"/>
          <w:lang w:val="en-US" w:eastAsia="zh-CN"/>
        </w:rPr>
        <w:t>地质灾害的防治要贯彻以防为主、防治结合的原则，城镇建设应避开各类地质灾害分布区，规划中的道路、基础设施等工程，应在前期进行勘察，充分进行可行性论证，制定严密措施，采取防治对策。</w:t>
      </w:r>
    </w:p>
    <w:p w14:paraId="0B4A268F">
      <w:pPr>
        <w:bidi w:val="0"/>
        <w:rPr>
          <w:rFonts w:hint="eastAsia"/>
          <w:lang w:val="en-US" w:eastAsia="zh-CN"/>
        </w:rPr>
      </w:pPr>
      <w:r>
        <w:rPr>
          <w:rFonts w:hint="eastAsia"/>
          <w:lang w:val="en-US" w:eastAsia="zh-CN"/>
        </w:rPr>
        <w:t>广泛开展科普宣传，普及地质灾害防治知识。对地震灾害等地质灾害，开展专业性和群众性的监测预报工作。</w:t>
      </w:r>
    </w:p>
    <w:p w14:paraId="5D77E4CD">
      <w:pPr>
        <w:bidi w:val="0"/>
        <w:rPr>
          <w:rFonts w:hint="eastAsia"/>
          <w:lang w:val="en-US" w:eastAsia="zh-CN"/>
        </w:rPr>
      </w:pPr>
      <w:r>
        <w:rPr>
          <w:rFonts w:hint="eastAsia"/>
          <w:lang w:val="en-US" w:eastAsia="zh-CN"/>
        </w:rPr>
        <w:t>3.公共场所安全</w:t>
      </w:r>
    </w:p>
    <w:p w14:paraId="2E862BB8">
      <w:pPr>
        <w:bidi w:val="0"/>
        <w:rPr>
          <w:rFonts w:hint="eastAsia"/>
          <w:lang w:val="en-US" w:eastAsia="zh-CN"/>
        </w:rPr>
      </w:pPr>
      <w:r>
        <w:rPr>
          <w:rFonts w:hint="eastAsia"/>
          <w:lang w:val="en-US" w:eastAsia="zh-CN"/>
        </w:rPr>
        <w:t>制定疏散方案，提出疏散行动组织要求，强化日常疏散训练。加强安全疏散技术要求、建筑防火安全规定、公共活动场所的防火</w:t>
      </w:r>
      <w:r>
        <w:rPr>
          <w:rFonts w:hint="eastAsia"/>
          <w:highlight w:val="none"/>
          <w:lang w:val="en-US" w:eastAsia="zh-CN"/>
        </w:rPr>
        <w:t>设施</w:t>
      </w:r>
      <w:r>
        <w:rPr>
          <w:rFonts w:hint="eastAsia"/>
          <w:lang w:val="en-US" w:eastAsia="zh-CN"/>
        </w:rPr>
        <w:t>的监督和管理。</w:t>
      </w:r>
    </w:p>
    <w:p w14:paraId="05FDD203">
      <w:pPr>
        <w:bidi w:val="0"/>
        <w:rPr>
          <w:rFonts w:hint="eastAsia"/>
          <w:lang w:val="en-US" w:eastAsia="zh-CN"/>
        </w:rPr>
      </w:pPr>
      <w:r>
        <w:rPr>
          <w:rFonts w:hint="eastAsia"/>
          <w:lang w:val="en-US" w:eastAsia="zh-CN"/>
        </w:rPr>
        <w:t>4.重点防范公共事件</w:t>
      </w:r>
    </w:p>
    <w:p w14:paraId="34FFEC9E">
      <w:pPr>
        <w:bidi w:val="0"/>
        <w:rPr>
          <w:rFonts w:hint="eastAsia"/>
          <w:lang w:val="en-US" w:eastAsia="zh-CN"/>
        </w:rPr>
      </w:pPr>
      <w:r>
        <w:rPr>
          <w:rFonts w:hint="eastAsia"/>
          <w:lang w:val="en-US" w:eastAsia="zh-CN"/>
        </w:rPr>
        <w:t>需要重点防范的公共事件有洪涝灾害、突发性地质灾害、地震、暴雨雷电、火灾事故、道路桥梁突发事故、突发重大交通事故（铁路、公路、水运、航空）、城镇供水突发公共事件、城镇排水突发公共事件、重大电力突发事故、燃气事故、供热事故、通信线路和通信设施事故、化学危险品事故、传染病疫情、动植物疫病、恐怖袭击、群体性事件等。</w:t>
      </w:r>
    </w:p>
    <w:p w14:paraId="2A4029E6">
      <w:pPr>
        <w:bidi w:val="0"/>
        <w:rPr>
          <w:rFonts w:hint="eastAsia"/>
          <w:lang w:val="en-US" w:eastAsia="zh-CN"/>
        </w:rPr>
      </w:pPr>
      <w:r>
        <w:rPr>
          <w:rFonts w:hint="eastAsia"/>
          <w:lang w:val="en-US" w:eastAsia="zh-CN"/>
        </w:rPr>
        <w:t>5.气象灾害防御</w:t>
      </w:r>
    </w:p>
    <w:p w14:paraId="58BBD9CE">
      <w:pPr>
        <w:bidi w:val="0"/>
        <w:rPr>
          <w:rFonts w:hint="default"/>
          <w:lang w:val="en-US" w:eastAsia="zh-CN"/>
        </w:rPr>
      </w:pPr>
      <w:r>
        <w:rPr>
          <w:rFonts w:hint="default"/>
          <w:lang w:val="en-US" w:eastAsia="zh-CN"/>
        </w:rPr>
        <w:t>建立和完善气候变化的评估和预警系统，提高气象灾害的预报预测水平</w:t>
      </w:r>
      <w:r>
        <w:rPr>
          <w:rFonts w:hint="eastAsia"/>
          <w:lang w:val="en-US" w:eastAsia="zh-CN"/>
        </w:rPr>
        <w:t>，</w:t>
      </w:r>
      <w:r>
        <w:rPr>
          <w:rFonts w:hint="default"/>
          <w:lang w:val="en-US" w:eastAsia="zh-CN"/>
        </w:rPr>
        <w:t>最大限度减轻气象灾害造成的经济损失和社会不利影响。</w:t>
      </w:r>
      <w:r>
        <w:rPr>
          <w:rFonts w:hint="eastAsia"/>
          <w:lang w:val="en-US" w:eastAsia="zh-CN"/>
        </w:rPr>
        <w:t>为确保佳木斯市气象观测站点（天气雷达站、气象观测站）数据代表性、准确性、比较性，规划乡镇建设1套区域气象观测站，按照《气象探测环境保护规范地面气象观测站GB31221—2014》“3.2区域气象观测站”要求执行</w:t>
      </w:r>
      <w:r>
        <w:rPr>
          <w:rFonts w:hint="default"/>
          <w:lang w:val="en-US" w:eastAsia="zh-CN"/>
        </w:rPr>
        <w:t>。</w:t>
      </w:r>
    </w:p>
    <w:p w14:paraId="2B0E8E69">
      <w:pPr>
        <w:pStyle w:val="4"/>
        <w:bidi w:val="0"/>
        <w:rPr>
          <w:rFonts w:hint="eastAsia"/>
        </w:rPr>
      </w:pPr>
      <w:bookmarkStart w:id="110" w:name="_Toc360266032"/>
      <w:r>
        <w:rPr>
          <w:rFonts w:hint="eastAsia"/>
        </w:rPr>
        <w:t>防震减灾</w:t>
      </w:r>
      <w:bookmarkEnd w:id="110"/>
    </w:p>
    <w:p w14:paraId="635CBDF7">
      <w:pPr>
        <w:bidi w:val="0"/>
        <w:rPr>
          <w:rFonts w:hint="eastAsia"/>
          <w:lang w:val="en-US" w:eastAsia="zh-CN"/>
        </w:rPr>
      </w:pPr>
      <w:r>
        <w:rPr>
          <w:rFonts w:hint="eastAsia"/>
          <w:lang w:val="en-US" w:eastAsia="zh-CN"/>
        </w:rPr>
        <w:t>1.抗震设防标准</w:t>
      </w:r>
    </w:p>
    <w:p w14:paraId="3D6EC851">
      <w:pPr>
        <w:bidi w:val="0"/>
        <w:rPr>
          <w:rFonts w:hint="eastAsia"/>
          <w:lang w:val="en-US" w:eastAsia="zh-CN"/>
        </w:rPr>
      </w:pPr>
      <w:r>
        <w:rPr>
          <w:rFonts w:hint="eastAsia"/>
          <w:lang w:val="en-US" w:eastAsia="zh-CN"/>
        </w:rPr>
        <w:t>根据《中国地震动参数区划图》（GB18306-2001），桦川县地震动峰值加速度&lt;0.05g，地震基本烈度值Ⅵ，规划将悦来镇列为地震6度。</w:t>
      </w:r>
    </w:p>
    <w:p w14:paraId="3845254D">
      <w:pPr>
        <w:bidi w:val="0"/>
        <w:rPr>
          <w:rFonts w:hint="eastAsia"/>
          <w:lang w:val="en-US" w:eastAsia="zh-CN"/>
        </w:rPr>
      </w:pPr>
      <w:r>
        <w:rPr>
          <w:rFonts w:hint="eastAsia"/>
          <w:lang w:val="en-US" w:eastAsia="zh-CN"/>
        </w:rPr>
        <w:t>2.抗震规划目标</w:t>
      </w:r>
    </w:p>
    <w:p w14:paraId="0E3C0C71">
      <w:pPr>
        <w:bidi w:val="0"/>
        <w:rPr>
          <w:rFonts w:hint="eastAsia"/>
          <w:lang w:val="en-US" w:eastAsia="zh-CN"/>
        </w:rPr>
      </w:pPr>
      <w:r>
        <w:rPr>
          <w:rFonts w:hint="eastAsia"/>
          <w:lang w:val="en-US" w:eastAsia="zh-CN"/>
        </w:rPr>
        <w:t>逐步提高城乡综合抗震能力，最大限度减轻地震对乡镇、村所造成的灾害，保障当遭遇相当基本烈度的地震时生命线工程和公共建筑能够具有一定的抗御能力，乡镇、村庄不发生较大的破坏，人民生命财产的安全和经济建设的顺利进行。一旦发生破坏性地震，能在10分钟内作出地震发生时刻、地震地点、地震震级速报，各级政府和有关行业管理部门1小时内启动应急方案，灾民1—2日内妥善安置，3日内恢复正常生产、生活秩序。</w:t>
      </w:r>
    </w:p>
    <w:p w14:paraId="2D59606E">
      <w:pPr>
        <w:bidi w:val="0"/>
        <w:rPr>
          <w:rFonts w:hint="eastAsia"/>
          <w:lang w:val="en-US" w:eastAsia="zh-CN"/>
        </w:rPr>
      </w:pPr>
      <w:bookmarkStart w:id="111" w:name="_Toc331536202"/>
      <w:bookmarkStart w:id="112" w:name="_Toc406394927"/>
      <w:r>
        <w:rPr>
          <w:rFonts w:hint="eastAsia"/>
          <w:lang w:val="en-US" w:eastAsia="zh-CN"/>
        </w:rPr>
        <w:t>3.抗震工程</w:t>
      </w:r>
      <w:bookmarkEnd w:id="111"/>
      <w:bookmarkEnd w:id="112"/>
      <w:r>
        <w:rPr>
          <w:rFonts w:hint="eastAsia"/>
          <w:lang w:val="en-US" w:eastAsia="zh-CN"/>
        </w:rPr>
        <w:t>建设</w:t>
      </w:r>
    </w:p>
    <w:p w14:paraId="277619E6">
      <w:pPr>
        <w:bidi w:val="0"/>
        <w:rPr>
          <w:rFonts w:hint="eastAsia"/>
          <w:lang w:val="en-US" w:eastAsia="zh-CN"/>
        </w:rPr>
      </w:pPr>
      <w:r>
        <w:rPr>
          <w:rFonts w:hint="eastAsia"/>
          <w:lang w:val="en-US" w:eastAsia="zh-CN"/>
        </w:rPr>
        <w:t>规划布局时应考虑抗震因素，城镇建设应避开塌陷、断裂带等地区及软土和液化土层地带。城镇建设用地应选择利用抗震性能比较好的场地，尽量避免在坑塘、湿地等不利地段建设，如必须建设时应采取抗震处理措施。重大工程通过地震安全性评价确定其设防标准；新建工程应按抗震设防要求设计施工；重点开发建设的工程及重要工程必须进行抗震审查、方案论证及工程验收，必须达到地震安全性评价要求。</w:t>
      </w:r>
    </w:p>
    <w:p w14:paraId="75060A31">
      <w:pPr>
        <w:bidi w:val="0"/>
        <w:rPr>
          <w:rFonts w:hint="eastAsia"/>
          <w:lang w:val="en-US" w:eastAsia="zh-CN"/>
        </w:rPr>
      </w:pPr>
      <w:r>
        <w:rPr>
          <w:rFonts w:hint="eastAsia"/>
          <w:lang w:val="en-US" w:eastAsia="zh-CN"/>
        </w:rPr>
        <w:t>4.疏散场地</w:t>
      </w:r>
    </w:p>
    <w:p w14:paraId="2272EDC7">
      <w:pPr>
        <w:bidi w:val="0"/>
        <w:rPr>
          <w:rFonts w:hint="eastAsia"/>
          <w:lang w:val="en-US" w:eastAsia="zh-CN"/>
        </w:rPr>
      </w:pPr>
      <w:r>
        <w:rPr>
          <w:rFonts w:hint="eastAsia"/>
          <w:lang w:val="en-US" w:eastAsia="zh-CN"/>
        </w:rPr>
        <w:t>规划城镇中的公园、绿地、广场、中小学的操场等空旷场地为避震疏散场地，规划人均避震疏散面积为1.0平方米/人以上。在城镇公共绿地、公园等用地规划布局时，应考虑避震疏散功能。各城镇、街道及居委（村）室内外</w:t>
      </w:r>
      <w:r>
        <w:rPr>
          <w:rFonts w:hint="eastAsia"/>
          <w:highlight w:val="none"/>
          <w:lang w:val="en-US" w:eastAsia="zh-CN"/>
        </w:rPr>
        <w:t>应急避难场所</w:t>
      </w:r>
      <w:r>
        <w:rPr>
          <w:rFonts w:hint="eastAsia"/>
          <w:lang w:val="en-US" w:eastAsia="zh-CN"/>
        </w:rPr>
        <w:t>的服务覆盖率达到100％。</w:t>
      </w:r>
    </w:p>
    <w:p w14:paraId="75E5F571">
      <w:pPr>
        <w:bidi w:val="0"/>
        <w:rPr>
          <w:rFonts w:hint="eastAsia"/>
          <w:lang w:val="en-US" w:eastAsia="zh-CN"/>
        </w:rPr>
      </w:pPr>
      <w:r>
        <w:rPr>
          <w:rFonts w:hint="eastAsia"/>
          <w:lang w:val="en-US" w:eastAsia="zh-CN"/>
        </w:rPr>
        <w:t>5.疏散通道规划</w:t>
      </w:r>
    </w:p>
    <w:p w14:paraId="0B2D1F05">
      <w:pPr>
        <w:bidi w:val="0"/>
        <w:rPr>
          <w:rFonts w:hint="eastAsia"/>
          <w:lang w:val="en-US" w:eastAsia="zh-CN"/>
        </w:rPr>
      </w:pPr>
      <w:r>
        <w:rPr>
          <w:rFonts w:hint="eastAsia"/>
          <w:lang w:val="en-US" w:eastAsia="zh-CN"/>
        </w:rPr>
        <w:t>规划高速公路、铁路、城镇主要道路作为人员疏散和物资运输的主要救援通道，将疏散救援道路分为疏散救援主干道、疏散救援次干道和疏散通道三级，通向城区内疏散场地和郊外旷地，并通向长途交通设施。</w:t>
      </w:r>
    </w:p>
    <w:p w14:paraId="2EFA4872">
      <w:pPr>
        <w:bidi w:val="0"/>
        <w:rPr>
          <w:rFonts w:hint="eastAsia"/>
          <w:lang w:val="en-US" w:eastAsia="zh-CN"/>
        </w:rPr>
      </w:pPr>
      <w:r>
        <w:rPr>
          <w:rFonts w:hint="eastAsia"/>
          <w:lang w:val="en-US" w:eastAsia="zh-CN"/>
        </w:rPr>
        <w:t>6.生命线工程规划</w:t>
      </w:r>
    </w:p>
    <w:p w14:paraId="42F29F61">
      <w:pPr>
        <w:bidi w:val="0"/>
        <w:rPr>
          <w:rFonts w:hint="eastAsia"/>
          <w:lang w:val="en-US" w:eastAsia="zh-CN"/>
        </w:rPr>
      </w:pPr>
      <w:r>
        <w:rPr>
          <w:rFonts w:hint="eastAsia"/>
          <w:lang w:val="en-US" w:eastAsia="zh-CN"/>
        </w:rPr>
        <w:t>对道路交通、通讯、供水供电、供煤气、热力、医疗卫生、粮食、消防、公安、广播电视、政府、对外交通等生命线工程要制定抗震应急措施，在灾害发生时保障各生命线系统正常。</w:t>
      </w:r>
    </w:p>
    <w:p w14:paraId="1DCA102C">
      <w:pPr>
        <w:pStyle w:val="4"/>
        <w:bidi w:val="0"/>
        <w:rPr>
          <w:rFonts w:hint="eastAsia"/>
        </w:rPr>
      </w:pPr>
      <w:bookmarkStart w:id="113" w:name="_Toc360266033"/>
      <w:r>
        <w:rPr>
          <w:rFonts w:hint="eastAsia"/>
        </w:rPr>
        <w:t>消防</w:t>
      </w:r>
      <w:bookmarkEnd w:id="113"/>
    </w:p>
    <w:p w14:paraId="0AABF815">
      <w:pPr>
        <w:bidi w:val="0"/>
        <w:rPr>
          <w:rFonts w:hint="eastAsia"/>
          <w:lang w:val="en-US" w:eastAsia="zh-CN"/>
        </w:rPr>
      </w:pPr>
      <w:bookmarkStart w:id="114" w:name="_Toc360266034"/>
      <w:r>
        <w:rPr>
          <w:rFonts w:hint="eastAsia"/>
          <w:lang w:val="en-US" w:eastAsia="zh-CN"/>
        </w:rPr>
        <w:t>1.消防安全布局</w:t>
      </w:r>
    </w:p>
    <w:p w14:paraId="6E6EEC38">
      <w:pPr>
        <w:bidi w:val="0"/>
        <w:rPr>
          <w:rFonts w:hint="eastAsia"/>
          <w:lang w:val="en-US" w:eastAsia="zh-CN"/>
        </w:rPr>
      </w:pPr>
      <w:r>
        <w:rPr>
          <w:rFonts w:hint="eastAsia"/>
          <w:lang w:val="en-US" w:eastAsia="zh-CN"/>
        </w:rPr>
        <w:t>生产、储存和装卸易燃易爆危险品的工厂、仓库和专用车站、码头，必须设置在城镇的边缘或相对独立的安全地带。易燃易爆气体和液体的充装站、供应站、调压站，应当设置在合理的位置，符合防火防爆要求。将易燃棚户区纳入旧区改造规划，积极改善防火条件，拆除阻塞道路的院墙，保证消防道路畅通。</w:t>
      </w:r>
    </w:p>
    <w:p w14:paraId="0537B7C8">
      <w:pPr>
        <w:bidi w:val="0"/>
        <w:rPr>
          <w:rFonts w:hint="eastAsia"/>
          <w:lang w:val="en-US" w:eastAsia="zh-CN"/>
        </w:rPr>
      </w:pPr>
      <w:r>
        <w:rPr>
          <w:rFonts w:hint="eastAsia"/>
          <w:lang w:val="en-US" w:eastAsia="zh-CN"/>
        </w:rPr>
        <w:t>2.消防站布局</w:t>
      </w:r>
    </w:p>
    <w:p w14:paraId="7C169782">
      <w:pPr>
        <w:bidi w:val="0"/>
        <w:rPr>
          <w:rFonts w:hint="eastAsia"/>
        </w:rPr>
      </w:pPr>
      <w:r>
        <w:rPr>
          <w:rFonts w:hint="eastAsia"/>
          <w:lang w:val="en-US" w:eastAsia="zh-CN"/>
        </w:rPr>
        <w:t>根据《</w:t>
      </w:r>
      <w:bookmarkStart w:id="115" w:name="bookmark3"/>
      <w:bookmarkStart w:id="116" w:name="bookmark5"/>
      <w:bookmarkStart w:id="117" w:name="bookmark4"/>
      <w:r>
        <w:rPr>
          <w:rFonts w:hint="eastAsia"/>
          <w:lang w:val="en-US" w:eastAsia="zh-CN"/>
        </w:rPr>
        <w:t>乡镇消防队</w:t>
      </w:r>
      <w:bookmarkEnd w:id="115"/>
      <w:bookmarkEnd w:id="116"/>
      <w:bookmarkEnd w:id="117"/>
      <w:r>
        <w:rPr>
          <w:rFonts w:hint="eastAsia"/>
          <w:lang w:val="en-US" w:eastAsia="zh-CN"/>
        </w:rPr>
        <w:t>（GB/T35547-2017）》，地方人民政府需建立乡镇消防队，在乡镇、农村承担火灾扑救、应急救援和其他消防安全工作。根据悦来镇政府驻地人口及建成区面积，镇政府驻地保留现有1座特勤消防站，同时，新建一级标准型消防站1座。</w:t>
      </w:r>
      <w:r>
        <w:rPr>
          <w:rFonts w:hint="default"/>
          <w:lang w:val="en-US" w:eastAsia="zh-CN"/>
        </w:rPr>
        <w:t>农村建立微型消防站，提高初起火灾扑救能力</w:t>
      </w:r>
      <w:bookmarkStart w:id="118" w:name="_Hlk97725197"/>
      <w:r>
        <w:rPr>
          <w:rFonts w:hint="default"/>
          <w:lang w:val="en-US" w:eastAsia="zh-CN"/>
        </w:rPr>
        <w:t>。</w:t>
      </w:r>
      <w:bookmarkEnd w:id="118"/>
    </w:p>
    <w:p w14:paraId="2B7E3C41">
      <w:pPr>
        <w:bidi w:val="0"/>
        <w:rPr>
          <w:rFonts w:hint="eastAsia"/>
          <w:lang w:val="en-US" w:eastAsia="zh-CN"/>
        </w:rPr>
      </w:pPr>
      <w:r>
        <w:rPr>
          <w:rFonts w:hint="eastAsia"/>
          <w:lang w:val="en-US" w:eastAsia="zh-CN"/>
        </w:rPr>
        <w:t>3.消防车通道规划</w:t>
      </w:r>
    </w:p>
    <w:p w14:paraId="6588273F">
      <w:pPr>
        <w:bidi w:val="0"/>
        <w:rPr>
          <w:rFonts w:hint="eastAsia"/>
          <w:lang w:val="en-US" w:eastAsia="zh-CN"/>
        </w:rPr>
      </w:pPr>
      <w:r>
        <w:rPr>
          <w:rFonts w:hint="eastAsia"/>
          <w:lang w:val="en-US" w:eastAsia="zh-CN"/>
        </w:rPr>
        <w:t>结合基础设施改造、村庄整治等，打通消防车通道，提高消防车辆通行能力。对现有应急道路进行升级改造，提高其通行能力，并新建防火公路系统，提高防火应急道路路网密度。</w:t>
      </w:r>
    </w:p>
    <w:p w14:paraId="58CB6E20">
      <w:pPr>
        <w:bidi w:val="0"/>
        <w:rPr>
          <w:rFonts w:hint="eastAsia"/>
          <w:lang w:val="en-US" w:eastAsia="zh-CN"/>
        </w:rPr>
      </w:pPr>
      <w:r>
        <w:rPr>
          <w:rFonts w:hint="eastAsia"/>
          <w:lang w:val="en-US" w:eastAsia="zh-CN"/>
        </w:rPr>
        <w:t>4.消防给水规划</w:t>
      </w:r>
    </w:p>
    <w:p w14:paraId="53485659">
      <w:pPr>
        <w:bidi w:val="0"/>
        <w:rPr>
          <w:rFonts w:hint="eastAsia"/>
          <w:lang w:val="en-US" w:eastAsia="zh-CN"/>
        </w:rPr>
      </w:pPr>
      <w:r>
        <w:rPr>
          <w:rFonts w:hint="eastAsia"/>
          <w:lang w:val="en-US" w:eastAsia="zh-CN"/>
        </w:rPr>
        <w:t>规划镇政府驻地消防供水主要以城市自来水为水源，采用生活—消防统一供水系统，消防采用低压制，要求市政供水管网实现环网供水。</w:t>
      </w:r>
    </w:p>
    <w:p w14:paraId="5AECEA95">
      <w:pPr>
        <w:bidi w:val="0"/>
        <w:rPr>
          <w:rFonts w:hint="eastAsia"/>
          <w:lang w:val="en-US" w:eastAsia="zh-CN"/>
        </w:rPr>
      </w:pPr>
      <w:r>
        <w:rPr>
          <w:rFonts w:hint="eastAsia"/>
          <w:lang w:val="en-US" w:eastAsia="zh-CN"/>
        </w:rPr>
        <w:t>5.智慧消防建设</w:t>
      </w:r>
    </w:p>
    <w:p w14:paraId="0FBFE831">
      <w:pPr>
        <w:bidi w:val="0"/>
        <w:rPr>
          <w:rFonts w:hint="eastAsia"/>
          <w:lang w:val="en-US" w:eastAsia="zh-CN"/>
        </w:rPr>
      </w:pPr>
      <w:r>
        <w:rPr>
          <w:rFonts w:hint="eastAsia"/>
          <w:lang w:val="en-US" w:eastAsia="zh-CN"/>
        </w:rPr>
        <w:t>推行消防大数据管理。结合电子政务以及信息化大数据系统建设，结合监督管理、历史火灾等内部信息，共享汇聚融合相关行业数据资源。建设消防物联网监控系统。加强消防安全智能化、信息化预警监测，实现消防数据物联感知、智能感知。</w:t>
      </w:r>
    </w:p>
    <w:p w14:paraId="3D95BE4F">
      <w:pPr>
        <w:bidi w:val="0"/>
        <w:rPr>
          <w:rFonts w:hint="eastAsia"/>
          <w:lang w:val="en-US" w:eastAsia="zh-CN"/>
        </w:rPr>
      </w:pPr>
      <w:r>
        <w:rPr>
          <w:rFonts w:hint="eastAsia"/>
          <w:lang w:val="en-US" w:eastAsia="zh-CN"/>
        </w:rPr>
        <w:t>6.开展消防安全宣传体验教育</w:t>
      </w:r>
    </w:p>
    <w:p w14:paraId="442525FC">
      <w:pPr>
        <w:bidi w:val="0"/>
        <w:rPr>
          <w:rFonts w:hint="eastAsia"/>
          <w:lang w:val="en-US" w:eastAsia="zh-CN"/>
        </w:rPr>
      </w:pPr>
      <w:r>
        <w:rPr>
          <w:rFonts w:hint="eastAsia"/>
          <w:lang w:val="en-US" w:eastAsia="zh-CN"/>
        </w:rPr>
        <w:t>按照《应急消防科普教育基地建设标准》要求，依托各类安全宣传教育资源，深入推进消防主题公园、消防餐厅、消防文化街或广场建设，建成应急消防科普教育场馆，建立应急消防科普教育体系。</w:t>
      </w:r>
    </w:p>
    <w:p w14:paraId="641CB64C">
      <w:pPr>
        <w:pStyle w:val="4"/>
        <w:bidi w:val="0"/>
        <w:rPr>
          <w:rFonts w:hint="eastAsia"/>
        </w:rPr>
      </w:pPr>
      <w:r>
        <w:rPr>
          <w:rFonts w:hint="eastAsia"/>
        </w:rPr>
        <w:t>防洪排涝规划</w:t>
      </w:r>
      <w:bookmarkEnd w:id="114"/>
    </w:p>
    <w:p w14:paraId="3B5776B2">
      <w:pPr>
        <w:bidi w:val="0"/>
        <w:rPr>
          <w:rFonts w:hint="default"/>
          <w:lang w:val="en-US" w:eastAsia="zh-CN"/>
        </w:rPr>
      </w:pPr>
      <w:bookmarkStart w:id="119" w:name="_Toc360266035"/>
      <w:bookmarkStart w:id="120" w:name="_Hlk175296492"/>
      <w:r>
        <w:rPr>
          <w:rFonts w:hint="default"/>
          <w:lang w:val="en-US" w:eastAsia="zh-CN"/>
        </w:rPr>
        <w:t>按照</w:t>
      </w:r>
      <w:r>
        <w:rPr>
          <w:rFonts w:hint="eastAsia"/>
          <w:lang w:val="en-US" w:eastAsia="zh-CN"/>
        </w:rPr>
        <w:t>桦川县</w:t>
      </w:r>
      <w:r>
        <w:rPr>
          <w:rFonts w:hint="default"/>
          <w:lang w:val="en-US" w:eastAsia="zh-CN"/>
        </w:rPr>
        <w:t>防洪标准要求，完成河流防洪工程查缺补漏工作，推进中小河流治理、病险水库除险加固、农村基层防汛预警体系等重点薄弱环节建设。巩固完善由“堤库结合、蓄洪兼施”所组成的防洪总体布局。</w:t>
      </w:r>
    </w:p>
    <w:bookmarkEnd w:id="119"/>
    <w:bookmarkEnd w:id="120"/>
    <w:p w14:paraId="085258ED">
      <w:pPr>
        <w:pStyle w:val="4"/>
        <w:bidi w:val="0"/>
        <w:rPr>
          <w:rFonts w:hint="eastAsia"/>
        </w:rPr>
      </w:pPr>
      <w:r>
        <w:rPr>
          <w:rFonts w:hint="eastAsia"/>
        </w:rPr>
        <w:t>防疫</w:t>
      </w:r>
    </w:p>
    <w:p w14:paraId="03542F2C">
      <w:pPr>
        <w:bidi w:val="0"/>
        <w:rPr>
          <w:rFonts w:hint="eastAsia"/>
          <w:lang w:val="en-US" w:eastAsia="zh-CN"/>
        </w:rPr>
      </w:pPr>
      <w:r>
        <w:rPr>
          <w:rFonts w:hint="eastAsia"/>
          <w:lang w:val="en-US" w:eastAsia="zh-CN"/>
        </w:rPr>
        <w:t>建立应急联合防控网络，设置传染病相关公共卫生用地和应急疫情防控用地，提出用地布局上的“战略留白”。社区形成独立的疫情隔离单元，有效配备健康信息工作站、医疗救助站、物资发放站及小规模隔离区等。</w:t>
      </w:r>
    </w:p>
    <w:p w14:paraId="61E84594">
      <w:pPr>
        <w:pStyle w:val="4"/>
        <w:bidi w:val="0"/>
        <w:rPr>
          <w:rFonts w:hint="eastAsia"/>
        </w:rPr>
      </w:pPr>
      <w:r>
        <w:rPr>
          <w:rFonts w:hint="default"/>
        </w:rPr>
        <w:t>镇政府驻地</w:t>
      </w:r>
      <w:r>
        <w:rPr>
          <w:rFonts w:hint="eastAsia"/>
          <w:lang w:val="en-US" w:eastAsia="zh-CN"/>
        </w:rPr>
        <w:t>综合防灾要求</w:t>
      </w:r>
    </w:p>
    <w:p w14:paraId="7BC9AD24">
      <w:pPr>
        <w:bidi w:val="0"/>
        <w:rPr>
          <w:rFonts w:hint="eastAsia"/>
          <w:lang w:val="en-US" w:eastAsia="zh-CN"/>
        </w:rPr>
      </w:pPr>
      <w:r>
        <w:rPr>
          <w:rFonts w:hint="eastAsia"/>
          <w:lang w:val="en-US" w:eastAsia="zh-CN"/>
        </w:rPr>
        <w:t>1.防洪排涝工程</w:t>
      </w:r>
    </w:p>
    <w:p w14:paraId="13C41D6A">
      <w:pPr>
        <w:bidi w:val="0"/>
        <w:rPr>
          <w:rFonts w:hint="eastAsia"/>
        </w:rPr>
      </w:pPr>
      <w:r>
        <w:rPr>
          <w:rFonts w:hint="eastAsia"/>
        </w:rPr>
        <w:t>根据国家《防洪标准》（GB50201-2014）的有关规定，</w:t>
      </w:r>
      <w:r>
        <w:rPr>
          <w:rFonts w:hint="eastAsia"/>
          <w:lang w:val="en-US" w:eastAsia="zh-CN"/>
        </w:rPr>
        <w:t>悦来镇</w:t>
      </w:r>
      <w:r>
        <w:rPr>
          <w:rFonts w:hint="eastAsia"/>
        </w:rPr>
        <w:t>政府驻地按20年一遇标准设防。</w:t>
      </w:r>
    </w:p>
    <w:p w14:paraId="2A22C99D">
      <w:pPr>
        <w:bidi w:val="0"/>
        <w:rPr>
          <w:rFonts w:hint="eastAsia"/>
          <w:lang w:val="en-US" w:eastAsia="zh-CN"/>
        </w:rPr>
      </w:pPr>
      <w:r>
        <w:rPr>
          <w:rFonts w:hint="eastAsia"/>
          <w:lang w:val="en-US" w:eastAsia="zh-CN"/>
        </w:rPr>
        <w:t>悦来镇政府驻地内涝防治标准：能有效应对不低于20年一遇的暴雨。</w:t>
      </w:r>
    </w:p>
    <w:p w14:paraId="274A1225">
      <w:pPr>
        <w:bidi w:val="0"/>
        <w:rPr>
          <w:rFonts w:hint="default"/>
          <w:lang w:val="en-US" w:eastAsia="zh-CN"/>
        </w:rPr>
      </w:pPr>
      <w:r>
        <w:rPr>
          <w:rFonts w:hint="eastAsia"/>
          <w:lang w:val="en-US" w:eastAsia="zh-CN"/>
        </w:rPr>
        <w:t>2.消防设施</w:t>
      </w:r>
    </w:p>
    <w:p w14:paraId="0CC18F34">
      <w:pPr>
        <w:bidi w:val="0"/>
        <w:rPr>
          <w:rFonts w:hint="default"/>
        </w:rPr>
      </w:pPr>
      <w:r>
        <w:rPr>
          <w:rFonts w:hint="eastAsia"/>
          <w:lang w:val="en-US" w:eastAsia="zh-CN"/>
        </w:rPr>
        <w:t>根据悦来镇政府驻地人口及建成区面积，</w:t>
      </w:r>
      <w:r>
        <w:rPr>
          <w:rFonts w:hint="default"/>
        </w:rPr>
        <w:t>规划保留桦川县特勤消防大队，新建一级标准普通型消防站1座。</w:t>
      </w:r>
    </w:p>
    <w:p w14:paraId="3449BDBF">
      <w:pPr>
        <w:bidi w:val="0"/>
        <w:rPr>
          <w:rFonts w:hint="eastAsia"/>
          <w:lang w:val="en-US" w:eastAsia="zh-CN"/>
        </w:rPr>
      </w:pPr>
      <w:r>
        <w:rPr>
          <w:rFonts w:hint="eastAsia"/>
          <w:lang w:val="en-US" w:eastAsia="zh-CN"/>
        </w:rPr>
        <w:t>规划镇政府驻地消防采用生活—消防统一供水系统，消防采用低压制，要求供水管网实现环网供水，消防给水管道的管径应不小于DN150。</w:t>
      </w:r>
    </w:p>
    <w:p w14:paraId="03E00DE9">
      <w:pPr>
        <w:bidi w:val="0"/>
        <w:rPr>
          <w:rFonts w:hint="default"/>
          <w:lang w:val="en-US" w:eastAsia="zh-CN"/>
        </w:rPr>
      </w:pPr>
      <w:r>
        <w:rPr>
          <w:rFonts w:hint="eastAsia"/>
          <w:lang w:val="en-US" w:eastAsia="zh-CN"/>
        </w:rPr>
        <w:t>3.应急避难场所</w:t>
      </w:r>
    </w:p>
    <w:p w14:paraId="01D31E92">
      <w:pPr>
        <w:bidi w:val="0"/>
        <w:rPr>
          <w:rFonts w:hint="eastAsia"/>
          <w:lang w:val="en-US" w:eastAsia="zh-CN"/>
        </w:rPr>
      </w:pPr>
      <w:r>
        <w:rPr>
          <w:rFonts w:hint="eastAsia"/>
          <w:lang w:val="en-US" w:eastAsia="zh-CN"/>
        </w:rPr>
        <w:t>避难场所可划分为固定避难场所和紧急避难场所两种类型。城镇中的广场、学校、公园、绿地及体育场，是城镇中分布较多的开放空间，是城镇主要的避难场所。大型广场、学校、公园可作为固定避难场所，绿地可以作为紧急避难场所。</w:t>
      </w:r>
    </w:p>
    <w:p w14:paraId="3A7C9403">
      <w:pPr>
        <w:bidi w:val="0"/>
        <w:rPr>
          <w:rFonts w:hint="eastAsia"/>
          <w:lang w:val="en-US" w:eastAsia="zh-CN"/>
        </w:rPr>
      </w:pPr>
      <w:r>
        <w:rPr>
          <w:rFonts w:hint="eastAsia"/>
          <w:lang w:val="en-US" w:eastAsia="zh-CN"/>
        </w:rPr>
        <w:t>固定避难场所的建筑物应进行抗震加固。为防止次生灾害，地震避难场地不得过于靠近易燃易爆的加油站、燃气站用地。</w:t>
      </w:r>
    </w:p>
    <w:p w14:paraId="3243E360">
      <w:pPr>
        <w:bidi w:val="0"/>
        <w:rPr>
          <w:rFonts w:hint="eastAsia"/>
          <w:lang w:val="en-US" w:eastAsia="zh-CN"/>
        </w:rPr>
      </w:pPr>
      <w:r>
        <w:rPr>
          <w:rFonts w:hint="eastAsia"/>
          <w:lang w:val="en-US" w:eastAsia="zh-CN"/>
        </w:rPr>
        <w:t>4.避灾通道</w:t>
      </w:r>
    </w:p>
    <w:p w14:paraId="00259366">
      <w:pPr>
        <w:bidi w:val="0"/>
        <w:rPr>
          <w:rFonts w:hint="default"/>
          <w:lang w:val="en-US" w:eastAsia="zh-CN"/>
        </w:rPr>
      </w:pPr>
      <w:r>
        <w:rPr>
          <w:rFonts w:hint="eastAsia"/>
          <w:lang w:val="en-US" w:eastAsia="zh-CN"/>
        </w:rPr>
        <w:t>根据疏散需要，规划确定主要对外出入口，并与外部的主要公路衔接。各住宅区到避难场所应有避灾道路连接，避灾道路应建成相互贯通的、可供车辆通行的网络，形成完善的避灾道路系统。</w:t>
      </w:r>
    </w:p>
    <w:p w14:paraId="7DEA4BBE">
      <w:pPr>
        <w:bidi w:val="0"/>
        <w:rPr>
          <w:rFonts w:hint="eastAsia"/>
          <w:lang w:val="en-US" w:eastAsia="zh-CN"/>
        </w:rPr>
      </w:pPr>
      <w:r>
        <w:rPr>
          <w:rFonts w:hint="eastAsia"/>
          <w:lang w:val="en-US" w:eastAsia="zh-CN"/>
        </w:rPr>
        <w:t>5.生命线系统保障</w:t>
      </w:r>
    </w:p>
    <w:p w14:paraId="28526739">
      <w:pPr>
        <w:bidi w:val="0"/>
        <w:rPr>
          <w:rFonts w:hint="default"/>
          <w:lang w:val="en-US" w:eastAsia="zh-CN"/>
        </w:rPr>
      </w:pPr>
      <w:r>
        <w:rPr>
          <w:rFonts w:hint="eastAsia"/>
          <w:lang w:val="en-US" w:eastAsia="zh-CN"/>
        </w:rPr>
        <w:t>按照桦川县制定的《桦川县地震应急预案》的方案，由镇医院、疾病控制中心、卫生院及社区卫生中心作为救灾援助物资调配站及救护点，共同组成生命线保障系统。</w:t>
      </w:r>
    </w:p>
    <w:p w14:paraId="638B23B2">
      <w:pPr>
        <w:bidi w:val="0"/>
        <w:rPr>
          <w:rFonts w:hint="eastAsia"/>
          <w:lang w:val="en-US" w:eastAsia="zh-CN"/>
        </w:rPr>
      </w:pPr>
      <w:r>
        <w:rPr>
          <w:rFonts w:hint="eastAsia"/>
          <w:lang w:val="en-US" w:eastAsia="zh-CN"/>
        </w:rPr>
        <w:t>6.公共卫生安全</w:t>
      </w:r>
    </w:p>
    <w:p w14:paraId="7B2CA51F">
      <w:pPr>
        <w:bidi w:val="0"/>
        <w:rPr>
          <w:rFonts w:hint="default"/>
          <w:lang w:val="en-US" w:eastAsia="zh-CN"/>
        </w:rPr>
      </w:pPr>
      <w:bookmarkStart w:id="121" w:name="_Toc72862784"/>
      <w:r>
        <w:rPr>
          <w:rFonts w:hint="eastAsia"/>
          <w:lang w:val="en-US" w:eastAsia="zh-CN"/>
        </w:rPr>
        <w:t>建设公共卫生安全防控体系</w:t>
      </w:r>
      <w:bookmarkEnd w:id="121"/>
      <w:r>
        <w:rPr>
          <w:rFonts w:hint="eastAsia"/>
          <w:lang w:val="en-US" w:eastAsia="zh-CN"/>
        </w:rPr>
        <w:t>，建立大数据应用系统，重点布局疫情防控设施和用地。根据城镇规模，设置传染病相关公共卫生用地和应急疫情防控用地。搭建应急联合防控网络，形成联防联控机制，并定期开展防灾演练训练。防控物资储备库应能满足城镇一定时期内的物资供给。</w:t>
      </w:r>
    </w:p>
    <w:p w14:paraId="158948B8">
      <w:pPr>
        <w:pStyle w:val="29"/>
        <w:keepNext/>
        <w:keepLines/>
        <w:pageBreakBefore w:val="0"/>
        <w:widowControl w:val="0"/>
        <w:numPr>
          <w:ilvl w:val="0"/>
          <w:numId w:val="13"/>
        </w:numPr>
        <w:tabs>
          <w:tab w:val="left" w:pos="420"/>
        </w:tabs>
        <w:kinsoku/>
        <w:wordWrap/>
        <w:overflowPunct/>
        <w:topLinePunct w:val="0"/>
        <w:autoSpaceDE/>
        <w:autoSpaceDN/>
        <w:bidi w:val="0"/>
        <w:adjustRightInd/>
        <w:snapToGrid/>
        <w:ind w:left="0" w:firstLine="0"/>
        <w:textAlignment w:val="auto"/>
        <w:rPr>
          <w:rFonts w:hint="default"/>
        </w:rPr>
      </w:pPr>
      <w:bookmarkStart w:id="122" w:name="_Toc9808"/>
      <w:r>
        <w:rPr>
          <w:rFonts w:hint="default"/>
        </w:rPr>
        <w:t>加强水利基础设施建设</w:t>
      </w:r>
      <w:bookmarkEnd w:id="122"/>
    </w:p>
    <w:p w14:paraId="36729E1C">
      <w:pPr>
        <w:pStyle w:val="4"/>
        <w:bidi w:val="0"/>
        <w:rPr>
          <w:rFonts w:hint="default"/>
        </w:rPr>
      </w:pPr>
      <w:r>
        <w:rPr>
          <w:rFonts w:hint="default"/>
        </w:rPr>
        <w:t>节约用水规划</w:t>
      </w:r>
    </w:p>
    <w:p w14:paraId="1528F731">
      <w:pPr>
        <w:bidi w:val="0"/>
        <w:rPr>
          <w:rFonts w:hint="default"/>
        </w:rPr>
      </w:pPr>
      <w:r>
        <w:rPr>
          <w:rFonts w:hint="eastAsia"/>
        </w:rPr>
        <w:t>根据《中华人民共和国水法》规定，国家厉行节约用水，大力推行节约用水措施，推广节约用水新技术、新工艺，发展节水型工业、农业和服务业，建立节水型社会。各级人民政府应当采取措施，加强对节约用水的管理，建立节约用水技术开发推广体系，培育和发展节约用水产业。</w:t>
      </w:r>
    </w:p>
    <w:p w14:paraId="3CE7F0E6">
      <w:pPr>
        <w:pStyle w:val="4"/>
        <w:bidi w:val="0"/>
        <w:rPr>
          <w:rFonts w:hint="default"/>
        </w:rPr>
      </w:pPr>
      <w:r>
        <w:rPr>
          <w:rFonts w:hint="default"/>
        </w:rPr>
        <w:t>完</w:t>
      </w:r>
      <w:r>
        <w:rPr>
          <w:rFonts w:hint="eastAsia"/>
          <w:lang w:eastAsia="zh-CN"/>
        </w:rPr>
        <w:t>善和</w:t>
      </w:r>
      <w:r>
        <w:rPr>
          <w:rFonts w:hint="default"/>
        </w:rPr>
        <w:t>优化水利设施</w:t>
      </w:r>
    </w:p>
    <w:p w14:paraId="784C28C8">
      <w:pPr>
        <w:bidi w:val="0"/>
        <w:rPr>
          <w:rFonts w:hint="default"/>
        </w:rPr>
      </w:pPr>
      <w:r>
        <w:rPr>
          <w:rFonts w:hint="eastAsia"/>
          <w:lang w:eastAsia="zh-CN"/>
        </w:rPr>
        <w:t>1.</w:t>
      </w:r>
      <w:r>
        <w:rPr>
          <w:rFonts w:hint="default"/>
        </w:rPr>
        <w:t>灌区节水配套建设</w:t>
      </w:r>
    </w:p>
    <w:p w14:paraId="0DCE733D">
      <w:pPr>
        <w:bidi w:val="0"/>
        <w:rPr>
          <w:rFonts w:hint="default"/>
        </w:rPr>
      </w:pPr>
      <w:r>
        <w:rPr>
          <w:rFonts w:hint="default"/>
        </w:rPr>
        <w:t>完成中小型灌区水利工程管理与保护范围划界工作，进一步谋划现代灌区新建和改扩建工程，持续提高灌区覆盖农田灌溉面积比例，为</w:t>
      </w:r>
      <w:r>
        <w:rPr>
          <w:rFonts w:hint="eastAsia"/>
          <w:lang w:val="en-US" w:eastAsia="zh-CN"/>
        </w:rPr>
        <w:t>悦来镇</w:t>
      </w:r>
      <w:r>
        <w:rPr>
          <w:rFonts w:hint="default"/>
        </w:rPr>
        <w:t>现代农业建设和全面乡村振兴提供水利支撑和保障。</w:t>
      </w:r>
    </w:p>
    <w:p w14:paraId="37EAF056">
      <w:pPr>
        <w:bidi w:val="0"/>
        <w:rPr>
          <w:rFonts w:hint="default"/>
        </w:rPr>
      </w:pPr>
      <w:r>
        <w:rPr>
          <w:rFonts w:hint="default"/>
        </w:rPr>
        <w:t>管理范围，干渠两侧不小于10米，支渠两侧不小于5米，建筑物工程不小于</w:t>
      </w:r>
      <w:r>
        <w:rPr>
          <w:rFonts w:hint="default"/>
          <w:lang w:val="en-US" w:eastAsia="zh-CN"/>
        </w:rPr>
        <w:t>50</w:t>
      </w:r>
      <w:r>
        <w:rPr>
          <w:rFonts w:hint="default"/>
        </w:rPr>
        <w:t>米；保护范围，干、支渠以管理范围边界以外不小于20米为界，建筑物工程以建筑物管理范围边界以外不小于50米为界。建设现代灌区，更新现状设施，至2035年农业灌溉水利用系数提高到0.52以上。</w:t>
      </w:r>
    </w:p>
    <w:p w14:paraId="57EAC1FD">
      <w:pPr>
        <w:bidi w:val="0"/>
        <w:rPr>
          <w:rFonts w:hint="default"/>
        </w:rPr>
      </w:pPr>
      <w:r>
        <w:rPr>
          <w:rFonts w:hint="eastAsia"/>
          <w:lang w:eastAsia="zh-CN"/>
        </w:rPr>
        <w:t>2.</w:t>
      </w:r>
      <w:r>
        <w:rPr>
          <w:rFonts w:hint="default"/>
        </w:rPr>
        <w:t>防洪提升</w:t>
      </w:r>
    </w:p>
    <w:p w14:paraId="5C105740">
      <w:pPr>
        <w:bidi w:val="0"/>
        <w:rPr>
          <w:rFonts w:hint="default"/>
        </w:rPr>
      </w:pPr>
      <w:r>
        <w:rPr>
          <w:rFonts w:hint="default"/>
        </w:rPr>
        <w:t>规划全面提高堤防标准，</w:t>
      </w:r>
      <w:r>
        <w:rPr>
          <w:rFonts w:hint="eastAsia"/>
          <w:lang w:val="en-US" w:eastAsia="zh-CN"/>
        </w:rPr>
        <w:t>河道</w:t>
      </w:r>
      <w:r>
        <w:rPr>
          <w:rFonts w:hint="default"/>
        </w:rPr>
        <w:t>规划防洪标准为20年一遇。</w:t>
      </w:r>
    </w:p>
    <w:p w14:paraId="4A654479">
      <w:pPr>
        <w:pStyle w:val="2"/>
        <w:bidi w:val="0"/>
        <w:rPr>
          <w:rFonts w:hint="default"/>
          <w:lang w:val="en-US" w:eastAsia="zh-CN"/>
        </w:rPr>
      </w:pPr>
      <w:bookmarkStart w:id="123" w:name="_Toc1791"/>
      <w:r>
        <w:rPr>
          <w:rFonts w:hint="default"/>
          <w:lang w:val="en-US" w:eastAsia="zh-CN"/>
        </w:rPr>
        <w:t>历史文化与景观风貌</w:t>
      </w:r>
      <w:bookmarkEnd w:id="123"/>
    </w:p>
    <w:p w14:paraId="43B7A51A">
      <w:pPr>
        <w:pStyle w:val="29"/>
        <w:keepNext/>
        <w:keepLines/>
        <w:pageBreakBefore w:val="0"/>
        <w:widowControl w:val="0"/>
        <w:numPr>
          <w:ilvl w:val="0"/>
          <w:numId w:val="14"/>
        </w:numPr>
        <w:tabs>
          <w:tab w:val="left" w:pos="420"/>
        </w:tabs>
        <w:kinsoku/>
        <w:wordWrap/>
        <w:overflowPunct/>
        <w:topLinePunct w:val="0"/>
        <w:autoSpaceDE/>
        <w:autoSpaceDN/>
        <w:bidi w:val="0"/>
        <w:adjustRightInd/>
        <w:snapToGrid/>
        <w:ind w:left="0" w:firstLine="0"/>
        <w:textAlignment w:val="auto"/>
        <w:rPr>
          <w:rFonts w:hint="default"/>
        </w:rPr>
      </w:pPr>
      <w:bookmarkStart w:id="124" w:name="_Toc10811"/>
      <w:r>
        <w:rPr>
          <w:rFonts w:hint="default"/>
        </w:rPr>
        <w:t>历史文化保护</w:t>
      </w:r>
      <w:bookmarkEnd w:id="124"/>
    </w:p>
    <w:p w14:paraId="307EB0FC">
      <w:pPr>
        <w:pStyle w:val="4"/>
        <w:bidi w:val="0"/>
        <w:rPr>
          <w:rFonts w:hint="default"/>
        </w:rPr>
      </w:pPr>
      <w:r>
        <w:rPr>
          <w:rFonts w:hint="default"/>
        </w:rPr>
        <w:t>完善历史文化保护体系</w:t>
      </w:r>
    </w:p>
    <w:p w14:paraId="6BE49E49">
      <w:pPr>
        <w:bidi w:val="0"/>
        <w:rPr>
          <w:rFonts w:hint="default"/>
        </w:rPr>
      </w:pPr>
      <w:r>
        <w:rPr>
          <w:rFonts w:hint="default"/>
        </w:rPr>
        <w:t>以区域整体保护为统领，建立“省级</w:t>
      </w:r>
      <w:r>
        <w:rPr>
          <w:rFonts w:hint="eastAsia"/>
          <w:lang w:eastAsia="zh-CN"/>
        </w:rPr>
        <w:t>－</w:t>
      </w:r>
      <w:r>
        <w:rPr>
          <w:rFonts w:hint="default"/>
        </w:rPr>
        <w:t>县级”两级的历史文化保护体系，实现对</w:t>
      </w:r>
      <w:r>
        <w:rPr>
          <w:rFonts w:hint="eastAsia"/>
          <w:lang w:eastAsia="zh-CN"/>
        </w:rPr>
        <w:t>悦来镇</w:t>
      </w:r>
      <w:r>
        <w:rPr>
          <w:rFonts w:hint="default"/>
        </w:rPr>
        <w:t>特色风貌和历史文化资源的有效保护和合理利用。传承文化根脉，修订完善</w:t>
      </w:r>
      <w:r>
        <w:rPr>
          <w:rFonts w:hint="eastAsia"/>
          <w:lang w:eastAsia="zh-CN"/>
        </w:rPr>
        <w:t>悦来镇</w:t>
      </w:r>
      <w:r>
        <w:rPr>
          <w:rFonts w:hint="default"/>
        </w:rPr>
        <w:t>历史文化保护名录。</w:t>
      </w:r>
    </w:p>
    <w:p w14:paraId="622925B4">
      <w:pPr>
        <w:bidi w:val="0"/>
        <w:rPr>
          <w:rFonts w:hint="eastAsia"/>
          <w:lang w:val="en-US" w:eastAsia="zh-CN"/>
        </w:rPr>
      </w:pPr>
      <w:r>
        <w:rPr>
          <w:rFonts w:hint="eastAsia"/>
          <w:lang w:val="en-US" w:eastAsia="zh-CN"/>
        </w:rPr>
        <w:t>以文保单位为中心，划定核心保护范围及建设控制地带。</w:t>
      </w:r>
    </w:p>
    <w:p w14:paraId="60881A3B">
      <w:pPr>
        <w:pStyle w:val="4"/>
        <w:bidi w:val="0"/>
        <w:rPr>
          <w:rFonts w:hint="default"/>
        </w:rPr>
      </w:pPr>
      <w:r>
        <w:rPr>
          <w:rFonts w:hint="default"/>
        </w:rPr>
        <w:t>文物保护单位保护措施</w:t>
      </w:r>
    </w:p>
    <w:p w14:paraId="2C66161A">
      <w:pPr>
        <w:bidi w:val="0"/>
        <w:rPr>
          <w:rFonts w:hint="default"/>
        </w:rPr>
      </w:pPr>
      <w:r>
        <w:t>执行《中华人民共和国文物保护法</w:t>
      </w:r>
      <w:r>
        <w:rPr>
          <w:rFonts w:hint="eastAsia"/>
          <w:lang w:eastAsia="zh-CN"/>
        </w:rPr>
        <w:t>》的</w:t>
      </w:r>
      <w:r>
        <w:t>有关规定，</w:t>
      </w:r>
      <w:r>
        <w:rPr>
          <w:rFonts w:hint="default"/>
        </w:rPr>
        <w:t>在保护范围和控制地带范围内禁止取土、耕种、放牧破坏文物的生产活动。文物保护单位的保护范围内不得进行其他建设工程或者爆破、钻探、挖掘等作业。但是，因特殊情况需要在文物保护单位的保护范围内进行其他建设工程或者爆破、钻探、挖掘等作业的，必须保证文物保护单位的安全，批准前应当征得上一级人民政府文物行政部门同意；在全国重点文物保护单位的保护范围内进行其他建设工程或者爆破、钻探、挖掘等作业的，必须经省、自治区、直辖市人民政府批准，批准前应当征得国务院文物行政部门同意。</w:t>
      </w:r>
    </w:p>
    <w:p w14:paraId="49F8E62E">
      <w:pPr>
        <w:bidi w:val="0"/>
        <w:rPr>
          <w:rFonts w:hint="default"/>
        </w:rPr>
      </w:pPr>
      <w:r>
        <w:rPr>
          <w:rFonts w:hint="default"/>
        </w:rPr>
        <w:t>在文物保护单位的保护范围和建设控制地带内，不得建设污染文物保护单位及其环境的设施，不得进行可能影响文物保护单位安全及其环境的活动。对已有的污染文物保护单位及其环境的设施，应当限期治理。在文物保护单位的建设控制地带内进行建设工程，不得破坏文物保护单位的历史风貌。</w:t>
      </w:r>
    </w:p>
    <w:p w14:paraId="40993943">
      <w:pPr>
        <w:pStyle w:val="4"/>
        <w:bidi w:val="0"/>
        <w:rPr>
          <w:rFonts w:hint="default"/>
        </w:rPr>
      </w:pPr>
      <w:r>
        <w:rPr>
          <w:rFonts w:hint="eastAsia"/>
          <w:lang w:val="en-US" w:eastAsia="zh-CN"/>
        </w:rPr>
        <w:t>地名文化保护</w:t>
      </w:r>
    </w:p>
    <w:p w14:paraId="6B5AF966">
      <w:pPr>
        <w:bidi w:val="0"/>
        <w:rPr>
          <w:rFonts w:hint="eastAsia"/>
          <w:lang w:val="en-US" w:eastAsia="zh-CN"/>
        </w:rPr>
      </w:pPr>
      <w:r>
        <w:rPr>
          <w:rFonts w:hint="eastAsia"/>
          <w:lang w:val="en-US" w:eastAsia="zh-CN"/>
        </w:rPr>
        <w:t>1.保护意义</w:t>
      </w:r>
    </w:p>
    <w:p w14:paraId="62B7D094">
      <w:pPr>
        <w:bidi w:val="0"/>
        <w:rPr>
          <w:rFonts w:hint="default"/>
        </w:rPr>
      </w:pPr>
      <w:r>
        <w:rPr>
          <w:rFonts w:hint="default"/>
          <w:lang w:val="en-US" w:eastAsia="zh-CN"/>
        </w:rPr>
        <w:t>加强地名文化保护，对于满足人民群众精神文化需求、培育社会主义核心价值观、弘扬中华传统文化、增强文化自信和中华民族凝聚力具有重要意义。历史文化地名，是佳木斯市宝贵的非物质文化遗产，必须认真加以保护。佳木斯的历史和文化，反映曾经存在过的佳木斯社会民生等，存在着</w:t>
      </w:r>
      <w:r>
        <w:rPr>
          <w:rFonts w:hint="eastAsia"/>
          <w:highlight w:val="none"/>
          <w:lang w:val="en-US" w:eastAsia="zh-CN"/>
        </w:rPr>
        <w:t>标志性的意义</w:t>
      </w:r>
      <w:r>
        <w:rPr>
          <w:rFonts w:hint="default"/>
          <w:lang w:val="en-US" w:eastAsia="zh-CN"/>
        </w:rPr>
        <w:t>，对这样的历史文化地名，必须认真挖掘保护和利用，以彰显佳木斯的历史文化和人文精神。</w:t>
      </w:r>
    </w:p>
    <w:p w14:paraId="5319BE23">
      <w:pPr>
        <w:bidi w:val="0"/>
        <w:rPr>
          <w:rFonts w:hint="default"/>
          <w:lang w:val="en-US" w:eastAsia="zh-CN"/>
        </w:rPr>
      </w:pPr>
      <w:r>
        <w:rPr>
          <w:rFonts w:hint="eastAsia"/>
          <w:lang w:val="en-US" w:eastAsia="zh-CN"/>
        </w:rPr>
        <w:t>2.</w:t>
      </w:r>
      <w:r>
        <w:rPr>
          <w:rFonts w:hint="default"/>
          <w:lang w:val="en-US" w:eastAsia="zh-CN"/>
        </w:rPr>
        <w:t xml:space="preserve">保护目标 </w:t>
      </w:r>
    </w:p>
    <w:p w14:paraId="22C112C6">
      <w:pPr>
        <w:bidi w:val="0"/>
        <w:rPr>
          <w:rFonts w:hint="default"/>
          <w:lang w:val="en-US" w:eastAsia="zh-CN"/>
        </w:rPr>
      </w:pPr>
      <w:r>
        <w:rPr>
          <w:rFonts w:hint="eastAsia"/>
          <w:lang w:val="en-US" w:eastAsia="zh-CN"/>
        </w:rPr>
        <w:t>1）</w:t>
      </w:r>
      <w:r>
        <w:rPr>
          <w:rFonts w:hint="default"/>
          <w:lang w:val="en-US" w:eastAsia="zh-CN"/>
        </w:rPr>
        <w:t>传承和弘扬佳木斯市的老地名。</w:t>
      </w:r>
    </w:p>
    <w:p w14:paraId="72F38BCB">
      <w:pPr>
        <w:bidi w:val="0"/>
        <w:rPr>
          <w:rFonts w:hint="default"/>
        </w:rPr>
      </w:pPr>
      <w:r>
        <w:rPr>
          <w:rFonts w:hint="eastAsia"/>
          <w:lang w:val="en-US" w:eastAsia="zh-CN"/>
        </w:rPr>
        <w:t>2）</w:t>
      </w:r>
      <w:r>
        <w:rPr>
          <w:rFonts w:hint="default"/>
          <w:lang w:val="en-US" w:eastAsia="zh-CN"/>
        </w:rPr>
        <w:t xml:space="preserve">明确规划范围内历史地名保护原则与保护对象。 </w:t>
      </w:r>
    </w:p>
    <w:p w14:paraId="0A7315C4">
      <w:pPr>
        <w:bidi w:val="0"/>
        <w:rPr>
          <w:rFonts w:hint="default"/>
        </w:rPr>
      </w:pPr>
      <w:r>
        <w:rPr>
          <w:rFonts w:hint="eastAsia"/>
          <w:lang w:val="en-US" w:eastAsia="zh-CN"/>
        </w:rPr>
        <w:t>3）</w:t>
      </w:r>
      <w:r>
        <w:rPr>
          <w:rFonts w:hint="default"/>
          <w:lang w:val="en-US" w:eastAsia="zh-CN"/>
        </w:rPr>
        <w:t xml:space="preserve">完善历史地名保护措施与方法。 </w:t>
      </w:r>
    </w:p>
    <w:p w14:paraId="44346C59">
      <w:pPr>
        <w:bidi w:val="0"/>
        <w:rPr>
          <w:rFonts w:hint="default"/>
        </w:rPr>
      </w:pPr>
      <w:r>
        <w:rPr>
          <w:rFonts w:hint="eastAsia"/>
          <w:lang w:val="en-US" w:eastAsia="zh-CN"/>
        </w:rPr>
        <w:t>4）</w:t>
      </w:r>
      <w:r>
        <w:rPr>
          <w:rFonts w:hint="default"/>
          <w:lang w:val="en-US" w:eastAsia="zh-CN"/>
        </w:rPr>
        <w:t xml:space="preserve">建立佳木斯市历史地名保护制度体系和长效保护机制。 </w:t>
      </w:r>
    </w:p>
    <w:p w14:paraId="10B1AC34">
      <w:pPr>
        <w:bidi w:val="0"/>
        <w:rPr>
          <w:rFonts w:hint="default"/>
          <w:lang w:val="en-US" w:eastAsia="zh-CN"/>
        </w:rPr>
      </w:pPr>
      <w:r>
        <w:rPr>
          <w:rFonts w:hint="eastAsia"/>
          <w:lang w:val="en-US" w:eastAsia="zh-CN"/>
        </w:rPr>
        <w:t>3.</w:t>
      </w:r>
      <w:r>
        <w:rPr>
          <w:rFonts w:hint="default"/>
          <w:lang w:val="en-US" w:eastAsia="zh-CN"/>
        </w:rPr>
        <w:t xml:space="preserve">保护原则 </w:t>
      </w:r>
    </w:p>
    <w:p w14:paraId="43761B02">
      <w:pPr>
        <w:bidi w:val="0"/>
        <w:rPr>
          <w:rFonts w:hint="default"/>
          <w:lang w:val="en-US" w:eastAsia="zh-CN"/>
        </w:rPr>
      </w:pPr>
      <w:r>
        <w:rPr>
          <w:rFonts w:hint="eastAsia"/>
          <w:lang w:val="en-US" w:eastAsia="zh-CN"/>
        </w:rPr>
        <w:t>1）</w:t>
      </w:r>
      <w:r>
        <w:rPr>
          <w:rFonts w:hint="default"/>
          <w:lang w:val="en-US" w:eastAsia="zh-CN"/>
        </w:rPr>
        <w:t xml:space="preserve">稳定性原则：保护历史地名的稳定性是地名保护的首要原则，谨慎处理老地名的注销、更名或合并。对于历史地名保护名录中在使用地名的更名，应当严格控制。 </w:t>
      </w:r>
    </w:p>
    <w:p w14:paraId="71B84912">
      <w:pPr>
        <w:bidi w:val="0"/>
        <w:rPr>
          <w:rFonts w:hint="default"/>
          <w:lang w:val="en-US" w:eastAsia="zh-CN"/>
        </w:rPr>
      </w:pPr>
      <w:r>
        <w:rPr>
          <w:rFonts w:hint="eastAsia"/>
          <w:lang w:val="en-US" w:eastAsia="zh-CN"/>
        </w:rPr>
        <w:t>2）</w:t>
      </w:r>
      <w:r>
        <w:rPr>
          <w:rFonts w:hint="default"/>
          <w:lang w:val="en-US" w:eastAsia="zh-CN"/>
        </w:rPr>
        <w:t xml:space="preserve">实用性原则：实现历史地名及其派生地名的使用是地名保护的主要途径，应当坚持合理使用、注重传承。 </w:t>
      </w:r>
    </w:p>
    <w:p w14:paraId="38B4FC68">
      <w:pPr>
        <w:bidi w:val="0"/>
        <w:rPr>
          <w:rFonts w:hint="default"/>
          <w:lang w:val="en-US" w:eastAsia="zh-CN"/>
        </w:rPr>
      </w:pPr>
      <w:r>
        <w:rPr>
          <w:rFonts w:hint="eastAsia"/>
          <w:lang w:val="en-US" w:eastAsia="zh-CN"/>
        </w:rPr>
        <w:t>3）</w:t>
      </w:r>
      <w:r>
        <w:rPr>
          <w:rFonts w:hint="default"/>
          <w:lang w:val="en-US" w:eastAsia="zh-CN"/>
        </w:rPr>
        <w:t xml:space="preserve">复苏性原则：历史上存在过，但现在没有利用的老地名，如确有丰厚的文化底蕴和重要的历史价值，又符合地名使用要求的，可重新恢复使用，未被恢复启用的，应当加以保护。 </w:t>
      </w:r>
    </w:p>
    <w:p w14:paraId="72EC3198">
      <w:pPr>
        <w:bidi w:val="0"/>
        <w:rPr>
          <w:rFonts w:hint="default"/>
          <w:lang w:val="en-US" w:eastAsia="zh-CN"/>
        </w:rPr>
      </w:pPr>
      <w:r>
        <w:rPr>
          <w:rFonts w:hint="eastAsia"/>
          <w:lang w:val="en-US" w:eastAsia="zh-CN"/>
        </w:rPr>
        <w:t>4.</w:t>
      </w:r>
      <w:r>
        <w:rPr>
          <w:rFonts w:hint="default"/>
          <w:lang w:val="en-US" w:eastAsia="zh-CN"/>
        </w:rPr>
        <w:t xml:space="preserve">保护措施 </w:t>
      </w:r>
    </w:p>
    <w:p w14:paraId="52EEB26F">
      <w:pPr>
        <w:bidi w:val="0"/>
        <w:rPr>
          <w:rFonts w:hint="default"/>
          <w:lang w:val="en-US" w:eastAsia="zh-CN"/>
        </w:rPr>
      </w:pPr>
      <w:r>
        <w:rPr>
          <w:rFonts w:hint="eastAsia"/>
          <w:lang w:val="en-US" w:eastAsia="zh-CN"/>
        </w:rPr>
        <w:t>1）</w:t>
      </w:r>
      <w:r>
        <w:rPr>
          <w:rFonts w:hint="default"/>
          <w:lang w:val="en-US" w:eastAsia="zh-CN"/>
        </w:rPr>
        <w:t>对被保护地名和特色地名</w:t>
      </w:r>
      <w:r>
        <w:rPr>
          <w:rFonts w:hint="eastAsia"/>
          <w:lang w:val="en-US" w:eastAsia="zh-CN"/>
        </w:rPr>
        <w:t>，</w:t>
      </w:r>
      <w:r>
        <w:rPr>
          <w:rFonts w:hint="default"/>
          <w:lang w:val="en-US" w:eastAsia="zh-CN"/>
        </w:rPr>
        <w:t xml:space="preserve">应当在适当位置采取挂牌立碑等措施加以保护和宣传。 </w:t>
      </w:r>
    </w:p>
    <w:p w14:paraId="23D3D3C7">
      <w:pPr>
        <w:bidi w:val="0"/>
        <w:rPr>
          <w:rFonts w:hint="default"/>
          <w:lang w:val="en-US" w:eastAsia="zh-CN"/>
        </w:rPr>
      </w:pPr>
      <w:r>
        <w:rPr>
          <w:rFonts w:hint="eastAsia"/>
          <w:lang w:val="en-US" w:eastAsia="zh-CN"/>
        </w:rPr>
        <w:t>2）</w:t>
      </w:r>
      <w:r>
        <w:rPr>
          <w:rFonts w:hint="default"/>
          <w:lang w:val="en-US" w:eastAsia="zh-CN"/>
        </w:rPr>
        <w:t>因城乡建设、改造或行政区划调整等原因，确需对被保护地名作出是否保留使用决定的</w:t>
      </w:r>
      <w:r>
        <w:rPr>
          <w:rFonts w:hint="eastAsia"/>
          <w:lang w:val="en-US" w:eastAsia="zh-CN"/>
        </w:rPr>
        <w:t>，</w:t>
      </w:r>
      <w:r>
        <w:rPr>
          <w:rFonts w:hint="default"/>
          <w:lang w:val="en-US" w:eastAsia="zh-CN"/>
        </w:rPr>
        <w:t xml:space="preserve">佳木斯市地名主管部门应当科学论证，采取听证会、论证会等形式听取意见，并予以公示。 </w:t>
      </w:r>
    </w:p>
    <w:p w14:paraId="60441280">
      <w:pPr>
        <w:bidi w:val="0"/>
        <w:rPr>
          <w:rFonts w:hint="eastAsia"/>
          <w:lang w:val="en-US" w:eastAsia="zh-CN"/>
        </w:rPr>
      </w:pPr>
      <w:r>
        <w:rPr>
          <w:rFonts w:hint="eastAsia"/>
          <w:lang w:val="en-US" w:eastAsia="zh-CN"/>
        </w:rPr>
        <w:t>3）</w:t>
      </w:r>
      <w:r>
        <w:rPr>
          <w:rFonts w:hint="default"/>
          <w:lang w:val="en-US" w:eastAsia="zh-CN"/>
        </w:rPr>
        <w:t>因城乡建设、改造或行政区划调整等原因，确需拆除或者迁移被保护地名所指称的地理实体的</w:t>
      </w:r>
      <w:r>
        <w:rPr>
          <w:rFonts w:hint="eastAsia"/>
          <w:lang w:val="en-US" w:eastAsia="zh-CN"/>
        </w:rPr>
        <w:t>，</w:t>
      </w:r>
      <w:r>
        <w:rPr>
          <w:rFonts w:hint="default"/>
          <w:lang w:val="en-US" w:eastAsia="zh-CN"/>
        </w:rPr>
        <w:t>佳木斯市有关部门应当事先会同市、区民政部门制定地名保护方案。</w:t>
      </w:r>
    </w:p>
    <w:p w14:paraId="45C03A72">
      <w:pPr>
        <w:pStyle w:val="29"/>
        <w:keepNext/>
        <w:keepLines/>
        <w:pageBreakBefore w:val="0"/>
        <w:widowControl w:val="0"/>
        <w:numPr>
          <w:ilvl w:val="0"/>
          <w:numId w:val="14"/>
        </w:numPr>
        <w:tabs>
          <w:tab w:val="left" w:pos="420"/>
        </w:tabs>
        <w:kinsoku/>
        <w:wordWrap/>
        <w:overflowPunct/>
        <w:topLinePunct w:val="0"/>
        <w:autoSpaceDE/>
        <w:autoSpaceDN/>
        <w:bidi w:val="0"/>
        <w:adjustRightInd/>
        <w:snapToGrid/>
        <w:ind w:left="0" w:firstLine="0"/>
        <w:textAlignment w:val="auto"/>
        <w:rPr>
          <w:rFonts w:hint="default"/>
        </w:rPr>
      </w:pPr>
      <w:bookmarkStart w:id="125" w:name="_Toc8930"/>
      <w:r>
        <w:rPr>
          <w:rFonts w:hint="default"/>
        </w:rPr>
        <w:t>景观风貌指引</w:t>
      </w:r>
      <w:bookmarkEnd w:id="125"/>
    </w:p>
    <w:p w14:paraId="1C0D33DA">
      <w:pPr>
        <w:pStyle w:val="4"/>
        <w:bidi w:val="0"/>
        <w:rPr>
          <w:rFonts w:hint="default"/>
        </w:rPr>
      </w:pPr>
      <w:r>
        <w:rPr>
          <w:rFonts w:hint="default"/>
        </w:rPr>
        <w:t>风貌分区</w:t>
      </w:r>
    </w:p>
    <w:p w14:paraId="0865E30B">
      <w:pPr>
        <w:bidi w:val="0"/>
        <w:rPr>
          <w:rFonts w:hint="default"/>
        </w:rPr>
      </w:pPr>
      <w:r>
        <w:rPr>
          <w:rFonts w:hint="default"/>
        </w:rPr>
        <w:t>以山水林田等自然资源为本底，结合地形地貌及用地空间形态，整体形成“</w:t>
      </w:r>
      <w:r>
        <w:rPr>
          <w:rFonts w:hint="eastAsia"/>
          <w:lang w:val="en-US" w:eastAsia="zh-CN"/>
        </w:rPr>
        <w:t>北国田园</w:t>
      </w:r>
      <w:r>
        <w:rPr>
          <w:rFonts w:hint="default"/>
        </w:rPr>
        <w:t>”的景观风貌，划分为</w:t>
      </w:r>
      <w:r>
        <w:rPr>
          <w:rFonts w:hint="eastAsia"/>
        </w:rPr>
        <w:t>滨水湿地景观风貌区</w:t>
      </w:r>
      <w:r>
        <w:rPr>
          <w:rFonts w:hint="eastAsia"/>
          <w:lang w:eastAsia="zh-CN"/>
        </w:rPr>
        <w:t>、</w:t>
      </w:r>
      <w:r>
        <w:rPr>
          <w:rFonts w:hint="eastAsia"/>
        </w:rPr>
        <w:t>农田耕种</w:t>
      </w:r>
      <w:r>
        <w:t>景观风貌区</w:t>
      </w:r>
      <w:r>
        <w:rPr>
          <w:rFonts w:hint="eastAsia"/>
          <w:lang w:val="en-US" w:eastAsia="zh-CN"/>
        </w:rPr>
        <w:t>和</w:t>
      </w:r>
      <w:r>
        <w:t>平原城镇</w:t>
      </w:r>
      <w:r>
        <w:rPr>
          <w:rFonts w:hint="eastAsia"/>
        </w:rPr>
        <w:t>景观</w:t>
      </w:r>
      <w:r>
        <w:t>风貌区</w:t>
      </w:r>
      <w:r>
        <w:rPr>
          <w:rFonts w:hint="eastAsia"/>
          <w:lang w:val="en-US" w:eastAsia="zh-CN"/>
        </w:rPr>
        <w:t>，三</w:t>
      </w:r>
      <w:r>
        <w:rPr>
          <w:rFonts w:hint="default"/>
        </w:rPr>
        <w:t>大风貌分区。</w:t>
      </w:r>
    </w:p>
    <w:p w14:paraId="2406FAC5">
      <w:pPr>
        <w:bidi w:val="0"/>
        <w:rPr>
          <w:rFonts w:hint="eastAsia"/>
        </w:rPr>
      </w:pPr>
      <w:r>
        <w:rPr>
          <w:rFonts w:hint="eastAsia"/>
        </w:rPr>
        <w:t>滨水湿地景观风貌区：依托镇域北部松花江水系及湿地资源，主要发展生态文旅产业。</w:t>
      </w:r>
    </w:p>
    <w:p w14:paraId="461D5C90">
      <w:pPr>
        <w:bidi w:val="0"/>
      </w:pPr>
      <w:r>
        <w:rPr>
          <w:rFonts w:hint="eastAsia"/>
        </w:rPr>
        <w:t>农田耕种</w:t>
      </w:r>
      <w:r>
        <w:t>景观风貌区：依托</w:t>
      </w:r>
      <w:r>
        <w:rPr>
          <w:rFonts w:hint="eastAsia"/>
        </w:rPr>
        <w:t>镇域</w:t>
      </w:r>
      <w:r>
        <w:t>丰富的耕地</w:t>
      </w:r>
      <w:r>
        <w:rPr>
          <w:rFonts w:hint="eastAsia"/>
        </w:rPr>
        <w:t>资源</w:t>
      </w:r>
      <w:r>
        <w:t>，展现乡村田园风光；结合乡村特色，整治乡村风貌，展现美好乡村图景。</w:t>
      </w:r>
    </w:p>
    <w:p w14:paraId="7A24DDFC">
      <w:pPr>
        <w:bidi w:val="0"/>
        <w:rPr>
          <w:rFonts w:hint="default"/>
        </w:rPr>
      </w:pPr>
      <w:r>
        <w:t>平原城镇</w:t>
      </w:r>
      <w:r>
        <w:rPr>
          <w:rFonts w:hint="eastAsia"/>
        </w:rPr>
        <w:t>景观</w:t>
      </w:r>
      <w:r>
        <w:t>风貌区：提升镇区整体环境，展示传统地域风貌特征的精品小镇。</w:t>
      </w:r>
    </w:p>
    <w:p w14:paraId="7994A3FC">
      <w:pPr>
        <w:pStyle w:val="4"/>
        <w:bidi w:val="0"/>
        <w:rPr>
          <w:rFonts w:hint="default"/>
        </w:rPr>
      </w:pPr>
      <w:r>
        <w:rPr>
          <w:rFonts w:hint="default"/>
        </w:rPr>
        <w:t>风貌指引</w:t>
      </w:r>
    </w:p>
    <w:p w14:paraId="54C38D88">
      <w:pPr>
        <w:bidi w:val="0"/>
        <w:rPr>
          <w:rFonts w:hint="default"/>
        </w:rPr>
      </w:pPr>
      <w:r>
        <w:rPr>
          <w:rFonts w:hint="default"/>
        </w:rPr>
        <w:t>延续具有东北特色的聚落肌理、生态景观和田园风光。构筑生态基底，凸显“</w:t>
      </w:r>
      <w:r>
        <w:rPr>
          <w:rFonts w:hint="eastAsia"/>
          <w:lang w:val="en-US" w:eastAsia="zh-CN"/>
        </w:rPr>
        <w:t>北国田园</w:t>
      </w:r>
      <w:r>
        <w:rPr>
          <w:rFonts w:hint="default"/>
        </w:rPr>
        <w:t>”的原生态自然风貌</w:t>
      </w:r>
      <w:r>
        <w:rPr>
          <w:rFonts w:hint="eastAsia"/>
          <w:highlight w:val="none"/>
          <w:lang w:eastAsia="zh-CN"/>
        </w:rPr>
        <w:t>和</w:t>
      </w:r>
      <w:r>
        <w:rPr>
          <w:rFonts w:hint="default"/>
        </w:rPr>
        <w:t>乡土景观特色。</w:t>
      </w:r>
    </w:p>
    <w:p w14:paraId="57B5F99F">
      <w:pPr>
        <w:bidi w:val="0"/>
        <w:rPr>
          <w:rFonts w:hint="default"/>
        </w:rPr>
      </w:pPr>
      <w:r>
        <w:rPr>
          <w:rFonts w:hint="eastAsia"/>
          <w:lang w:eastAsia="zh-CN"/>
        </w:rPr>
        <w:t>1.</w:t>
      </w:r>
      <w:r>
        <w:rPr>
          <w:rFonts w:hint="default"/>
        </w:rPr>
        <w:t>聚落空间形态指引</w:t>
      </w:r>
    </w:p>
    <w:p w14:paraId="5CF8C601">
      <w:pPr>
        <w:bidi w:val="0"/>
        <w:rPr>
          <w:rFonts w:hint="default"/>
        </w:rPr>
      </w:pPr>
      <w:r>
        <w:rPr>
          <w:rFonts w:hint="default"/>
        </w:rPr>
        <w:t>条带式布局的村庄整体风貌应与水系等自然要素相协调；村庄布局应保持依托水系绵延成带的布局形态。团块式布局的村庄整体形态应加强与自然环境的融合；保持村庄整体空间格局与道路结构；集约节约利用村庄空间，紧凑布局；丰富内部空间，避免空间形式单一。</w:t>
      </w:r>
    </w:p>
    <w:p w14:paraId="7768D5D4">
      <w:pPr>
        <w:bidi w:val="0"/>
        <w:rPr>
          <w:rFonts w:hint="default"/>
        </w:rPr>
      </w:pPr>
      <w:r>
        <w:rPr>
          <w:rFonts w:hint="eastAsia"/>
          <w:lang w:eastAsia="zh-CN"/>
        </w:rPr>
        <w:t>2.</w:t>
      </w:r>
      <w:r>
        <w:rPr>
          <w:rFonts w:hint="default"/>
        </w:rPr>
        <w:t>线性空间风貌指引</w:t>
      </w:r>
    </w:p>
    <w:p w14:paraId="1536FE6F">
      <w:pPr>
        <w:bidi w:val="0"/>
        <w:rPr>
          <w:rFonts w:hint="default"/>
        </w:rPr>
      </w:pPr>
      <w:r>
        <w:rPr>
          <w:rFonts w:hint="default"/>
        </w:rPr>
        <w:t>道路空间重点为尊重自然环境与聚落格局，形成层级分明、布局合理的路网系统。在满足交通功能基础上，将道路和环境充分融合，塑造景路相依的道路景观。道路两侧建设具有</w:t>
      </w:r>
      <w:r>
        <w:rPr>
          <w:rFonts w:hint="eastAsia"/>
          <w:highlight w:val="none"/>
          <w:lang w:eastAsia="zh-CN"/>
        </w:rPr>
        <w:t>遮阴</w:t>
      </w:r>
      <w:r>
        <w:rPr>
          <w:rFonts w:hint="default"/>
        </w:rPr>
        <w:t>、美观的绿化空间，同时考虑植物配置的要求。</w:t>
      </w:r>
    </w:p>
    <w:p w14:paraId="34BB416C">
      <w:pPr>
        <w:bidi w:val="0"/>
        <w:rPr>
          <w:rFonts w:hint="default"/>
        </w:rPr>
      </w:pPr>
      <w:r>
        <w:rPr>
          <w:rFonts w:hint="eastAsia"/>
          <w:lang w:eastAsia="zh-CN"/>
        </w:rPr>
        <w:t>3.</w:t>
      </w:r>
      <w:r>
        <w:rPr>
          <w:rFonts w:hint="default"/>
        </w:rPr>
        <w:t>林田空间风貌指引</w:t>
      </w:r>
    </w:p>
    <w:p w14:paraId="10A7F57B">
      <w:pPr>
        <w:bidi w:val="0"/>
        <w:rPr>
          <w:rFonts w:hint="default"/>
        </w:rPr>
      </w:pPr>
      <w:r>
        <w:rPr>
          <w:rFonts w:hint="default"/>
        </w:rPr>
        <w:t>保护现有林地资源，充分利用农村道路、沟渠、田坎等现有空间，加强农田防护林建设。构建多层级、网络状的平原森林体系。以严格保护</w:t>
      </w:r>
      <w:r>
        <w:rPr>
          <w:rFonts w:hint="eastAsia"/>
          <w:highlight w:val="none"/>
          <w:lang w:eastAsia="zh-CN"/>
        </w:rPr>
        <w:t>农田</w:t>
      </w:r>
      <w:r>
        <w:rPr>
          <w:rFonts w:hint="default"/>
        </w:rPr>
        <w:t>为前提，鼓励田林交织和多样化种植，形成不同的肌理景观。并适度引入休闲游憩活动，丰富林田功能。</w:t>
      </w:r>
    </w:p>
    <w:p w14:paraId="6E512BD0">
      <w:pPr>
        <w:rPr>
          <w:rFonts w:hint="eastAsia" w:ascii="Times New Roman" w:hAnsi="Times New Roman" w:cs="Times New Roman"/>
          <w:b w:val="0"/>
          <w:bCs w:val="0"/>
          <w:color w:val="auto"/>
          <w:kern w:val="2"/>
          <w:szCs w:val="36"/>
          <w:highlight w:val="none"/>
          <w:lang w:val="en-US" w:eastAsia="zh-CN"/>
        </w:rPr>
      </w:pPr>
      <w:r>
        <w:rPr>
          <w:rFonts w:hint="eastAsia" w:ascii="Times New Roman" w:hAnsi="Times New Roman" w:cs="Times New Roman"/>
          <w:b w:val="0"/>
          <w:bCs w:val="0"/>
          <w:color w:val="auto"/>
          <w:kern w:val="2"/>
          <w:szCs w:val="36"/>
          <w:highlight w:val="none"/>
          <w:lang w:val="en-US" w:eastAsia="zh-CN"/>
        </w:rPr>
        <w:br w:type="page"/>
      </w:r>
    </w:p>
    <w:p w14:paraId="1E523B6D">
      <w:pPr>
        <w:pStyle w:val="2"/>
        <w:bidi w:val="0"/>
        <w:rPr>
          <w:rFonts w:hint="eastAsia"/>
          <w:lang w:eastAsia="zh-CN"/>
        </w:rPr>
      </w:pPr>
      <w:bookmarkStart w:id="126" w:name="_Toc15179"/>
      <w:r>
        <w:rPr>
          <w:rFonts w:hint="default"/>
        </w:rPr>
        <w:t>生态修复</w:t>
      </w:r>
      <w:r>
        <w:rPr>
          <w:rFonts w:hint="eastAsia"/>
          <w:lang w:val="en-US" w:eastAsia="zh-CN"/>
        </w:rPr>
        <w:t>和</w:t>
      </w:r>
      <w:r>
        <w:rPr>
          <w:rFonts w:hint="default"/>
        </w:rPr>
        <w:t>国土综合整治</w:t>
      </w:r>
      <w:bookmarkEnd w:id="82"/>
      <w:bookmarkEnd w:id="126"/>
    </w:p>
    <w:p w14:paraId="19E89660">
      <w:pPr>
        <w:pStyle w:val="29"/>
        <w:keepNext/>
        <w:keepLines/>
        <w:pageBreakBefore w:val="0"/>
        <w:widowControl w:val="0"/>
        <w:numPr>
          <w:ilvl w:val="0"/>
          <w:numId w:val="15"/>
        </w:numPr>
        <w:tabs>
          <w:tab w:val="left" w:pos="420"/>
        </w:tabs>
        <w:kinsoku/>
        <w:wordWrap/>
        <w:overflowPunct/>
        <w:topLinePunct w:val="0"/>
        <w:autoSpaceDE/>
        <w:autoSpaceDN/>
        <w:bidi w:val="0"/>
        <w:adjustRightInd/>
        <w:snapToGrid/>
        <w:ind w:left="0" w:firstLine="0"/>
        <w:textAlignment w:val="auto"/>
        <w:rPr>
          <w:rFonts w:hint="default"/>
        </w:rPr>
      </w:pPr>
      <w:bookmarkStart w:id="127" w:name="_Toc16885"/>
      <w:bookmarkStart w:id="128" w:name="_Toc11944"/>
      <w:bookmarkStart w:id="129" w:name="_Toc12634"/>
      <w:r>
        <w:rPr>
          <w:rFonts w:hint="default"/>
          <w:lang w:val="en-US" w:eastAsia="zh-CN"/>
        </w:rPr>
        <w:t>推进山水林田湖草沙系统</w:t>
      </w:r>
      <w:r>
        <w:rPr>
          <w:rFonts w:hint="default"/>
        </w:rPr>
        <w:t>修复</w:t>
      </w:r>
      <w:bookmarkEnd w:id="127"/>
      <w:bookmarkEnd w:id="128"/>
    </w:p>
    <w:p w14:paraId="7CE3ACC6">
      <w:pPr>
        <w:bidi w:val="0"/>
        <w:rPr>
          <w:rFonts w:hint="default"/>
        </w:rPr>
      </w:pPr>
      <w:r>
        <w:rPr>
          <w:rFonts w:hint="eastAsia"/>
        </w:rPr>
        <w:t>落实县</w:t>
      </w:r>
      <w:r>
        <w:rPr>
          <w:rFonts w:hint="eastAsia"/>
          <w:lang w:eastAsia="zh-CN"/>
        </w:rPr>
        <w:t>级</w:t>
      </w:r>
      <w:r>
        <w:rPr>
          <w:rFonts w:hint="eastAsia"/>
        </w:rPr>
        <w:t>总规确定的生态修复整治目标任务</w:t>
      </w:r>
      <w:r>
        <w:rPr>
          <w:rFonts w:hint="eastAsia"/>
          <w:lang w:eastAsia="zh-CN"/>
        </w:rPr>
        <w:t>，主要内容、重点区域及整治对策和措施，并进行空间落位。</w:t>
      </w:r>
      <w:r>
        <w:rPr>
          <w:rFonts w:hint="default"/>
        </w:rPr>
        <w:t>遵循山水林田湖草</w:t>
      </w:r>
      <w:r>
        <w:rPr>
          <w:rFonts w:hint="default"/>
          <w:lang w:val="en-US" w:eastAsia="zh-CN"/>
        </w:rPr>
        <w:t>沙</w:t>
      </w:r>
      <w:r>
        <w:rPr>
          <w:rFonts w:hint="default"/>
        </w:rPr>
        <w:t>是一个生命共同体的理念，以系统思维考量，以整体观念推进，强化系统思维和底线思维，综合考虑自然生态的系统性、完整性，以山体山脉、</w:t>
      </w:r>
      <w:r>
        <w:rPr>
          <w:rFonts w:hint="eastAsia"/>
          <w:lang w:eastAsia="zh-CN"/>
        </w:rPr>
        <w:t>河</w:t>
      </w:r>
      <w:r>
        <w:rPr>
          <w:rFonts w:hint="default"/>
        </w:rPr>
        <w:t>湖流域、湿地等相对完整的自然单元为基础，推进山水林田湖草</w:t>
      </w:r>
      <w:r>
        <w:rPr>
          <w:rFonts w:hint="default"/>
          <w:lang w:val="en-US" w:eastAsia="zh-CN"/>
        </w:rPr>
        <w:t>沙</w:t>
      </w:r>
      <w:r>
        <w:rPr>
          <w:rFonts w:hint="default"/>
        </w:rPr>
        <w:t>系统修复治理，围绕</w:t>
      </w:r>
      <w:r>
        <w:rPr>
          <w:rFonts w:hint="eastAsia"/>
          <w:lang w:eastAsia="zh-CN"/>
        </w:rPr>
        <w:t>“</w:t>
      </w:r>
      <w:r>
        <w:rPr>
          <w:rFonts w:hint="default"/>
        </w:rPr>
        <w:t>生态安全</w:t>
      </w:r>
      <w:r>
        <w:rPr>
          <w:rFonts w:hint="eastAsia"/>
          <w:lang w:eastAsia="zh-CN"/>
        </w:rPr>
        <w:t>”</w:t>
      </w:r>
      <w:r>
        <w:rPr>
          <w:rFonts w:hint="default"/>
        </w:rPr>
        <w:t>协同推进经济发展和环境污染防治、生态系统保护，筑牢生态安全屏障。</w:t>
      </w:r>
    </w:p>
    <w:p w14:paraId="07088308">
      <w:pPr>
        <w:pStyle w:val="4"/>
        <w:bidi w:val="0"/>
        <w:rPr>
          <w:rFonts w:hint="default"/>
        </w:rPr>
      </w:pPr>
      <w:r>
        <w:rPr>
          <w:rFonts w:hint="default"/>
        </w:rPr>
        <w:t>生态修复原则</w:t>
      </w:r>
    </w:p>
    <w:p w14:paraId="672FBBDA">
      <w:pPr>
        <w:bidi w:val="0"/>
        <w:rPr>
          <w:rFonts w:hint="default"/>
        </w:rPr>
      </w:pPr>
      <w:r>
        <w:rPr>
          <w:rFonts w:hint="default"/>
        </w:rPr>
        <w:t>以各类自然保护地、重要生态功能区、生态敏感区、生态脆弱区等为目标单元</w:t>
      </w:r>
      <w:r>
        <w:rPr>
          <w:rFonts w:hint="eastAsia"/>
          <w:lang w:eastAsia="zh-CN"/>
        </w:rPr>
        <w:t>，</w:t>
      </w:r>
      <w:r>
        <w:rPr>
          <w:rFonts w:hint="default"/>
        </w:rPr>
        <w:t>对破碎化严重、功能退化的生态系统进行修复和综合整治。因地制宜，合理恢复。林地、湿地等生态要素空间面积萎缩、质量下降是</w:t>
      </w:r>
      <w:r>
        <w:rPr>
          <w:rFonts w:hint="eastAsia"/>
          <w:lang w:val="en-US" w:eastAsia="zh-CN"/>
        </w:rPr>
        <w:t>悦来镇</w:t>
      </w:r>
      <w:r>
        <w:rPr>
          <w:rFonts w:hint="default"/>
        </w:rPr>
        <w:t>多样化</w:t>
      </w:r>
      <w:r>
        <w:rPr>
          <w:rFonts w:hint="eastAsia"/>
          <w:highlight w:val="none"/>
          <w:lang w:eastAsia="zh-CN"/>
        </w:rPr>
        <w:t>生态文明建设</w:t>
      </w:r>
      <w:r>
        <w:rPr>
          <w:rFonts w:hint="default"/>
        </w:rPr>
        <w:t>的</w:t>
      </w:r>
      <w:r>
        <w:rPr>
          <w:rFonts w:hint="default"/>
          <w:lang w:val="en-US" w:eastAsia="zh-CN"/>
        </w:rPr>
        <w:t>重要阻碍</w:t>
      </w:r>
      <w:r>
        <w:rPr>
          <w:rFonts w:hint="default"/>
        </w:rPr>
        <w:t>，也是没有很好</w:t>
      </w:r>
      <w:r>
        <w:rPr>
          <w:rFonts w:hint="eastAsia"/>
          <w:lang w:eastAsia="zh-CN"/>
        </w:rPr>
        <w:t>地</w:t>
      </w:r>
      <w:r>
        <w:rPr>
          <w:rFonts w:hint="default"/>
        </w:rPr>
        <w:t>实现人与环境和谐</w:t>
      </w:r>
      <w:r>
        <w:rPr>
          <w:rFonts w:hint="default"/>
          <w:lang w:val="en-US" w:eastAsia="zh-CN"/>
        </w:rPr>
        <w:t>发展</w:t>
      </w:r>
      <w:r>
        <w:rPr>
          <w:rFonts w:hint="default"/>
        </w:rPr>
        <w:t>的表现。在生态保护和恢复措施中，必须充分考虑林地、湿地生态系统的环境承载力的问题，因地制宜</w:t>
      </w:r>
      <w:r>
        <w:rPr>
          <w:rFonts w:hint="eastAsia"/>
          <w:lang w:eastAsia="zh-CN"/>
        </w:rPr>
        <w:t>“</w:t>
      </w:r>
      <w:r>
        <w:rPr>
          <w:rFonts w:hint="default"/>
        </w:rPr>
        <w:t>宜林则林、宜湿则湿</w:t>
      </w:r>
      <w:r>
        <w:rPr>
          <w:rFonts w:hint="eastAsia"/>
          <w:lang w:eastAsia="zh-CN"/>
        </w:rPr>
        <w:t>”</w:t>
      </w:r>
      <w:r>
        <w:rPr>
          <w:rFonts w:hint="default"/>
        </w:rPr>
        <w:t>。</w:t>
      </w:r>
    </w:p>
    <w:p w14:paraId="68957547">
      <w:pPr>
        <w:pStyle w:val="4"/>
        <w:bidi w:val="0"/>
        <w:rPr>
          <w:rFonts w:hint="default"/>
        </w:rPr>
      </w:pPr>
      <w:r>
        <w:rPr>
          <w:rFonts w:hint="default"/>
        </w:rPr>
        <w:t>生态修复措施</w:t>
      </w:r>
    </w:p>
    <w:p w14:paraId="149B70E3">
      <w:pPr>
        <w:bidi w:val="0"/>
        <w:rPr>
          <w:rFonts w:hint="default"/>
        </w:rPr>
      </w:pPr>
      <w:r>
        <w:rPr>
          <w:rFonts w:hint="default"/>
        </w:rPr>
        <w:t>自然恢复为主，人工恢复为辅</w:t>
      </w:r>
      <w:r>
        <w:rPr>
          <w:rFonts w:hint="default"/>
          <w:lang w:eastAsia="zh-CN"/>
        </w:rPr>
        <w:t>。</w:t>
      </w:r>
      <w:r>
        <w:rPr>
          <w:rFonts w:hint="default"/>
        </w:rPr>
        <w:t>根据生态系统退化、受损程度和恢</w:t>
      </w:r>
      <w:r>
        <w:rPr>
          <w:rFonts w:hint="eastAsia"/>
          <w:highlight w:val="none"/>
          <w:lang w:eastAsia="zh-CN"/>
        </w:rPr>
        <w:t>复能</w:t>
      </w:r>
      <w:r>
        <w:rPr>
          <w:rFonts w:hint="default"/>
        </w:rPr>
        <w:t>力，合理选择保育保护、自然恢复、辅助再生和生态重建等措施，恢复生态系统结构和功能，增强生态系统稳定性和生态供给能力。</w:t>
      </w:r>
    </w:p>
    <w:p w14:paraId="035D965D">
      <w:pPr>
        <w:bidi w:val="0"/>
        <w:rPr>
          <w:rFonts w:hint="default"/>
        </w:rPr>
      </w:pPr>
      <w:r>
        <w:rPr>
          <w:rFonts w:hint="default"/>
        </w:rPr>
        <w:t>按照总体规划、整体设计、分期</w:t>
      </w:r>
      <w:r>
        <w:rPr>
          <w:rFonts w:hint="default"/>
          <w:lang w:val="en-US" w:eastAsia="zh-CN"/>
        </w:rPr>
        <w:t>部署</w:t>
      </w:r>
      <w:r>
        <w:rPr>
          <w:rFonts w:hint="default"/>
        </w:rPr>
        <w:t>、分段实施的思路，科学确定生态保护修复目标、合理布局和项目安排，协同推进山上山下、地上地下、岸上岸下、流域上下游山水林田湖草</w:t>
      </w:r>
      <w:r>
        <w:rPr>
          <w:rFonts w:hint="default"/>
          <w:lang w:val="en-US" w:eastAsia="zh-CN"/>
        </w:rPr>
        <w:t>沙</w:t>
      </w:r>
      <w:r>
        <w:rPr>
          <w:rFonts w:hint="default"/>
        </w:rPr>
        <w:t>一体化保护和修复、增强保护修复效果。</w:t>
      </w:r>
    </w:p>
    <w:p w14:paraId="4C51A714">
      <w:pPr>
        <w:bidi w:val="0"/>
        <w:rPr>
          <w:rFonts w:hint="default"/>
        </w:rPr>
      </w:pPr>
      <w:r>
        <w:rPr>
          <w:rFonts w:hint="default"/>
        </w:rPr>
        <w:t>生态修复应以预防为主，融入</w:t>
      </w:r>
      <w:r>
        <w:rPr>
          <w:rFonts w:hint="eastAsia"/>
          <w:lang w:eastAsia="zh-CN"/>
        </w:rPr>
        <w:t>“</w:t>
      </w:r>
      <w:r>
        <w:rPr>
          <w:rFonts w:hint="default"/>
        </w:rPr>
        <w:t>山水林田湖草</w:t>
      </w:r>
      <w:r>
        <w:rPr>
          <w:rFonts w:hint="default"/>
          <w:lang w:val="en-US" w:eastAsia="zh-CN"/>
        </w:rPr>
        <w:t>沙</w:t>
      </w:r>
      <w:r>
        <w:rPr>
          <w:rFonts w:hint="eastAsia"/>
          <w:lang w:eastAsia="zh-CN"/>
        </w:rPr>
        <w:t>”</w:t>
      </w:r>
      <w:r>
        <w:rPr>
          <w:rFonts w:hint="default"/>
        </w:rPr>
        <w:t>生命共同体理念</w:t>
      </w:r>
      <w:r>
        <w:rPr>
          <w:rFonts w:hint="default"/>
          <w:lang w:eastAsia="zh-CN"/>
        </w:rPr>
        <w:t>。</w:t>
      </w:r>
      <w:r>
        <w:rPr>
          <w:rFonts w:hint="default"/>
        </w:rPr>
        <w:t>通过统筹考虑山、水、林、田、湖、草、</w:t>
      </w:r>
      <w:r>
        <w:rPr>
          <w:rFonts w:hint="default"/>
          <w:lang w:val="en-US" w:eastAsia="zh-CN"/>
        </w:rPr>
        <w:t>沙</w:t>
      </w:r>
      <w:r>
        <w:rPr>
          <w:rFonts w:hint="default"/>
        </w:rPr>
        <w:t>要素以及各类重要生态系统的空间分布规律，识别生态环境脆弱区及生态系统退化区域空间分布，分阶段科学确定生态修复目标。</w:t>
      </w:r>
    </w:p>
    <w:bookmarkEnd w:id="129"/>
    <w:p w14:paraId="0E2CFD58">
      <w:pPr>
        <w:pStyle w:val="29"/>
        <w:keepNext/>
        <w:keepLines/>
        <w:pageBreakBefore w:val="0"/>
        <w:widowControl w:val="0"/>
        <w:numPr>
          <w:ilvl w:val="0"/>
          <w:numId w:val="15"/>
        </w:numPr>
        <w:tabs>
          <w:tab w:val="left" w:pos="420"/>
        </w:tabs>
        <w:kinsoku/>
        <w:wordWrap/>
        <w:overflowPunct/>
        <w:topLinePunct w:val="0"/>
        <w:autoSpaceDE/>
        <w:autoSpaceDN/>
        <w:bidi w:val="0"/>
        <w:adjustRightInd/>
        <w:snapToGrid/>
        <w:ind w:left="0" w:firstLine="0"/>
        <w:textAlignment w:val="auto"/>
        <w:outlineLvl w:val="1"/>
        <w:rPr>
          <w:rFonts w:hint="default"/>
          <w:lang w:val="en-US" w:eastAsia="zh-CN"/>
        </w:rPr>
      </w:pPr>
      <w:bookmarkStart w:id="130" w:name="_Toc5046"/>
      <w:r>
        <w:rPr>
          <w:rFonts w:hint="eastAsia"/>
          <w:lang w:val="en-US" w:eastAsia="zh-CN"/>
        </w:rPr>
        <w:t>全域土地综合整治</w:t>
      </w:r>
      <w:bookmarkEnd w:id="130"/>
    </w:p>
    <w:p w14:paraId="482F12D3">
      <w:pPr>
        <w:bidi w:val="0"/>
        <w:rPr>
          <w:rFonts w:hint="default"/>
        </w:rPr>
      </w:pPr>
      <w:r>
        <w:rPr>
          <w:rFonts w:hint="default"/>
        </w:rPr>
        <w:t>坚持问题导向，聚焦问题突出的区域和要素，围绕水体污染和山体植被破坏等问题</w:t>
      </w:r>
      <w:r>
        <w:rPr>
          <w:rFonts w:hint="default"/>
          <w:lang w:eastAsia="zh-CN"/>
        </w:rPr>
        <w:t>，</w:t>
      </w:r>
      <w:r>
        <w:rPr>
          <w:rFonts w:hint="default"/>
        </w:rPr>
        <w:t>系统开展生态修复工作，分析村居环境不佳和耕地碎片化、水土流失等问题</w:t>
      </w:r>
      <w:r>
        <w:rPr>
          <w:rFonts w:hint="default"/>
          <w:lang w:eastAsia="zh-CN"/>
        </w:rPr>
        <w:t>，</w:t>
      </w:r>
      <w:r>
        <w:rPr>
          <w:rFonts w:hint="default"/>
        </w:rPr>
        <w:t>综合整治农业空间，识别城市违法建设、低效用地和棚户区等问题全面治理城镇空间。以实现生态空间网络化、生产空间集约化、生活空间宜居化为目标，保护自然资源，系统推进整治修复工作，筑牢边境粮食、生态、国土安全三大屏障。</w:t>
      </w:r>
    </w:p>
    <w:p w14:paraId="125217EB">
      <w:pPr>
        <w:pStyle w:val="4"/>
        <w:bidi w:val="0"/>
        <w:rPr>
          <w:rFonts w:hint="default"/>
        </w:rPr>
      </w:pPr>
      <w:r>
        <w:rPr>
          <w:rFonts w:hint="default"/>
        </w:rPr>
        <w:t>确定农用地综合整治目标</w:t>
      </w:r>
    </w:p>
    <w:p w14:paraId="6A8100C5">
      <w:pPr>
        <w:bidi w:val="0"/>
        <w:rPr>
          <w:rFonts w:hint="default"/>
        </w:rPr>
      </w:pPr>
      <w:r>
        <w:rPr>
          <w:rFonts w:hint="default"/>
        </w:rPr>
        <w:t>以保证粮食安全为重点目标。一是采用合理工程措施调整土地利用的结构，增加耕地的数量，如耕地后备资源的开发等。二是通过实施旱改水措施、建设高标准农田等措施来提高耕地质量。</w:t>
      </w:r>
    </w:p>
    <w:p w14:paraId="138B772B">
      <w:pPr>
        <w:bidi w:val="0"/>
        <w:rPr>
          <w:rFonts w:hint="default"/>
        </w:rPr>
      </w:pPr>
      <w:r>
        <w:rPr>
          <w:rFonts w:hint="default"/>
        </w:rPr>
        <w:t>以耕地保有量、永久基本农田规模、高标准农田建设规模作为农用地综合整治的重要约束性指标。耕地质量提高程度、补偿耕地总量作为立项基础。突出永久基本农田保护的</w:t>
      </w:r>
      <w:r>
        <w:rPr>
          <w:rFonts w:hint="eastAsia"/>
          <w:lang w:eastAsia="zh-CN"/>
        </w:rPr>
        <w:t>“</w:t>
      </w:r>
      <w:r>
        <w:rPr>
          <w:rFonts w:hint="default"/>
        </w:rPr>
        <w:t>底线</w:t>
      </w:r>
      <w:r>
        <w:rPr>
          <w:rFonts w:hint="eastAsia"/>
          <w:lang w:eastAsia="zh-CN"/>
        </w:rPr>
        <w:t>”</w:t>
      </w:r>
      <w:r>
        <w:rPr>
          <w:rFonts w:hint="default"/>
        </w:rPr>
        <w:t>和对</w:t>
      </w:r>
      <w:r>
        <w:rPr>
          <w:rFonts w:hint="eastAsia"/>
          <w:lang w:eastAsia="zh-CN"/>
        </w:rPr>
        <w:t>“</w:t>
      </w:r>
      <w:r>
        <w:rPr>
          <w:rFonts w:hint="default"/>
        </w:rPr>
        <w:t>藏粮于地，高标准建设、高标准管护、高标准利用</w:t>
      </w:r>
      <w:r>
        <w:rPr>
          <w:rFonts w:hint="eastAsia"/>
          <w:lang w:eastAsia="zh-CN"/>
        </w:rPr>
        <w:t>”</w:t>
      </w:r>
      <w:r>
        <w:rPr>
          <w:rFonts w:hint="default"/>
        </w:rPr>
        <w:t>要求的落实。</w:t>
      </w:r>
    </w:p>
    <w:p w14:paraId="23A14445">
      <w:pPr>
        <w:pStyle w:val="4"/>
        <w:bidi w:val="0"/>
        <w:rPr>
          <w:rFonts w:hint="default"/>
        </w:rPr>
      </w:pPr>
      <w:r>
        <w:rPr>
          <w:rFonts w:hint="default"/>
        </w:rPr>
        <w:t>农用地综合整治规划</w:t>
      </w:r>
    </w:p>
    <w:p w14:paraId="6D42D2D9">
      <w:pPr>
        <w:bidi w:val="0"/>
        <w:rPr>
          <w:rFonts w:hint="default"/>
          <w:lang w:val="en-US" w:eastAsia="zh-CN"/>
        </w:rPr>
      </w:pPr>
      <w:r>
        <w:rPr>
          <w:rFonts w:hint="eastAsia"/>
          <w:lang w:val="en-US" w:eastAsia="zh-CN"/>
        </w:rPr>
        <w:t>1.</w:t>
      </w:r>
      <w:r>
        <w:rPr>
          <w:rFonts w:hint="default"/>
          <w:lang w:val="en-US" w:eastAsia="zh-CN"/>
        </w:rPr>
        <w:t>明确农用地整治任务</w:t>
      </w:r>
    </w:p>
    <w:p w14:paraId="0C7907A2">
      <w:pPr>
        <w:bidi w:val="0"/>
        <w:rPr>
          <w:rFonts w:hint="default"/>
          <w:lang w:val="en-US" w:eastAsia="zh-CN"/>
        </w:rPr>
      </w:pPr>
      <w:r>
        <w:rPr>
          <w:rFonts w:hint="default"/>
          <w:lang w:val="en-US" w:eastAsia="zh-CN"/>
        </w:rPr>
        <w:t>寻找耕地量、质双向提高的突破点，寻找适宜的农用地综合整治重点区域，优化区域整治发展布局安排。</w:t>
      </w:r>
    </w:p>
    <w:p w14:paraId="2B511B66">
      <w:pPr>
        <w:bidi w:val="0"/>
        <w:rPr>
          <w:rFonts w:hint="default"/>
          <w:lang w:val="en-US" w:eastAsia="zh-CN"/>
        </w:rPr>
      </w:pPr>
      <w:r>
        <w:rPr>
          <w:rFonts w:hint="default"/>
          <w:lang w:val="en-US" w:eastAsia="zh-CN"/>
        </w:rPr>
        <w:t>加强高标准基本农田建设，夯实农田基础设施。通过田、水、路、林、村的综合整治，开展国土综合整治项目、高标准农田建设项目等，做好耕地保护与质量提升。</w:t>
      </w:r>
    </w:p>
    <w:p w14:paraId="6D42811C">
      <w:pPr>
        <w:bidi w:val="0"/>
        <w:rPr>
          <w:rFonts w:hint="default"/>
          <w:lang w:val="en-US" w:eastAsia="zh-CN"/>
        </w:rPr>
      </w:pPr>
      <w:r>
        <w:rPr>
          <w:rFonts w:hint="default"/>
          <w:lang w:val="en-US" w:eastAsia="zh-CN"/>
        </w:rPr>
        <w:t>推进农用地整理，增加有效耕地面积，适度开发宜耕后备资源，增强粮食安全保障能力。</w:t>
      </w:r>
    </w:p>
    <w:p w14:paraId="6AA3EB7D">
      <w:pPr>
        <w:bidi w:val="0"/>
        <w:rPr>
          <w:rFonts w:hint="default"/>
          <w:lang w:val="en-US" w:eastAsia="zh-CN"/>
        </w:rPr>
      </w:pPr>
      <w:r>
        <w:rPr>
          <w:rFonts w:hint="eastAsia"/>
          <w:lang w:val="en-US" w:eastAsia="zh-CN"/>
        </w:rPr>
        <w:t>2.</w:t>
      </w:r>
      <w:r>
        <w:rPr>
          <w:rFonts w:hint="default"/>
          <w:lang w:val="en-US" w:eastAsia="zh-CN"/>
        </w:rPr>
        <w:t>探索推进其他农用地整治建设</w:t>
      </w:r>
    </w:p>
    <w:p w14:paraId="0536FD00">
      <w:pPr>
        <w:bidi w:val="0"/>
        <w:rPr>
          <w:rFonts w:hint="default"/>
          <w:lang w:val="en-US" w:eastAsia="zh-CN"/>
        </w:rPr>
      </w:pPr>
      <w:r>
        <w:rPr>
          <w:rFonts w:hint="default"/>
          <w:lang w:val="en-US" w:eastAsia="zh-CN"/>
        </w:rPr>
        <w:t>科学合理引导</w:t>
      </w:r>
      <w:r>
        <w:rPr>
          <w:rFonts w:hint="eastAsia"/>
          <w:lang w:val="en-US" w:eastAsia="zh-CN"/>
        </w:rPr>
        <w:t>镇域</w:t>
      </w:r>
      <w:r>
        <w:rPr>
          <w:rFonts w:hint="default"/>
          <w:lang w:val="en-US" w:eastAsia="zh-CN"/>
        </w:rPr>
        <w:t>农业产业结构调整。</w:t>
      </w:r>
      <w:r>
        <w:rPr>
          <w:rFonts w:hint="eastAsia"/>
          <w:lang w:val="en-US" w:eastAsia="zh-CN"/>
        </w:rPr>
        <w:t>悦来镇</w:t>
      </w:r>
      <w:r>
        <w:rPr>
          <w:rFonts w:hint="default"/>
          <w:lang w:val="en-US" w:eastAsia="zh-CN"/>
        </w:rPr>
        <w:t>南部坡度变化较大的地区及冲沟发育地区应重点发展园地产业，积极开展中低产园地整理，完善配套基础设施，促进园地集约利用、改善生态，发展特色品种，提高园地生态经济综合效益。</w:t>
      </w:r>
    </w:p>
    <w:p w14:paraId="03E862A3">
      <w:pPr>
        <w:bidi w:val="0"/>
        <w:rPr>
          <w:rFonts w:hint="default"/>
          <w:lang w:val="en-US" w:eastAsia="zh-CN"/>
        </w:rPr>
      </w:pPr>
      <w:r>
        <w:rPr>
          <w:rFonts w:hint="eastAsia"/>
          <w:lang w:val="en-US" w:eastAsia="zh-CN"/>
        </w:rPr>
        <w:t>3.</w:t>
      </w:r>
      <w:r>
        <w:rPr>
          <w:rFonts w:hint="default"/>
          <w:lang w:val="en-US" w:eastAsia="zh-CN"/>
        </w:rPr>
        <w:t>结合地质灾害分区开展农用地整治</w:t>
      </w:r>
    </w:p>
    <w:p w14:paraId="7A693963">
      <w:pPr>
        <w:bidi w:val="0"/>
        <w:rPr>
          <w:rFonts w:hint="default"/>
          <w:lang w:val="en-US" w:eastAsia="zh-CN"/>
        </w:rPr>
      </w:pPr>
      <w:r>
        <w:rPr>
          <w:rFonts w:hint="default"/>
          <w:lang w:val="en-US" w:eastAsia="zh-CN"/>
        </w:rPr>
        <w:t>在</w:t>
      </w:r>
      <w:r>
        <w:rPr>
          <w:rFonts w:hint="eastAsia"/>
          <w:lang w:val="en-US" w:eastAsia="zh-CN"/>
        </w:rPr>
        <w:t>桦川县</w:t>
      </w:r>
      <w:r>
        <w:rPr>
          <w:rFonts w:hint="default"/>
          <w:lang w:val="en-US" w:eastAsia="zh-CN"/>
        </w:rPr>
        <w:t>存在地质灾害中危险区、高危险区、极高危险区三个类型的地质灾害危险区域，在三种等级地质灾害危险区中的农用地整治重点</w:t>
      </w:r>
      <w:r>
        <w:rPr>
          <w:rFonts w:hint="eastAsia"/>
          <w:highlight w:val="none"/>
          <w:lang w:val="en-US" w:eastAsia="zh-CN"/>
        </w:rPr>
        <w:t>区域</w:t>
      </w:r>
      <w:r>
        <w:rPr>
          <w:rFonts w:hint="default"/>
          <w:lang w:val="en-US" w:eastAsia="zh-CN"/>
        </w:rPr>
        <w:t>应根据地质灾害危险类型、灾害发生频率及危害程度安排相应的地质灾害预防、治理措施。</w:t>
      </w:r>
    </w:p>
    <w:p w14:paraId="5EBDC1F6">
      <w:pPr>
        <w:pStyle w:val="4"/>
        <w:bidi w:val="0"/>
        <w:rPr>
          <w:rFonts w:hint="default"/>
        </w:rPr>
      </w:pPr>
      <w:r>
        <w:rPr>
          <w:rFonts w:hint="default"/>
        </w:rPr>
        <w:t>确定建设用地整治目标</w:t>
      </w:r>
    </w:p>
    <w:p w14:paraId="0BF30981">
      <w:pPr>
        <w:bidi w:val="0"/>
        <w:rPr>
          <w:rFonts w:hint="default"/>
        </w:rPr>
      </w:pPr>
      <w:r>
        <w:rPr>
          <w:rFonts w:hint="default"/>
        </w:rPr>
        <w:t>农村建设用地整治以提升农村人居环境、改善生活品质为目标，优化村庄布局</w:t>
      </w:r>
      <w:r>
        <w:rPr>
          <w:rFonts w:hint="default"/>
          <w:lang w:eastAsia="zh-CN"/>
        </w:rPr>
        <w:t>，</w:t>
      </w:r>
      <w:r>
        <w:rPr>
          <w:rFonts w:hint="default"/>
        </w:rPr>
        <w:t>扎实推进社会主义新农村建设。重视村庄绿化整治</w:t>
      </w:r>
      <w:r>
        <w:rPr>
          <w:rFonts w:hint="default"/>
          <w:lang w:eastAsia="zh-CN"/>
        </w:rPr>
        <w:t>，</w:t>
      </w:r>
      <w:r>
        <w:rPr>
          <w:rFonts w:hint="default"/>
        </w:rPr>
        <w:t>改善农村居住环境，加强道路的绿化建设，有效提高生态用地规模；重点改善村居环境和耕地碎片化状态，实施田水路林村全域土地综合整治，整</w:t>
      </w:r>
      <w:r>
        <w:rPr>
          <w:rFonts w:hint="eastAsia"/>
          <w:highlight w:val="none"/>
          <w:lang w:eastAsia="zh-CN"/>
        </w:rPr>
        <w:t>治和</w:t>
      </w:r>
      <w:r>
        <w:rPr>
          <w:rFonts w:hint="default"/>
        </w:rPr>
        <w:t>提升各类低效用地效率，保护自然人文景观；人居环境整治</w:t>
      </w:r>
      <w:r>
        <w:rPr>
          <w:rFonts w:hint="eastAsia"/>
          <w:highlight w:val="none"/>
          <w:lang w:eastAsia="zh-CN"/>
        </w:rPr>
        <w:t>以及</w:t>
      </w:r>
      <w:r>
        <w:rPr>
          <w:rFonts w:hint="default"/>
        </w:rPr>
        <w:t>排水、环卫等设施规划建设及村庄治危拆违等，推进美丽宜居乡村建设。</w:t>
      </w:r>
    </w:p>
    <w:p w14:paraId="196FD243">
      <w:pPr>
        <w:bidi w:val="0"/>
        <w:rPr>
          <w:rFonts w:hint="default"/>
        </w:rPr>
      </w:pPr>
      <w:r>
        <w:rPr>
          <w:rFonts w:hint="default"/>
        </w:rPr>
        <w:t>城镇化区域建设用地整治以节约集约用地为原则。以城乡结构优化、功能完善为目标。提升人居环境、公共管理与公共服务设施配套等，整合用地资源，提升土地利用率。定期实施城乡建设存量更新，明确重点区域、重点工程及项目。重点考虑盘活城乡闲散土地、低效城镇工业用地、老旧小区和城中村等存量低效用地。</w:t>
      </w:r>
    </w:p>
    <w:bookmarkEnd w:id="83"/>
    <w:p w14:paraId="1BA38992">
      <w:pPr>
        <w:pStyle w:val="2"/>
        <w:bidi w:val="0"/>
        <w:rPr>
          <w:rFonts w:hint="default"/>
          <w:lang w:val="en-US"/>
        </w:rPr>
      </w:pPr>
      <w:bookmarkStart w:id="131" w:name="_Toc5344"/>
      <w:bookmarkStart w:id="132" w:name="_Toc2121"/>
      <w:r>
        <w:rPr>
          <w:rFonts w:hint="eastAsia"/>
          <w:lang w:val="en-US" w:eastAsia="zh-CN"/>
        </w:rPr>
        <w:t>规划传导与</w:t>
      </w:r>
      <w:bookmarkEnd w:id="131"/>
      <w:r>
        <w:rPr>
          <w:rFonts w:hint="eastAsia"/>
          <w:lang w:val="en-US" w:eastAsia="zh-CN"/>
        </w:rPr>
        <w:t>管控</w:t>
      </w:r>
      <w:bookmarkEnd w:id="132"/>
    </w:p>
    <w:p w14:paraId="2E779BEF">
      <w:pPr>
        <w:pStyle w:val="29"/>
        <w:keepNext/>
        <w:keepLines/>
        <w:pageBreakBefore w:val="0"/>
        <w:widowControl w:val="0"/>
        <w:numPr>
          <w:ilvl w:val="0"/>
          <w:numId w:val="16"/>
        </w:numPr>
        <w:tabs>
          <w:tab w:val="left" w:pos="420"/>
        </w:tabs>
        <w:kinsoku/>
        <w:wordWrap/>
        <w:overflowPunct/>
        <w:topLinePunct w:val="0"/>
        <w:autoSpaceDE/>
        <w:autoSpaceDN/>
        <w:bidi w:val="0"/>
        <w:adjustRightInd/>
        <w:snapToGrid/>
        <w:ind w:left="0" w:firstLine="0"/>
        <w:textAlignment w:val="auto"/>
        <w:rPr>
          <w:rFonts w:hint="eastAsia"/>
          <w:lang w:val="en-US" w:eastAsia="zh-CN"/>
        </w:rPr>
      </w:pPr>
      <w:bookmarkStart w:id="133" w:name="_Toc6303"/>
      <w:bookmarkStart w:id="134" w:name="_Toc23498"/>
      <w:bookmarkStart w:id="135" w:name="_Toc15909"/>
      <w:r>
        <w:rPr>
          <w:rFonts w:hint="eastAsia"/>
          <w:lang w:val="en-US" w:eastAsia="zh-CN"/>
        </w:rPr>
        <w:t>加强党的领导</w:t>
      </w:r>
      <w:bookmarkEnd w:id="133"/>
      <w:bookmarkEnd w:id="134"/>
    </w:p>
    <w:p w14:paraId="3702FA60">
      <w:pPr>
        <w:pStyle w:val="4"/>
        <w:bidi w:val="0"/>
        <w:rPr>
          <w:rFonts w:hint="default"/>
        </w:rPr>
      </w:pPr>
      <w:r>
        <w:rPr>
          <w:rFonts w:hint="default"/>
        </w:rPr>
        <w:t>加强党的领导</w:t>
      </w:r>
    </w:p>
    <w:p w14:paraId="507CE994">
      <w:pPr>
        <w:bidi w:val="0"/>
        <w:rPr>
          <w:rFonts w:hint="default"/>
        </w:rPr>
      </w:pPr>
      <w:r>
        <w:rPr>
          <w:rFonts w:hint="default"/>
        </w:rPr>
        <w:t>深入学习贯彻习近平新时代中国特色社会主义思想，深刻领悟</w:t>
      </w:r>
      <w:r>
        <w:rPr>
          <w:rFonts w:hint="eastAsia"/>
          <w:lang w:eastAsia="zh-CN"/>
        </w:rPr>
        <w:t>“</w:t>
      </w:r>
      <w:r>
        <w:rPr>
          <w:rFonts w:hint="default"/>
        </w:rPr>
        <w:t>两个确立</w:t>
      </w:r>
      <w:r>
        <w:rPr>
          <w:rFonts w:hint="eastAsia"/>
          <w:lang w:eastAsia="zh-CN"/>
        </w:rPr>
        <w:t>”</w:t>
      </w:r>
      <w:r>
        <w:rPr>
          <w:rFonts w:hint="default"/>
        </w:rPr>
        <w:t>的决定性意义，增强</w:t>
      </w:r>
      <w:r>
        <w:rPr>
          <w:rFonts w:hint="eastAsia"/>
          <w:lang w:eastAsia="zh-CN"/>
        </w:rPr>
        <w:t>“</w:t>
      </w:r>
      <w:r>
        <w:rPr>
          <w:rFonts w:hint="default"/>
        </w:rPr>
        <w:t>四个意识</w:t>
      </w:r>
      <w:r>
        <w:rPr>
          <w:rFonts w:hint="eastAsia"/>
          <w:lang w:eastAsia="zh-CN"/>
        </w:rPr>
        <w:t>”</w:t>
      </w:r>
      <w:r>
        <w:rPr>
          <w:rFonts w:hint="default"/>
        </w:rPr>
        <w:t>、坚定</w:t>
      </w:r>
      <w:r>
        <w:rPr>
          <w:rFonts w:hint="eastAsia"/>
          <w:lang w:eastAsia="zh-CN"/>
        </w:rPr>
        <w:t>“</w:t>
      </w:r>
      <w:r>
        <w:rPr>
          <w:rFonts w:hint="default"/>
        </w:rPr>
        <w:t>四个自信</w:t>
      </w:r>
      <w:r>
        <w:rPr>
          <w:rFonts w:hint="eastAsia"/>
          <w:lang w:eastAsia="zh-CN"/>
        </w:rPr>
        <w:t>”</w:t>
      </w:r>
      <w:r>
        <w:rPr>
          <w:rFonts w:hint="default"/>
        </w:rPr>
        <w:t>、做到</w:t>
      </w:r>
      <w:r>
        <w:rPr>
          <w:rFonts w:hint="eastAsia"/>
          <w:lang w:eastAsia="zh-CN"/>
        </w:rPr>
        <w:t>“</w:t>
      </w:r>
      <w:r>
        <w:rPr>
          <w:rFonts w:hint="default"/>
        </w:rPr>
        <w:t>两个维护</w:t>
      </w:r>
      <w:r>
        <w:rPr>
          <w:rFonts w:hint="eastAsia"/>
          <w:lang w:eastAsia="zh-CN"/>
        </w:rPr>
        <w:t>”</w:t>
      </w:r>
      <w:r>
        <w:rPr>
          <w:rFonts w:hint="default"/>
        </w:rPr>
        <w:t>，不断提高政治判断力、政治领悟力、政治执行力，充分发挥党总揽全局、协调各方的领导核心作用，把党的领导贯彻到国土空间总体规划编制实施全过程各领域各环节。</w:t>
      </w:r>
    </w:p>
    <w:p w14:paraId="2F7AD72C">
      <w:pPr>
        <w:bidi w:val="0"/>
        <w:rPr>
          <w:rFonts w:hint="default"/>
        </w:rPr>
      </w:pPr>
      <w:r>
        <w:rPr>
          <w:rFonts w:hint="default"/>
        </w:rPr>
        <w:t>落实地方各级党委和政府国土空间总体规划管理主体责任。坚持</w:t>
      </w:r>
      <w:r>
        <w:rPr>
          <w:rFonts w:hint="eastAsia"/>
          <w:lang w:eastAsia="zh-CN"/>
        </w:rPr>
        <w:t>“</w:t>
      </w:r>
      <w:r>
        <w:rPr>
          <w:rFonts w:hint="default"/>
        </w:rPr>
        <w:t>多规合一</w:t>
      </w:r>
      <w:r>
        <w:rPr>
          <w:rFonts w:hint="eastAsia"/>
          <w:lang w:eastAsia="zh-CN"/>
        </w:rPr>
        <w:t>”</w:t>
      </w:r>
      <w:r>
        <w:rPr>
          <w:rFonts w:hint="default"/>
        </w:rPr>
        <w:t>，强化规划权威性、严肃性，规划一经批准，任何部门和个人不得随意修改、违规变更。增强领导干部的国土空间总体规划权威性、严肃性认识，防止换一届</w:t>
      </w:r>
      <w:r>
        <w:rPr>
          <w:rFonts w:hint="eastAsia"/>
          <w:highlight w:val="none"/>
          <w:lang w:eastAsia="zh-CN"/>
        </w:rPr>
        <w:t>党委、政府</w:t>
      </w:r>
      <w:r>
        <w:rPr>
          <w:rFonts w:hint="default"/>
        </w:rPr>
        <w:t>改一次规划。将国土空间总体规划执行情况纳入领导干部自然资源资产离任审计。</w:t>
      </w:r>
    </w:p>
    <w:p w14:paraId="33CDD871">
      <w:pPr>
        <w:bidi w:val="0"/>
        <w:rPr>
          <w:rFonts w:hint="default"/>
        </w:rPr>
      </w:pPr>
      <w:r>
        <w:rPr>
          <w:rFonts w:hint="default"/>
        </w:rPr>
        <w:t>各乡镇和有关部门应根据职责分工，制定本辖区的国土空间总体规划和本部门的国土空间相关专项规划。规划实施中的重大事项或重大调整，及时按程序向县委、县政府请示报告，确保党中央、国务院重大决策部署贯彻落实到位，确保省委、省政府和市委、市政府重大工作安排执行到位。</w:t>
      </w:r>
    </w:p>
    <w:p w14:paraId="33879253">
      <w:pPr>
        <w:pStyle w:val="29"/>
        <w:keepNext/>
        <w:keepLines/>
        <w:pageBreakBefore w:val="0"/>
        <w:widowControl w:val="0"/>
        <w:numPr>
          <w:ilvl w:val="0"/>
          <w:numId w:val="16"/>
        </w:numPr>
        <w:tabs>
          <w:tab w:val="left" w:pos="420"/>
        </w:tabs>
        <w:kinsoku/>
        <w:wordWrap/>
        <w:overflowPunct/>
        <w:topLinePunct w:val="0"/>
        <w:autoSpaceDE/>
        <w:autoSpaceDN/>
        <w:bidi w:val="0"/>
        <w:adjustRightInd/>
        <w:snapToGrid/>
        <w:ind w:left="0" w:firstLine="0"/>
        <w:textAlignment w:val="auto"/>
        <w:rPr>
          <w:rFonts w:hint="eastAsia"/>
          <w:lang w:val="en-US" w:eastAsia="zh-CN"/>
        </w:rPr>
      </w:pPr>
      <w:bookmarkStart w:id="136" w:name="_Toc14407"/>
      <w:r>
        <w:rPr>
          <w:rFonts w:hint="eastAsia"/>
          <w:lang w:val="en-US" w:eastAsia="zh-CN"/>
        </w:rPr>
        <w:t>全域规划传导与管控</w:t>
      </w:r>
      <w:bookmarkEnd w:id="136"/>
    </w:p>
    <w:p w14:paraId="7B9CF16B">
      <w:pPr>
        <w:pStyle w:val="4"/>
        <w:bidi w:val="0"/>
        <w:rPr>
          <w:rFonts w:hint="default"/>
        </w:rPr>
      </w:pPr>
      <w:bookmarkStart w:id="137" w:name="_Toc8583"/>
      <w:bookmarkStart w:id="138" w:name="_Toc9999"/>
      <w:bookmarkStart w:id="139" w:name="_Toc29753"/>
      <w:r>
        <w:rPr>
          <w:rFonts w:hint="default"/>
        </w:rPr>
        <w:t>城镇开发边界内管控</w:t>
      </w:r>
      <w:bookmarkEnd w:id="137"/>
    </w:p>
    <w:p w14:paraId="16837EBC">
      <w:pPr>
        <w:bidi w:val="0"/>
        <w:rPr>
          <w:rFonts w:hint="eastAsia"/>
          <w:lang w:val="en-US" w:eastAsia="zh-CN"/>
        </w:rPr>
      </w:pPr>
      <w:bookmarkStart w:id="140" w:name="_Hlk175297944"/>
      <w:r>
        <w:rPr>
          <w:rFonts w:hint="eastAsia"/>
          <w:lang w:val="en-US" w:eastAsia="zh-CN"/>
        </w:rPr>
        <w:t>城镇开发边界内各类建设活动严格实行用途管制，按照规划用途依法办理有关手续，并加强与城市蓝线、城市绿线、城市黄线、城市紫线、主次干路的走向等协同管控。城镇开发边界内确定的涉及强制性内容的用地，禁止擅自改变用途，确需改变应按照规定的权限和程序先修改本规划。在符合本规划的前提下，其他用地已编制控制性详细规划且对用地兼容性作出规定的，应当按照控制性详细规划执行；控制性详细规划未作出规定或未编制控制性详细规划的，可以根据本规划及有关专项规划，并结合实际修编控制性详细规划或新编控制性详细规划进行用地兼容性规定。</w:t>
      </w:r>
    </w:p>
    <w:p w14:paraId="40EF5661">
      <w:pPr>
        <w:bidi w:val="0"/>
        <w:rPr>
          <w:rFonts w:hint="eastAsia"/>
          <w:lang w:val="en-US" w:eastAsia="zh-CN"/>
        </w:rPr>
      </w:pPr>
      <w:r>
        <w:rPr>
          <w:rFonts w:hint="eastAsia"/>
          <w:lang w:val="en-US" w:eastAsia="zh-CN"/>
        </w:rPr>
        <w:t>严格城镇开发边界外的空间准入，城镇开发边界外可以存在少量对选址有特殊要求的城镇建设用地，但不得进行城镇集中建设、不得设立各类开发区。</w:t>
      </w:r>
    </w:p>
    <w:bookmarkEnd w:id="140"/>
    <w:p w14:paraId="45A4957D">
      <w:pPr>
        <w:pStyle w:val="4"/>
        <w:bidi w:val="0"/>
        <w:rPr>
          <w:rFonts w:hint="default"/>
        </w:rPr>
      </w:pPr>
      <w:bookmarkStart w:id="141" w:name="_Toc29297"/>
      <w:r>
        <w:rPr>
          <w:rFonts w:hint="default"/>
        </w:rPr>
        <w:t>城镇开发边界外管控</w:t>
      </w:r>
      <w:bookmarkEnd w:id="141"/>
    </w:p>
    <w:p w14:paraId="418090B8">
      <w:pPr>
        <w:bidi w:val="0"/>
        <w:rPr>
          <w:rFonts w:hint="default"/>
          <w:lang w:val="en-US" w:eastAsia="zh-CN"/>
        </w:rPr>
      </w:pPr>
      <w:bookmarkStart w:id="142" w:name="_Hlk175298030"/>
      <w:r>
        <w:rPr>
          <w:rFonts w:hint="default"/>
          <w:lang w:val="en-US" w:eastAsia="zh-CN"/>
        </w:rPr>
        <w:t>科学确定村庄发展方向，在原有规模基础上有序推进改造提升；激活产业、优化环境、提振人气、增添活力；保护保留乡村风貌，建设宜居宜业的美丽村庄；城镇基础设施向乡村延伸、公共服务向乡村覆盖的中心节点，规划配置辐射一定范围乡村地区的、规模适度的管理、便民服务、教育、医疗、文体、农资服务、群众议事等功能建筑和活动场地，引导建设完善的道路、给排水、电力电信、环境卫生等配套设施。</w:t>
      </w:r>
    </w:p>
    <w:p w14:paraId="52B9E921">
      <w:pPr>
        <w:bidi w:val="0"/>
        <w:rPr>
          <w:rFonts w:hint="default"/>
          <w:lang w:val="en-US" w:eastAsia="zh-CN"/>
        </w:rPr>
      </w:pPr>
      <w:r>
        <w:rPr>
          <w:rFonts w:hint="default"/>
          <w:lang w:val="en-US" w:eastAsia="zh-CN"/>
        </w:rPr>
        <w:t>注重在原有村庄形态和肌理上适度集中集聚，注重节约土地，保护好乡村风貌；建设布局合理、道路顺畅、设施完善、环境宜居的康居村庄；按规划配置各类公共服务和公用设施，提高服务周边乡村地区的水平，提高居住环境品质，吸引一般村村民到中心村集中居住</w:t>
      </w:r>
      <w:bookmarkEnd w:id="142"/>
      <w:r>
        <w:rPr>
          <w:rFonts w:hint="default"/>
          <w:lang w:val="en-US" w:eastAsia="zh-CN"/>
        </w:rPr>
        <w:t>。</w:t>
      </w:r>
    </w:p>
    <w:p w14:paraId="7EB600BD">
      <w:pPr>
        <w:bidi w:val="0"/>
        <w:rPr>
          <w:rFonts w:hint="eastAsia"/>
          <w:lang w:val="en-US" w:eastAsia="zh-CN"/>
        </w:rPr>
      </w:pPr>
      <w:r>
        <w:rPr>
          <w:rFonts w:hint="eastAsia"/>
          <w:lang w:val="en-US" w:eastAsia="zh-CN"/>
        </w:rPr>
        <w:t>2.“通则式”规划管理</w:t>
      </w:r>
    </w:p>
    <w:p w14:paraId="52EC6146">
      <w:pPr>
        <w:bidi w:val="0"/>
        <w:rPr>
          <w:rFonts w:hint="default"/>
          <w:lang w:val="en-US" w:eastAsia="zh-CN"/>
        </w:rPr>
      </w:pPr>
      <w:r>
        <w:rPr>
          <w:rFonts w:hint="default"/>
          <w:lang w:val="en-US" w:eastAsia="zh-CN"/>
        </w:rPr>
        <w:t>对</w:t>
      </w:r>
      <w:r>
        <w:rPr>
          <w:rFonts w:hint="eastAsia"/>
          <w:lang w:val="en-US" w:eastAsia="zh-CN"/>
        </w:rPr>
        <w:t>于</w:t>
      </w:r>
      <w:r>
        <w:rPr>
          <w:rFonts w:hint="default"/>
          <w:lang w:val="en-US" w:eastAsia="zh-CN"/>
        </w:rPr>
        <w:t>没有需求、不具备条件暂不编制规划</w:t>
      </w:r>
      <w:r>
        <w:rPr>
          <w:rFonts w:hint="eastAsia"/>
          <w:lang w:val="en-US" w:eastAsia="zh-CN"/>
        </w:rPr>
        <w:t>的村庄，</w:t>
      </w:r>
      <w:r>
        <w:rPr>
          <w:rFonts w:hint="default"/>
          <w:lang w:val="en-US" w:eastAsia="zh-CN"/>
        </w:rPr>
        <w:t>结合</w:t>
      </w:r>
      <w:r>
        <w:rPr>
          <w:rFonts w:hint="eastAsia"/>
          <w:lang w:val="en-US" w:eastAsia="zh-CN"/>
        </w:rPr>
        <w:t>本</w:t>
      </w:r>
      <w:r>
        <w:rPr>
          <w:rFonts w:hint="default"/>
          <w:lang w:val="en-US" w:eastAsia="zh-CN"/>
        </w:rPr>
        <w:t>规划确定的</w:t>
      </w:r>
      <w:r>
        <w:rPr>
          <w:rFonts w:hint="eastAsia"/>
          <w:lang w:val="en-US" w:eastAsia="zh-CN"/>
        </w:rPr>
        <w:t>“</w:t>
      </w:r>
      <w:r>
        <w:rPr>
          <w:rFonts w:hint="default"/>
          <w:lang w:val="en-US" w:eastAsia="zh-CN"/>
        </w:rPr>
        <w:t>三区三线</w:t>
      </w:r>
      <w:r>
        <w:rPr>
          <w:rFonts w:hint="eastAsia"/>
          <w:lang w:val="en-US" w:eastAsia="zh-CN"/>
        </w:rPr>
        <w:t>”</w:t>
      </w:r>
      <w:r>
        <w:rPr>
          <w:rFonts w:hint="default"/>
          <w:lang w:val="en-US" w:eastAsia="zh-CN"/>
        </w:rPr>
        <w:t>、自然灾害风险防控线、历史文化保护线和风貌特色等控制引导要求，</w:t>
      </w:r>
      <w:r>
        <w:rPr>
          <w:rFonts w:hint="eastAsia"/>
          <w:lang w:val="en-US" w:eastAsia="zh-CN"/>
        </w:rPr>
        <w:t>及下一章</w:t>
      </w:r>
      <w:r>
        <w:rPr>
          <w:rFonts w:hint="default"/>
          <w:lang w:val="en-US" w:eastAsia="zh-CN"/>
        </w:rPr>
        <w:t>相关用途管制规则和建设管控要求，作为乡村规划建设管理依据，审批核发乡村建设规划许可。</w:t>
      </w:r>
    </w:p>
    <w:bookmarkEnd w:id="138"/>
    <w:bookmarkEnd w:id="139"/>
    <w:p w14:paraId="3347A5E7">
      <w:pPr>
        <w:pStyle w:val="29"/>
        <w:keepNext/>
        <w:keepLines/>
        <w:pageBreakBefore w:val="0"/>
        <w:widowControl w:val="0"/>
        <w:numPr>
          <w:ilvl w:val="0"/>
          <w:numId w:val="16"/>
        </w:numPr>
        <w:tabs>
          <w:tab w:val="left" w:pos="420"/>
        </w:tabs>
        <w:kinsoku/>
        <w:wordWrap/>
        <w:overflowPunct/>
        <w:topLinePunct w:val="0"/>
        <w:autoSpaceDE/>
        <w:autoSpaceDN/>
        <w:bidi w:val="0"/>
        <w:adjustRightInd/>
        <w:snapToGrid/>
        <w:ind w:left="0" w:firstLine="0"/>
        <w:textAlignment w:val="auto"/>
        <w:rPr>
          <w:rFonts w:hint="eastAsia"/>
          <w:lang w:val="en-US" w:eastAsia="zh-CN"/>
        </w:rPr>
      </w:pPr>
      <w:bookmarkStart w:id="143" w:name="_Toc135406835"/>
      <w:bookmarkStart w:id="144" w:name="_Toc18436"/>
      <w:bookmarkStart w:id="145" w:name="_Toc135402811"/>
      <w:bookmarkStart w:id="146" w:name="_Toc22833"/>
      <w:bookmarkStart w:id="147" w:name="_Toc15350"/>
      <w:bookmarkStart w:id="148" w:name="_Toc7625"/>
      <w:bookmarkStart w:id="149" w:name="_Toc23120"/>
      <w:bookmarkStart w:id="150" w:name="_Toc28626"/>
      <w:bookmarkStart w:id="151" w:name="_Toc14677"/>
      <w:bookmarkStart w:id="152" w:name="_Toc29376"/>
      <w:bookmarkStart w:id="153" w:name="_Toc818"/>
      <w:bookmarkStart w:id="154" w:name="_Toc29017"/>
      <w:bookmarkStart w:id="155" w:name="_Toc9745"/>
      <w:bookmarkStart w:id="156" w:name="_Toc2761"/>
      <w:bookmarkStart w:id="157" w:name="_Toc7619"/>
      <w:r>
        <w:rPr>
          <w:rFonts w:hint="eastAsia"/>
          <w:lang w:val="en-US" w:eastAsia="zh-CN"/>
        </w:rPr>
        <w:t>建设国土空间规划“一张图</w:t>
      </w:r>
      <w:bookmarkEnd w:id="143"/>
      <w:bookmarkEnd w:id="144"/>
      <w:bookmarkEnd w:id="145"/>
      <w:bookmarkEnd w:id="146"/>
      <w:bookmarkEnd w:id="147"/>
      <w:bookmarkEnd w:id="148"/>
      <w:bookmarkEnd w:id="149"/>
      <w:bookmarkEnd w:id="150"/>
      <w:bookmarkEnd w:id="151"/>
      <w:bookmarkEnd w:id="152"/>
      <w:bookmarkEnd w:id="153"/>
      <w:bookmarkEnd w:id="154"/>
      <w:bookmarkEnd w:id="155"/>
      <w:r>
        <w:rPr>
          <w:rFonts w:hint="eastAsia"/>
          <w:lang w:val="en-US" w:eastAsia="zh-CN"/>
        </w:rPr>
        <w:t>”</w:t>
      </w:r>
      <w:bookmarkEnd w:id="156"/>
      <w:bookmarkEnd w:id="157"/>
    </w:p>
    <w:p w14:paraId="7E902635">
      <w:pPr>
        <w:pStyle w:val="4"/>
        <w:bidi w:val="0"/>
        <w:rPr>
          <w:rFonts w:hint="eastAsia"/>
        </w:rPr>
      </w:pPr>
      <w:r>
        <w:rPr>
          <w:rFonts w:hint="eastAsia"/>
        </w:rPr>
        <w:t>落实完善国土空间基础信息平台任务</w:t>
      </w:r>
    </w:p>
    <w:p w14:paraId="09C131E6">
      <w:pPr>
        <w:bidi w:val="0"/>
        <w:rPr>
          <w:rFonts w:hint="eastAsia"/>
          <w:lang w:val="en-US" w:eastAsia="zh-CN"/>
        </w:rPr>
      </w:pPr>
      <w:r>
        <w:rPr>
          <w:rFonts w:hint="eastAsia"/>
          <w:lang w:val="en-US" w:eastAsia="zh-CN"/>
        </w:rPr>
        <w:t>悦来镇在推进国土空间规划编制中，应及时将批准的规划成果向上级平台入库，作为详细规划编制和审批的基础和依据。经核对和审批的详细规划成果由上级自然资源主管部门整合叠加后，形成以一张</w:t>
      </w:r>
      <w:r>
        <w:rPr>
          <w:rFonts w:hint="eastAsia"/>
          <w:highlight w:val="none"/>
          <w:lang w:val="en-US" w:eastAsia="zh-CN"/>
        </w:rPr>
        <w:t>底图</w:t>
      </w:r>
      <w:r>
        <w:rPr>
          <w:rFonts w:hint="eastAsia"/>
          <w:lang w:val="en-US" w:eastAsia="zh-CN"/>
        </w:rPr>
        <w:t>为基础，可层层叠加打开的国土空间规划“一张图”，为统一国土空间用途管制、实施建设项目规划许可、强化规划实施监督提供支撑。</w:t>
      </w:r>
    </w:p>
    <w:p w14:paraId="39B92A2E">
      <w:pPr>
        <w:pStyle w:val="29"/>
        <w:keepNext/>
        <w:keepLines/>
        <w:pageBreakBefore w:val="0"/>
        <w:widowControl w:val="0"/>
        <w:numPr>
          <w:ilvl w:val="0"/>
          <w:numId w:val="16"/>
        </w:numPr>
        <w:tabs>
          <w:tab w:val="left" w:pos="420"/>
        </w:tabs>
        <w:kinsoku/>
        <w:wordWrap/>
        <w:overflowPunct/>
        <w:topLinePunct w:val="0"/>
        <w:autoSpaceDE/>
        <w:autoSpaceDN/>
        <w:bidi w:val="0"/>
        <w:adjustRightInd/>
        <w:snapToGrid/>
        <w:ind w:left="0" w:firstLine="0"/>
        <w:textAlignment w:val="auto"/>
        <w:rPr>
          <w:rFonts w:hint="eastAsia"/>
          <w:lang w:val="en-US" w:eastAsia="zh-CN"/>
        </w:rPr>
      </w:pPr>
      <w:bookmarkStart w:id="158" w:name="_Toc18"/>
      <w:bookmarkStart w:id="159" w:name="_Toc18697"/>
      <w:bookmarkStart w:id="160" w:name="_Toc14462"/>
      <w:bookmarkStart w:id="161" w:name="_Toc26710"/>
      <w:bookmarkStart w:id="162" w:name="_Toc23808"/>
      <w:bookmarkStart w:id="163" w:name="_Toc21446"/>
      <w:bookmarkStart w:id="164" w:name="_Toc135406836"/>
      <w:bookmarkStart w:id="165" w:name="_Toc28069"/>
      <w:bookmarkStart w:id="166" w:name="_Toc13982"/>
      <w:bookmarkStart w:id="167" w:name="_Toc135402812"/>
      <w:bookmarkStart w:id="168" w:name="_Toc5539"/>
      <w:bookmarkStart w:id="169" w:name="_Toc124710590"/>
      <w:bookmarkStart w:id="170" w:name="_Toc1440"/>
      <w:bookmarkStart w:id="171" w:name="_Toc25878"/>
      <w:bookmarkStart w:id="172" w:name="_Toc25117"/>
      <w:bookmarkStart w:id="173" w:name="_Toc15527"/>
      <w:r>
        <w:rPr>
          <w:rFonts w:hint="eastAsia"/>
          <w:lang w:val="en-US" w:eastAsia="zh-CN"/>
        </w:rPr>
        <w:t>实施规划全生命周期管理</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2E68C1EF">
      <w:pPr>
        <w:pStyle w:val="4"/>
        <w:bidi w:val="0"/>
        <w:rPr>
          <w:rFonts w:hint="eastAsia"/>
        </w:rPr>
      </w:pPr>
      <w:r>
        <w:rPr>
          <w:rFonts w:hint="eastAsia"/>
        </w:rPr>
        <w:t>建立规划动态评估调整机制</w:t>
      </w:r>
    </w:p>
    <w:p w14:paraId="557E95D9">
      <w:pPr>
        <w:bidi w:val="0"/>
        <w:rPr>
          <w:rFonts w:hint="default"/>
        </w:rPr>
      </w:pPr>
      <w:bookmarkStart w:id="174" w:name="_Toc135402813"/>
      <w:bookmarkStart w:id="175" w:name="_Toc13969"/>
      <w:bookmarkStart w:id="176" w:name="_Toc19705"/>
      <w:bookmarkStart w:id="177" w:name="_Toc5373"/>
      <w:bookmarkStart w:id="178" w:name="_Toc19194"/>
      <w:bookmarkStart w:id="179" w:name="_Toc31724"/>
      <w:bookmarkStart w:id="180" w:name="_Toc28494"/>
      <w:bookmarkStart w:id="181" w:name="_Toc9116"/>
      <w:bookmarkStart w:id="182" w:name="_Toc17888"/>
      <w:bookmarkStart w:id="183" w:name="_Toc30278"/>
      <w:bookmarkStart w:id="184" w:name="_Toc20046"/>
      <w:bookmarkStart w:id="185" w:name="_Toc1663"/>
      <w:bookmarkStart w:id="186" w:name="_Toc124710592"/>
      <w:bookmarkStart w:id="187" w:name="_Toc17616"/>
      <w:bookmarkStart w:id="188" w:name="_Toc135406837"/>
      <w:r>
        <w:rPr>
          <w:rFonts w:hint="default"/>
        </w:rPr>
        <w:t>建立健全“一年一体检、五年一评估”规划体检评估机制。利用国土空间规划“一张图”实施监督系统，实现对规划执行情况实时监测、预警和定期评估。将规划实施管理列入政府工作政绩考核内容，定期考核，做到有管理目标、管理制度、管理队伍、管理经费、运作机制、监督措施。</w:t>
      </w:r>
    </w:p>
    <w:bookmarkEnd w:id="135"/>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14:paraId="333F15F2">
      <w:pPr>
        <w:pStyle w:val="2"/>
        <w:bidi w:val="0"/>
        <w:rPr>
          <w:rFonts w:hint="eastAsia"/>
          <w:lang w:val="en-US" w:eastAsia="zh-CN"/>
        </w:rPr>
      </w:pPr>
      <w:bookmarkStart w:id="189" w:name="_Toc29024"/>
      <w:r>
        <w:rPr>
          <w:rFonts w:hint="eastAsia"/>
        </w:rPr>
        <w:t>村庄“通则式”规划管理规定</w:t>
      </w:r>
      <w:bookmarkEnd w:id="189"/>
    </w:p>
    <w:p w14:paraId="2F561E00">
      <w:pPr>
        <w:pStyle w:val="15"/>
        <w:spacing w:line="600" w:lineRule="exact"/>
        <w:ind w:firstLine="640" w:firstLineChars="200"/>
        <w:jc w:val="both"/>
        <w:rPr>
          <w:rFonts w:hint="eastAsia" w:ascii="Times New Roman" w:hAnsi="Times New Roman" w:eastAsia="仿宋_GB2312"/>
          <w:bCs w:val="0"/>
          <w:color w:val="auto"/>
          <w:sz w:val="32"/>
          <w:szCs w:val="32"/>
        </w:rPr>
      </w:pPr>
      <w:r>
        <w:rPr>
          <w:rFonts w:ascii="Times New Roman" w:hAnsi="Times New Roman" w:eastAsia="仿宋_GB2312"/>
          <w:bCs w:val="0"/>
          <w:color w:val="auto"/>
          <w:sz w:val="32"/>
          <w:szCs w:val="32"/>
        </w:rPr>
        <w:t>村庄</w:t>
      </w:r>
      <w:r>
        <w:rPr>
          <w:rFonts w:hint="eastAsia" w:ascii="Times New Roman" w:hAnsi="Times New Roman" w:eastAsia="仿宋_GB2312"/>
          <w:bCs w:val="0"/>
          <w:color w:val="auto"/>
          <w:sz w:val="32"/>
          <w:szCs w:val="32"/>
        </w:rPr>
        <w:t>“</w:t>
      </w:r>
      <w:r>
        <w:rPr>
          <w:rFonts w:ascii="Times New Roman" w:hAnsi="Times New Roman" w:eastAsia="仿宋_GB2312"/>
          <w:bCs w:val="0"/>
          <w:color w:val="auto"/>
          <w:sz w:val="32"/>
          <w:szCs w:val="32"/>
        </w:rPr>
        <w:t>通则式</w:t>
      </w:r>
      <w:r>
        <w:rPr>
          <w:rFonts w:hint="eastAsia" w:ascii="Times New Roman" w:hAnsi="Times New Roman" w:eastAsia="仿宋_GB2312"/>
          <w:bCs w:val="0"/>
          <w:color w:val="auto"/>
          <w:sz w:val="32"/>
          <w:szCs w:val="32"/>
        </w:rPr>
        <w:t>”</w:t>
      </w:r>
      <w:r>
        <w:rPr>
          <w:rFonts w:ascii="Times New Roman" w:hAnsi="Times New Roman" w:eastAsia="仿宋_GB2312"/>
          <w:bCs w:val="0"/>
          <w:color w:val="auto"/>
          <w:sz w:val="32"/>
          <w:szCs w:val="32"/>
        </w:rPr>
        <w:t>规划管理规定适用于</w:t>
      </w:r>
      <w:r>
        <w:rPr>
          <w:rFonts w:hint="eastAsia" w:ascii="Times New Roman" w:hAnsi="Times New Roman" w:eastAsia="仿宋_GB2312"/>
          <w:bCs w:val="0"/>
          <w:color w:val="auto"/>
          <w:sz w:val="32"/>
          <w:szCs w:val="32"/>
        </w:rPr>
        <w:t>桦川县乡镇内未编制村庄规</w:t>
      </w:r>
      <w:r>
        <w:rPr>
          <w:rFonts w:hint="eastAsia" w:ascii="Times New Roman" w:hAnsi="Times New Roman" w:eastAsia="仿宋_GB2312"/>
          <w:bCs w:val="0"/>
          <w:color w:val="auto"/>
          <w:sz w:val="32"/>
          <w:szCs w:val="32"/>
          <w:highlight w:val="none"/>
          <w:lang w:eastAsia="zh-CN"/>
        </w:rPr>
        <w:t>划的</w:t>
      </w:r>
      <w:r>
        <w:rPr>
          <w:rFonts w:hint="eastAsia" w:ascii="Times New Roman" w:hAnsi="Times New Roman" w:eastAsia="仿宋_GB2312"/>
          <w:bCs w:val="0"/>
          <w:color w:val="auto"/>
          <w:sz w:val="32"/>
          <w:szCs w:val="32"/>
        </w:rPr>
        <w:t>行政村，包括</w:t>
      </w:r>
      <w:r>
        <w:rPr>
          <w:rFonts w:ascii="Times New Roman" w:hAnsi="Times New Roman" w:eastAsia="仿宋_GB2312"/>
          <w:bCs w:val="0"/>
          <w:color w:val="auto"/>
          <w:sz w:val="32"/>
          <w:szCs w:val="32"/>
        </w:rPr>
        <w:t>城镇开发边界外暂不编制村庄规划的村庄</w:t>
      </w:r>
      <w:r>
        <w:rPr>
          <w:rFonts w:hint="eastAsia" w:ascii="Times New Roman" w:hAnsi="Times New Roman" w:eastAsia="仿宋_GB2312"/>
          <w:bCs w:val="0"/>
          <w:color w:val="auto"/>
          <w:sz w:val="32"/>
          <w:szCs w:val="32"/>
        </w:rPr>
        <w:t>（含乡政府驻地村庄）以及城镇开发边界内（主要为镇政府驻地）未明确城镇化任务的村庄。</w:t>
      </w:r>
      <w:r>
        <w:rPr>
          <w:rFonts w:ascii="Times New Roman" w:hAnsi="Times New Roman" w:eastAsia="仿宋_GB2312"/>
          <w:bCs w:val="0"/>
          <w:color w:val="auto"/>
          <w:sz w:val="32"/>
          <w:szCs w:val="32"/>
        </w:rPr>
        <w:t>村庄建设项目的规划管理</w:t>
      </w:r>
      <w:r>
        <w:rPr>
          <w:rFonts w:hint="eastAsia" w:ascii="Times New Roman" w:hAnsi="Times New Roman" w:eastAsia="仿宋_GB2312"/>
          <w:bCs w:val="0"/>
          <w:color w:val="auto"/>
          <w:sz w:val="32"/>
          <w:szCs w:val="32"/>
        </w:rPr>
        <w:t>，</w:t>
      </w:r>
      <w:r>
        <w:rPr>
          <w:rFonts w:ascii="Times New Roman" w:hAnsi="Times New Roman" w:eastAsia="仿宋_GB2312"/>
          <w:bCs w:val="0"/>
          <w:color w:val="auto"/>
          <w:sz w:val="32"/>
          <w:szCs w:val="32"/>
        </w:rPr>
        <w:t>主要包括宅</w:t>
      </w:r>
      <w:r>
        <w:rPr>
          <w:rFonts w:hint="eastAsia" w:ascii="Times New Roman" w:hAnsi="Times New Roman" w:eastAsia="仿宋_GB2312"/>
          <w:bCs w:val="0"/>
          <w:color w:val="auto"/>
          <w:sz w:val="32"/>
          <w:szCs w:val="32"/>
        </w:rPr>
        <w:t>基</w:t>
      </w:r>
      <w:r>
        <w:rPr>
          <w:rFonts w:ascii="Times New Roman" w:hAnsi="Times New Roman" w:eastAsia="仿宋_GB2312"/>
          <w:bCs w:val="0"/>
          <w:color w:val="auto"/>
          <w:sz w:val="32"/>
          <w:szCs w:val="32"/>
        </w:rPr>
        <w:t>地、</w:t>
      </w:r>
      <w:r>
        <w:rPr>
          <w:rFonts w:hint="eastAsia" w:ascii="Times New Roman" w:hAnsi="Times New Roman" w:eastAsia="仿宋_GB2312"/>
          <w:bCs w:val="0"/>
          <w:color w:val="auto"/>
          <w:sz w:val="32"/>
          <w:szCs w:val="32"/>
        </w:rPr>
        <w:t>公共服务</w:t>
      </w:r>
      <w:r>
        <w:rPr>
          <w:rFonts w:ascii="Times New Roman" w:hAnsi="Times New Roman" w:eastAsia="仿宋_GB2312"/>
          <w:bCs w:val="0"/>
          <w:color w:val="auto"/>
          <w:sz w:val="32"/>
          <w:szCs w:val="32"/>
        </w:rPr>
        <w:t>设施用地、乡村产业用地</w:t>
      </w:r>
      <w:r>
        <w:rPr>
          <w:rFonts w:hint="eastAsia" w:ascii="Times New Roman" w:hAnsi="Times New Roman" w:eastAsia="仿宋_GB2312"/>
          <w:bCs w:val="0"/>
          <w:color w:val="auto"/>
          <w:sz w:val="32"/>
          <w:szCs w:val="32"/>
        </w:rPr>
        <w:t>、基础设施用地</w:t>
      </w:r>
      <w:r>
        <w:rPr>
          <w:rFonts w:ascii="Times New Roman" w:hAnsi="Times New Roman" w:eastAsia="仿宋_GB2312"/>
          <w:bCs w:val="0"/>
          <w:color w:val="auto"/>
          <w:sz w:val="32"/>
          <w:szCs w:val="32"/>
        </w:rPr>
        <w:t>等各类项目的新建、改建、扩建。</w:t>
      </w:r>
      <w:r>
        <w:rPr>
          <w:rFonts w:hint="eastAsia" w:ascii="Times New Roman" w:hAnsi="Times New Roman" w:eastAsia="仿宋_GB2312"/>
          <w:bCs w:val="0"/>
          <w:color w:val="auto"/>
          <w:sz w:val="32"/>
          <w:szCs w:val="32"/>
        </w:rPr>
        <w:t>已编制并</w:t>
      </w:r>
      <w:r>
        <w:rPr>
          <w:rFonts w:ascii="Times New Roman" w:hAnsi="Times New Roman" w:eastAsia="仿宋_GB2312"/>
          <w:bCs w:val="0"/>
          <w:color w:val="auto"/>
          <w:sz w:val="32"/>
          <w:szCs w:val="32"/>
        </w:rPr>
        <w:t>依法批准详细规划（村庄规划）</w:t>
      </w:r>
      <w:r>
        <w:rPr>
          <w:rFonts w:hint="eastAsia" w:ascii="Times New Roman" w:hAnsi="Times New Roman" w:eastAsia="仿宋_GB2312"/>
          <w:bCs w:val="0"/>
          <w:color w:val="auto"/>
          <w:sz w:val="32"/>
          <w:szCs w:val="32"/>
        </w:rPr>
        <w:t>的，以</w:t>
      </w:r>
      <w:r>
        <w:rPr>
          <w:rFonts w:ascii="Times New Roman" w:hAnsi="Times New Roman" w:eastAsia="仿宋_GB2312"/>
          <w:bCs w:val="0"/>
          <w:color w:val="auto"/>
          <w:sz w:val="32"/>
          <w:szCs w:val="32"/>
        </w:rPr>
        <w:t>详细规划（村庄规划）</w:t>
      </w:r>
      <w:r>
        <w:rPr>
          <w:rFonts w:hint="eastAsia" w:ascii="Times New Roman" w:hAnsi="Times New Roman" w:eastAsia="仿宋_GB2312"/>
          <w:bCs w:val="0"/>
          <w:color w:val="auto"/>
          <w:sz w:val="32"/>
          <w:szCs w:val="32"/>
        </w:rPr>
        <w:t>为依据。城镇开发边界内及边界处已明确城镇化任务的村庄，可纳入城镇控制性详细规划统筹编制。</w:t>
      </w:r>
    </w:p>
    <w:p w14:paraId="65EBC520">
      <w:pPr>
        <w:pStyle w:val="5"/>
        <w:pageBreakBefore w:val="0"/>
        <w:overflowPunct/>
        <w:bidi w:val="0"/>
        <w:adjustRightInd/>
        <w:spacing w:line="600" w:lineRule="atLeast"/>
        <w:ind w:left="0" w:leftChars="0" w:firstLine="0" w:firstLineChars="0"/>
        <w:jc w:val="left"/>
        <w:rPr>
          <w:rFonts w:hint="default" w:ascii="Times New Roman" w:hAnsi="Times New Roman" w:cs="Times New Roman"/>
          <w:b w:val="0"/>
          <w:bCs w:val="0"/>
          <w:color w:val="auto"/>
          <w:highlight w:val="none"/>
        </w:rPr>
      </w:pPr>
    </w:p>
    <w:sectPr>
      <w:footerReference r:id="rId7" w:type="default"/>
      <w:pgSz w:w="11906" w:h="16838"/>
      <w:pgMar w:top="1440" w:right="1803" w:bottom="1440" w:left="1803" w:header="851" w:footer="992" w:gutter="0"/>
      <w:paperSrc/>
      <w:pgNumType w:fmt="decimal"/>
      <w:cols w:space="0" w:num="1"/>
      <w:rtlGutter w:val="0"/>
      <w:docGrid w:type="lines" w:linePitch="43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4C38ACB2-A265-47E6-A54F-300E6741EF4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6B466DD4-C0E6-450A-99E0-B0CC312A9294}"/>
  </w:font>
  <w:font w:name="方正小标宋简体">
    <w:panose1 w:val="02000000000000000000"/>
    <w:charset w:val="86"/>
    <w:family w:val="script"/>
    <w:pitch w:val="default"/>
    <w:sig w:usb0="00000001" w:usb1="08000000" w:usb2="00000000" w:usb3="00000000" w:csb0="00040000" w:csb1="00000000"/>
    <w:embedRegular r:id="rId3" w:fontKey="{AF9AB014-0821-46AC-AA87-084A2486CA5E}"/>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embedRegular r:id="rId4" w:fontKey="{961012ED-9651-486F-8572-50424729B47D}"/>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embedRegular r:id="rId5" w:fontKey="{4B4536A5-EE48-4CC3-8E2F-9A54934C48D3}"/>
  </w:font>
  <w:font w:name="FangSong_GB2312">
    <w:altName w:val="仿宋_GB2312"/>
    <w:panose1 w:val="00000000000000000000"/>
    <w:charset w:val="00"/>
    <w:family w:val="auto"/>
    <w:pitch w:val="default"/>
    <w:sig w:usb0="00000000" w:usb1="00000000" w:usb2="00000000" w:usb3="00000000" w:csb0="0000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789F4">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22E3A">
    <w:pPr>
      <w:pStyle w:val="9"/>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F990F7">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F990F7">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A625B">
    <w:pPr>
      <w:pStyle w:val="9"/>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A2879C">
                          <w:pPr>
                            <w:pStyle w:val="9"/>
                          </w:pPr>
                          <w:r>
                            <w:fldChar w:fldCharType="begin"/>
                          </w:r>
                          <w:r>
                            <w:instrText xml:space="preserve"> PAGE  \* MERGEFORMAT </w:instrText>
                          </w:r>
                          <w:r>
                            <w:fldChar w:fldCharType="separate"/>
                          </w:r>
                          <w:r>
                            <w:t>129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4A2879C">
                    <w:pPr>
                      <w:pStyle w:val="9"/>
                    </w:pPr>
                    <w:r>
                      <w:fldChar w:fldCharType="begin"/>
                    </w:r>
                    <w:r>
                      <w:instrText xml:space="preserve"> PAGE  \* MERGEFORMAT </w:instrText>
                    </w:r>
                    <w:r>
                      <w:fldChar w:fldCharType="separate"/>
                    </w:r>
                    <w:r>
                      <w:t>129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48E70F"/>
    <w:multiLevelType w:val="multilevel"/>
    <w:tmpl w:val="A348E70F"/>
    <w:lvl w:ilvl="0" w:tentative="0">
      <w:start w:val="1"/>
      <w:numFmt w:val="decimal"/>
      <w:pStyle w:val="47"/>
      <w:suff w:val="space"/>
      <w:lvlText w:val="第%1条"/>
      <w:lvlJc w:val="left"/>
      <w:pPr>
        <w:tabs>
          <w:tab w:val="left" w:pos="0"/>
        </w:tabs>
        <w:ind w:left="0" w:leftChars="0" w:firstLine="0" w:firstLineChars="0"/>
      </w:pPr>
      <w:rPr>
        <w:rFonts w:hint="default" w:ascii="Times New Roman" w:hAnsi="Times New Roman" w:eastAsia="楷体_GB2312" w:cs="楷体_GB2312"/>
        <w:b w:val="0"/>
        <w:bCs w:val="0"/>
        <w:sz w:val="32"/>
        <w:szCs w:val="32"/>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1">
    <w:nsid w:val="A4E673BF"/>
    <w:multiLevelType w:val="singleLevel"/>
    <w:tmpl w:val="A4E673BF"/>
    <w:lvl w:ilvl="0" w:tentative="0">
      <w:start w:val="1"/>
      <w:numFmt w:val="decimal"/>
      <w:suff w:val="nothing"/>
      <w:lvlText w:val="(%1)"/>
      <w:lvlJc w:val="left"/>
      <w:pPr>
        <w:ind w:left="454" w:leftChars="0" w:hanging="454" w:firstLineChars="0"/>
      </w:pPr>
      <w:rPr>
        <w:rFonts w:hint="default"/>
        <w:sz w:val="32"/>
        <w:szCs w:val="32"/>
      </w:rPr>
    </w:lvl>
  </w:abstractNum>
  <w:abstractNum w:abstractNumId="2">
    <w:nsid w:val="B4E29120"/>
    <w:multiLevelType w:val="singleLevel"/>
    <w:tmpl w:val="B4E29120"/>
    <w:lvl w:ilvl="0" w:tentative="0">
      <w:start w:val="1"/>
      <w:numFmt w:val="chineseCounting"/>
      <w:pStyle w:val="29"/>
      <w:suff w:val="space"/>
      <w:lvlText w:val="第%1节 "/>
      <w:lvlJc w:val="left"/>
      <w:pPr>
        <w:tabs>
          <w:tab w:val="left" w:pos="420"/>
        </w:tabs>
        <w:ind w:left="454" w:leftChars="0" w:hanging="454" w:firstLineChars="0"/>
      </w:pPr>
      <w:rPr>
        <w:rFonts w:hint="eastAsia" w:ascii="宋体" w:hAnsi="宋体" w:eastAsia="黑体" w:cs="黑体"/>
        <w:sz w:val="32"/>
        <w:szCs w:val="32"/>
      </w:rPr>
    </w:lvl>
  </w:abstractNum>
  <w:abstractNum w:abstractNumId="3">
    <w:nsid w:val="B843BF8A"/>
    <w:multiLevelType w:val="singleLevel"/>
    <w:tmpl w:val="B843BF8A"/>
    <w:lvl w:ilvl="0" w:tentative="0">
      <w:start w:val="1"/>
      <w:numFmt w:val="decimal"/>
      <w:pStyle w:val="4"/>
      <w:suff w:val="space"/>
      <w:lvlText w:val="第%1条 "/>
      <w:lvlJc w:val="left"/>
      <w:pPr>
        <w:tabs>
          <w:tab w:val="left" w:pos="420"/>
        </w:tabs>
        <w:ind w:left="0" w:firstLine="0"/>
      </w:pPr>
      <w:rPr>
        <w:rFonts w:hint="default" w:ascii="Times New Roman" w:hAnsi="Times New Roman" w:eastAsia="楷体" w:cs="Times New Roman"/>
        <w:b/>
        <w:bCs/>
      </w:rPr>
    </w:lvl>
  </w:abstractNum>
  <w:abstractNum w:abstractNumId="4">
    <w:nsid w:val="BA896D8D"/>
    <w:multiLevelType w:val="singleLevel"/>
    <w:tmpl w:val="BA896D8D"/>
    <w:lvl w:ilvl="0" w:tentative="0">
      <w:start w:val="1"/>
      <w:numFmt w:val="chineseCounting"/>
      <w:pStyle w:val="2"/>
      <w:suff w:val="space"/>
      <w:lvlText w:val="第%1章 "/>
      <w:lvlJc w:val="left"/>
      <w:pPr>
        <w:tabs>
          <w:tab w:val="left" w:pos="420"/>
        </w:tabs>
        <w:ind w:left="454" w:leftChars="0" w:hanging="454" w:firstLineChars="0"/>
      </w:pPr>
      <w:rPr>
        <w:rFonts w:hint="eastAsia" w:ascii="宋体" w:hAnsi="宋体" w:eastAsia="方正小标宋简体" w:cs="方正小标宋简体"/>
        <w:b w:val="0"/>
        <w:bCs w:val="0"/>
        <w:sz w:val="36"/>
        <w:szCs w:val="36"/>
      </w:rPr>
    </w:lvl>
  </w:abstractNum>
  <w:abstractNum w:abstractNumId="5">
    <w:nsid w:val="E701A528"/>
    <w:multiLevelType w:val="singleLevel"/>
    <w:tmpl w:val="E701A528"/>
    <w:lvl w:ilvl="0" w:tentative="0">
      <w:start w:val="1"/>
      <w:numFmt w:val="decimal"/>
      <w:suff w:val="nothing"/>
      <w:lvlText w:val="(%1)"/>
      <w:lvlJc w:val="left"/>
      <w:pPr>
        <w:ind w:left="454" w:leftChars="0" w:hanging="454" w:firstLineChars="0"/>
      </w:pPr>
      <w:rPr>
        <w:rFonts w:hint="default"/>
        <w:sz w:val="32"/>
        <w:szCs w:val="32"/>
      </w:rPr>
    </w:lvl>
  </w:abstractNum>
  <w:abstractNum w:abstractNumId="6">
    <w:nsid w:val="283D6919"/>
    <w:multiLevelType w:val="singleLevel"/>
    <w:tmpl w:val="283D6919"/>
    <w:lvl w:ilvl="0" w:tentative="0">
      <w:start w:val="1"/>
      <w:numFmt w:val="decimal"/>
      <w:suff w:val="nothing"/>
      <w:lvlText w:val="(%1)"/>
      <w:lvlJc w:val="left"/>
      <w:pPr>
        <w:ind w:left="454" w:leftChars="0" w:hanging="454" w:firstLineChars="0"/>
      </w:pPr>
      <w:rPr>
        <w:rFonts w:hint="default"/>
        <w:sz w:val="32"/>
        <w:szCs w:val="32"/>
      </w:rPr>
    </w:lvl>
  </w:abstractNum>
  <w:abstractNum w:abstractNumId="7">
    <w:nsid w:val="78E028AD"/>
    <w:multiLevelType w:val="singleLevel"/>
    <w:tmpl w:val="78E028AD"/>
    <w:lvl w:ilvl="0" w:tentative="0">
      <w:start w:val="1"/>
      <w:numFmt w:val="decimal"/>
      <w:suff w:val="nothing"/>
      <w:lvlText w:val="(%1)"/>
      <w:lvlJc w:val="left"/>
      <w:pPr>
        <w:ind w:left="454" w:leftChars="0" w:hanging="454" w:firstLineChars="0"/>
      </w:pPr>
      <w:rPr>
        <w:rFonts w:hint="default"/>
        <w:sz w:val="32"/>
        <w:szCs w:val="32"/>
      </w:rPr>
    </w:lvl>
  </w:abstractNum>
  <w:num w:numId="1">
    <w:abstractNumId w:val="4"/>
  </w:num>
  <w:num w:numId="2">
    <w:abstractNumId w:val="3"/>
  </w:num>
  <w:num w:numId="3">
    <w:abstractNumId w:val="2"/>
  </w:num>
  <w:num w:numId="4">
    <w:abstractNumId w:val="0"/>
  </w:num>
  <w:num w:numId="5">
    <w:abstractNumId w:val="1"/>
  </w:num>
  <w:num w:numId="6">
    <w:abstractNumId w:val="6"/>
  </w:num>
  <w:num w:numId="7">
    <w:abstractNumId w:val="5"/>
  </w:num>
  <w:num w:numId="8">
    <w:abstractNumId w:val="7"/>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0"/>
  <w:bordersDoNotSurroundFooter w:val="0"/>
  <w:documentProtection w:enforcement="0"/>
  <w:defaultTabStop w:val="420"/>
  <w:drawingGridVerticalSpacing w:val="218"/>
  <w:displayHorizontalDrawingGridEvery w:val="1"/>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1MWU3YmE1OWI4ZGZlNTJhYjViZmQzYTM5ZWJkOWQifQ=="/>
  </w:docVars>
  <w:rsids>
    <w:rsidRoot w:val="00172A27"/>
    <w:rsid w:val="00011E9A"/>
    <w:rsid w:val="000242BC"/>
    <w:rsid w:val="00035DA5"/>
    <w:rsid w:val="00044F3D"/>
    <w:rsid w:val="00045AAB"/>
    <w:rsid w:val="00046F8C"/>
    <w:rsid w:val="00064F98"/>
    <w:rsid w:val="00074128"/>
    <w:rsid w:val="00074C57"/>
    <w:rsid w:val="0007542C"/>
    <w:rsid w:val="00080A65"/>
    <w:rsid w:val="000B3275"/>
    <w:rsid w:val="000B51F1"/>
    <w:rsid w:val="000B6198"/>
    <w:rsid w:val="000C3920"/>
    <w:rsid w:val="000D33F9"/>
    <w:rsid w:val="000E4B15"/>
    <w:rsid w:val="000F765C"/>
    <w:rsid w:val="00117139"/>
    <w:rsid w:val="001224EF"/>
    <w:rsid w:val="001268DC"/>
    <w:rsid w:val="001326DA"/>
    <w:rsid w:val="00141426"/>
    <w:rsid w:val="00142052"/>
    <w:rsid w:val="001424A4"/>
    <w:rsid w:val="0014645C"/>
    <w:rsid w:val="001522CD"/>
    <w:rsid w:val="00170364"/>
    <w:rsid w:val="00174ABF"/>
    <w:rsid w:val="00175124"/>
    <w:rsid w:val="00175331"/>
    <w:rsid w:val="001853D5"/>
    <w:rsid w:val="00187838"/>
    <w:rsid w:val="001960D3"/>
    <w:rsid w:val="00197FC0"/>
    <w:rsid w:val="001A620F"/>
    <w:rsid w:val="001B528C"/>
    <w:rsid w:val="001D01E4"/>
    <w:rsid w:val="001D29A6"/>
    <w:rsid w:val="001D76B4"/>
    <w:rsid w:val="001D78B9"/>
    <w:rsid w:val="001E7B69"/>
    <w:rsid w:val="001F209C"/>
    <w:rsid w:val="00203656"/>
    <w:rsid w:val="00235C58"/>
    <w:rsid w:val="002410B1"/>
    <w:rsid w:val="00243C2C"/>
    <w:rsid w:val="002475D2"/>
    <w:rsid w:val="00274335"/>
    <w:rsid w:val="00285465"/>
    <w:rsid w:val="002A658D"/>
    <w:rsid w:val="002B1750"/>
    <w:rsid w:val="002C7E05"/>
    <w:rsid w:val="002D4981"/>
    <w:rsid w:val="002E4304"/>
    <w:rsid w:val="002F1194"/>
    <w:rsid w:val="002F2869"/>
    <w:rsid w:val="003006BD"/>
    <w:rsid w:val="0030646F"/>
    <w:rsid w:val="0032785B"/>
    <w:rsid w:val="0034315C"/>
    <w:rsid w:val="00346217"/>
    <w:rsid w:val="00361EAF"/>
    <w:rsid w:val="00362F33"/>
    <w:rsid w:val="00364362"/>
    <w:rsid w:val="0036500B"/>
    <w:rsid w:val="0036774E"/>
    <w:rsid w:val="00392266"/>
    <w:rsid w:val="003974CF"/>
    <w:rsid w:val="003A7C23"/>
    <w:rsid w:val="003C0157"/>
    <w:rsid w:val="003D7F42"/>
    <w:rsid w:val="003E0105"/>
    <w:rsid w:val="003F18D2"/>
    <w:rsid w:val="003F1F2A"/>
    <w:rsid w:val="00405C02"/>
    <w:rsid w:val="004438B8"/>
    <w:rsid w:val="00451B06"/>
    <w:rsid w:val="004544D1"/>
    <w:rsid w:val="00457E95"/>
    <w:rsid w:val="00466AA1"/>
    <w:rsid w:val="00467113"/>
    <w:rsid w:val="0048104C"/>
    <w:rsid w:val="00481DB8"/>
    <w:rsid w:val="00483E4C"/>
    <w:rsid w:val="00485E9F"/>
    <w:rsid w:val="00490350"/>
    <w:rsid w:val="004A4DB8"/>
    <w:rsid w:val="004A754E"/>
    <w:rsid w:val="004B12F0"/>
    <w:rsid w:val="004F4930"/>
    <w:rsid w:val="005003F5"/>
    <w:rsid w:val="005172AB"/>
    <w:rsid w:val="005173F6"/>
    <w:rsid w:val="00520768"/>
    <w:rsid w:val="00566918"/>
    <w:rsid w:val="005844C7"/>
    <w:rsid w:val="005A06AA"/>
    <w:rsid w:val="005A7AC5"/>
    <w:rsid w:val="005B3AA6"/>
    <w:rsid w:val="005B55A5"/>
    <w:rsid w:val="005F462E"/>
    <w:rsid w:val="00601237"/>
    <w:rsid w:val="00615CC6"/>
    <w:rsid w:val="00616EA1"/>
    <w:rsid w:val="00656F3D"/>
    <w:rsid w:val="0066715A"/>
    <w:rsid w:val="00675E0A"/>
    <w:rsid w:val="00676AD5"/>
    <w:rsid w:val="00683F12"/>
    <w:rsid w:val="00684B75"/>
    <w:rsid w:val="00686B16"/>
    <w:rsid w:val="00692E45"/>
    <w:rsid w:val="006A0824"/>
    <w:rsid w:val="006A4AC4"/>
    <w:rsid w:val="006B481E"/>
    <w:rsid w:val="006C2503"/>
    <w:rsid w:val="006C3B5B"/>
    <w:rsid w:val="006D055A"/>
    <w:rsid w:val="006E20B4"/>
    <w:rsid w:val="006E71C7"/>
    <w:rsid w:val="00705F37"/>
    <w:rsid w:val="007065BC"/>
    <w:rsid w:val="00707BD3"/>
    <w:rsid w:val="00716F81"/>
    <w:rsid w:val="007177EB"/>
    <w:rsid w:val="00733A86"/>
    <w:rsid w:val="007358AF"/>
    <w:rsid w:val="00736F4D"/>
    <w:rsid w:val="0074138D"/>
    <w:rsid w:val="00746A46"/>
    <w:rsid w:val="00746F12"/>
    <w:rsid w:val="007511F9"/>
    <w:rsid w:val="0075377D"/>
    <w:rsid w:val="00755CB9"/>
    <w:rsid w:val="00756767"/>
    <w:rsid w:val="00761899"/>
    <w:rsid w:val="00782C03"/>
    <w:rsid w:val="007953B9"/>
    <w:rsid w:val="007969E6"/>
    <w:rsid w:val="007A4D9D"/>
    <w:rsid w:val="007B64C0"/>
    <w:rsid w:val="007C42B7"/>
    <w:rsid w:val="007E270D"/>
    <w:rsid w:val="007E3DB3"/>
    <w:rsid w:val="007E7F5C"/>
    <w:rsid w:val="007F1A95"/>
    <w:rsid w:val="00806E1A"/>
    <w:rsid w:val="008472F3"/>
    <w:rsid w:val="00855CE4"/>
    <w:rsid w:val="008616CE"/>
    <w:rsid w:val="00861EDF"/>
    <w:rsid w:val="008644C1"/>
    <w:rsid w:val="008756E7"/>
    <w:rsid w:val="00887C9A"/>
    <w:rsid w:val="008911BB"/>
    <w:rsid w:val="008911F4"/>
    <w:rsid w:val="008A0CE0"/>
    <w:rsid w:val="008C71BE"/>
    <w:rsid w:val="008D56F9"/>
    <w:rsid w:val="008D5B05"/>
    <w:rsid w:val="008D6778"/>
    <w:rsid w:val="008E1694"/>
    <w:rsid w:val="008E7B4D"/>
    <w:rsid w:val="008E7C8A"/>
    <w:rsid w:val="008F5784"/>
    <w:rsid w:val="008F79EB"/>
    <w:rsid w:val="00901AD6"/>
    <w:rsid w:val="009162DA"/>
    <w:rsid w:val="00936962"/>
    <w:rsid w:val="00937DF4"/>
    <w:rsid w:val="00954E7C"/>
    <w:rsid w:val="00955D61"/>
    <w:rsid w:val="00964E41"/>
    <w:rsid w:val="00971BBA"/>
    <w:rsid w:val="00976957"/>
    <w:rsid w:val="009821EE"/>
    <w:rsid w:val="00986308"/>
    <w:rsid w:val="00987142"/>
    <w:rsid w:val="00990A95"/>
    <w:rsid w:val="00993C73"/>
    <w:rsid w:val="009C5521"/>
    <w:rsid w:val="009D59F8"/>
    <w:rsid w:val="009D76A9"/>
    <w:rsid w:val="009E0A29"/>
    <w:rsid w:val="009E3742"/>
    <w:rsid w:val="009F3628"/>
    <w:rsid w:val="00A02EE4"/>
    <w:rsid w:val="00A07FC4"/>
    <w:rsid w:val="00A13390"/>
    <w:rsid w:val="00A22D25"/>
    <w:rsid w:val="00A24773"/>
    <w:rsid w:val="00A262A3"/>
    <w:rsid w:val="00A26E56"/>
    <w:rsid w:val="00A3175F"/>
    <w:rsid w:val="00A36579"/>
    <w:rsid w:val="00A40E5E"/>
    <w:rsid w:val="00A478F3"/>
    <w:rsid w:val="00A47C38"/>
    <w:rsid w:val="00A55FC9"/>
    <w:rsid w:val="00A74B15"/>
    <w:rsid w:val="00A80346"/>
    <w:rsid w:val="00A95C9B"/>
    <w:rsid w:val="00AA56EB"/>
    <w:rsid w:val="00AB1EAB"/>
    <w:rsid w:val="00AC1684"/>
    <w:rsid w:val="00AC2364"/>
    <w:rsid w:val="00AC2A34"/>
    <w:rsid w:val="00AE29C0"/>
    <w:rsid w:val="00AF0AAB"/>
    <w:rsid w:val="00AF719F"/>
    <w:rsid w:val="00B25B3F"/>
    <w:rsid w:val="00B35303"/>
    <w:rsid w:val="00B416B8"/>
    <w:rsid w:val="00B42219"/>
    <w:rsid w:val="00B50D04"/>
    <w:rsid w:val="00B5762C"/>
    <w:rsid w:val="00B700DE"/>
    <w:rsid w:val="00B7317B"/>
    <w:rsid w:val="00B966C3"/>
    <w:rsid w:val="00BB6603"/>
    <w:rsid w:val="00BC6E2F"/>
    <w:rsid w:val="00BF6B86"/>
    <w:rsid w:val="00C00888"/>
    <w:rsid w:val="00C01224"/>
    <w:rsid w:val="00C01E99"/>
    <w:rsid w:val="00C06343"/>
    <w:rsid w:val="00C11D02"/>
    <w:rsid w:val="00C216CE"/>
    <w:rsid w:val="00C23522"/>
    <w:rsid w:val="00C24091"/>
    <w:rsid w:val="00C251EB"/>
    <w:rsid w:val="00C267F7"/>
    <w:rsid w:val="00C27417"/>
    <w:rsid w:val="00C31C4F"/>
    <w:rsid w:val="00C41C0B"/>
    <w:rsid w:val="00C539B0"/>
    <w:rsid w:val="00C716C8"/>
    <w:rsid w:val="00C854A6"/>
    <w:rsid w:val="00C860F7"/>
    <w:rsid w:val="00C91410"/>
    <w:rsid w:val="00C947B9"/>
    <w:rsid w:val="00C97BAD"/>
    <w:rsid w:val="00CA30DD"/>
    <w:rsid w:val="00CB14F3"/>
    <w:rsid w:val="00CB2569"/>
    <w:rsid w:val="00CE113C"/>
    <w:rsid w:val="00CE4E2B"/>
    <w:rsid w:val="00CE577F"/>
    <w:rsid w:val="00CF39A7"/>
    <w:rsid w:val="00CF77FD"/>
    <w:rsid w:val="00D03BBF"/>
    <w:rsid w:val="00D04B2D"/>
    <w:rsid w:val="00D35BAB"/>
    <w:rsid w:val="00D35C54"/>
    <w:rsid w:val="00D46FB2"/>
    <w:rsid w:val="00D57E5D"/>
    <w:rsid w:val="00D74775"/>
    <w:rsid w:val="00DA2A66"/>
    <w:rsid w:val="00DB1218"/>
    <w:rsid w:val="00DC435B"/>
    <w:rsid w:val="00DC4793"/>
    <w:rsid w:val="00DD2308"/>
    <w:rsid w:val="00DD74F2"/>
    <w:rsid w:val="00DE23FA"/>
    <w:rsid w:val="00DE69FE"/>
    <w:rsid w:val="00DF4EF3"/>
    <w:rsid w:val="00DF58CA"/>
    <w:rsid w:val="00E00A41"/>
    <w:rsid w:val="00E06546"/>
    <w:rsid w:val="00E27D8F"/>
    <w:rsid w:val="00E325BD"/>
    <w:rsid w:val="00E34DE1"/>
    <w:rsid w:val="00E4606E"/>
    <w:rsid w:val="00E54832"/>
    <w:rsid w:val="00E61244"/>
    <w:rsid w:val="00E706A1"/>
    <w:rsid w:val="00E723A4"/>
    <w:rsid w:val="00E94B0F"/>
    <w:rsid w:val="00EA12E6"/>
    <w:rsid w:val="00EA517B"/>
    <w:rsid w:val="00EA6D86"/>
    <w:rsid w:val="00EC267D"/>
    <w:rsid w:val="00EE1D2C"/>
    <w:rsid w:val="00EE6C35"/>
    <w:rsid w:val="00EF4481"/>
    <w:rsid w:val="00EF4B95"/>
    <w:rsid w:val="00EF58EF"/>
    <w:rsid w:val="00F04487"/>
    <w:rsid w:val="00F12A71"/>
    <w:rsid w:val="00F21C1A"/>
    <w:rsid w:val="00F27868"/>
    <w:rsid w:val="00F32732"/>
    <w:rsid w:val="00F340FF"/>
    <w:rsid w:val="00F345E6"/>
    <w:rsid w:val="00F541FA"/>
    <w:rsid w:val="00F70438"/>
    <w:rsid w:val="00F7518C"/>
    <w:rsid w:val="00F77E28"/>
    <w:rsid w:val="00F81147"/>
    <w:rsid w:val="00F83598"/>
    <w:rsid w:val="00F86238"/>
    <w:rsid w:val="00F9241D"/>
    <w:rsid w:val="00F97C6A"/>
    <w:rsid w:val="00FA0026"/>
    <w:rsid w:val="00FA72AB"/>
    <w:rsid w:val="00FB2662"/>
    <w:rsid w:val="00FB49B1"/>
    <w:rsid w:val="00FB6977"/>
    <w:rsid w:val="00FC3F4C"/>
    <w:rsid w:val="00FC429F"/>
    <w:rsid w:val="00FC4E32"/>
    <w:rsid w:val="00FD0259"/>
    <w:rsid w:val="00FD4D49"/>
    <w:rsid w:val="00FD59C2"/>
    <w:rsid w:val="00FE1D58"/>
    <w:rsid w:val="00FE1EFE"/>
    <w:rsid w:val="00FF2318"/>
    <w:rsid w:val="0107025A"/>
    <w:rsid w:val="011A498C"/>
    <w:rsid w:val="017A7D62"/>
    <w:rsid w:val="017E71B3"/>
    <w:rsid w:val="01BB0B82"/>
    <w:rsid w:val="01D63B9C"/>
    <w:rsid w:val="01F2169B"/>
    <w:rsid w:val="02110C2D"/>
    <w:rsid w:val="0249648F"/>
    <w:rsid w:val="03146D4B"/>
    <w:rsid w:val="032F52EB"/>
    <w:rsid w:val="03640D30"/>
    <w:rsid w:val="037D0965"/>
    <w:rsid w:val="03886375"/>
    <w:rsid w:val="03E00C28"/>
    <w:rsid w:val="041A32A2"/>
    <w:rsid w:val="04227117"/>
    <w:rsid w:val="04733A6C"/>
    <w:rsid w:val="04D67CD9"/>
    <w:rsid w:val="04F8330D"/>
    <w:rsid w:val="05140FD0"/>
    <w:rsid w:val="053C029A"/>
    <w:rsid w:val="05652F75"/>
    <w:rsid w:val="05890281"/>
    <w:rsid w:val="059155AD"/>
    <w:rsid w:val="059E5E0E"/>
    <w:rsid w:val="05CA6D2D"/>
    <w:rsid w:val="062374CB"/>
    <w:rsid w:val="06906239"/>
    <w:rsid w:val="06AB09A0"/>
    <w:rsid w:val="071A0EDC"/>
    <w:rsid w:val="07C36EC3"/>
    <w:rsid w:val="07D32EE3"/>
    <w:rsid w:val="08236132"/>
    <w:rsid w:val="08470D55"/>
    <w:rsid w:val="086539A5"/>
    <w:rsid w:val="088C16F3"/>
    <w:rsid w:val="089C02C6"/>
    <w:rsid w:val="08B72F55"/>
    <w:rsid w:val="08C77405"/>
    <w:rsid w:val="08E507BE"/>
    <w:rsid w:val="092C2970"/>
    <w:rsid w:val="09413040"/>
    <w:rsid w:val="094437E4"/>
    <w:rsid w:val="0A0D4BF0"/>
    <w:rsid w:val="0A6A5552"/>
    <w:rsid w:val="0A7B55FD"/>
    <w:rsid w:val="0A7B5D96"/>
    <w:rsid w:val="0ACE7208"/>
    <w:rsid w:val="0B026F26"/>
    <w:rsid w:val="0B62457C"/>
    <w:rsid w:val="0B816908"/>
    <w:rsid w:val="0BE36335"/>
    <w:rsid w:val="0BF165C5"/>
    <w:rsid w:val="0C3A2C0B"/>
    <w:rsid w:val="0C4C5A04"/>
    <w:rsid w:val="0C541B62"/>
    <w:rsid w:val="0C7B4053"/>
    <w:rsid w:val="0CB85511"/>
    <w:rsid w:val="0CDC1617"/>
    <w:rsid w:val="0CFB142B"/>
    <w:rsid w:val="0D44532A"/>
    <w:rsid w:val="0D6A4EDA"/>
    <w:rsid w:val="0DF938EB"/>
    <w:rsid w:val="0DFD0B71"/>
    <w:rsid w:val="0E0956CF"/>
    <w:rsid w:val="0E78546E"/>
    <w:rsid w:val="0F002200"/>
    <w:rsid w:val="0F537981"/>
    <w:rsid w:val="0F5D079A"/>
    <w:rsid w:val="0F90316D"/>
    <w:rsid w:val="0FEE00D7"/>
    <w:rsid w:val="10100639"/>
    <w:rsid w:val="109013CD"/>
    <w:rsid w:val="10A05A4C"/>
    <w:rsid w:val="10C93468"/>
    <w:rsid w:val="10E35BB7"/>
    <w:rsid w:val="10E708E9"/>
    <w:rsid w:val="10FE4578"/>
    <w:rsid w:val="11096E84"/>
    <w:rsid w:val="117B1192"/>
    <w:rsid w:val="11AC01C1"/>
    <w:rsid w:val="11BA18B5"/>
    <w:rsid w:val="11C238F2"/>
    <w:rsid w:val="12360D51"/>
    <w:rsid w:val="1237663B"/>
    <w:rsid w:val="12400CFC"/>
    <w:rsid w:val="1268628E"/>
    <w:rsid w:val="126930AB"/>
    <w:rsid w:val="1283614B"/>
    <w:rsid w:val="128E4191"/>
    <w:rsid w:val="12B337CB"/>
    <w:rsid w:val="12BA4E64"/>
    <w:rsid w:val="12BC2A7E"/>
    <w:rsid w:val="12CA3B16"/>
    <w:rsid w:val="136A4B8D"/>
    <w:rsid w:val="13827FCC"/>
    <w:rsid w:val="138A0765"/>
    <w:rsid w:val="142C650E"/>
    <w:rsid w:val="14415BC5"/>
    <w:rsid w:val="147E1869"/>
    <w:rsid w:val="14987552"/>
    <w:rsid w:val="149C57DD"/>
    <w:rsid w:val="14A26710"/>
    <w:rsid w:val="14A938B3"/>
    <w:rsid w:val="14C24539"/>
    <w:rsid w:val="14E1249F"/>
    <w:rsid w:val="15883313"/>
    <w:rsid w:val="161A34EB"/>
    <w:rsid w:val="16803507"/>
    <w:rsid w:val="16A15381"/>
    <w:rsid w:val="16B2176C"/>
    <w:rsid w:val="16BE2C90"/>
    <w:rsid w:val="17E012F4"/>
    <w:rsid w:val="18334F14"/>
    <w:rsid w:val="184857F3"/>
    <w:rsid w:val="1870019C"/>
    <w:rsid w:val="18823296"/>
    <w:rsid w:val="18860D17"/>
    <w:rsid w:val="188D04E1"/>
    <w:rsid w:val="18906688"/>
    <w:rsid w:val="1899380C"/>
    <w:rsid w:val="18A62B93"/>
    <w:rsid w:val="18C34EF4"/>
    <w:rsid w:val="194A4027"/>
    <w:rsid w:val="19586891"/>
    <w:rsid w:val="196C09A4"/>
    <w:rsid w:val="196E5607"/>
    <w:rsid w:val="197C317A"/>
    <w:rsid w:val="198A087E"/>
    <w:rsid w:val="199D433D"/>
    <w:rsid w:val="19D350E9"/>
    <w:rsid w:val="1A192DFA"/>
    <w:rsid w:val="1A2D74EF"/>
    <w:rsid w:val="1A644AB4"/>
    <w:rsid w:val="1AD41696"/>
    <w:rsid w:val="1AE259D8"/>
    <w:rsid w:val="1AF34836"/>
    <w:rsid w:val="1B222947"/>
    <w:rsid w:val="1B33350C"/>
    <w:rsid w:val="1B410AA6"/>
    <w:rsid w:val="1BD003B5"/>
    <w:rsid w:val="1C4E0577"/>
    <w:rsid w:val="1CA91749"/>
    <w:rsid w:val="1CAA0778"/>
    <w:rsid w:val="1CB041F1"/>
    <w:rsid w:val="1CBD0CD5"/>
    <w:rsid w:val="1CDC38AE"/>
    <w:rsid w:val="1D531708"/>
    <w:rsid w:val="1D537F96"/>
    <w:rsid w:val="1DCD6F33"/>
    <w:rsid w:val="1E7B2FCD"/>
    <w:rsid w:val="1EBF09D9"/>
    <w:rsid w:val="1EEA2B61"/>
    <w:rsid w:val="1EF014D4"/>
    <w:rsid w:val="1EFA6E91"/>
    <w:rsid w:val="1F1C4F11"/>
    <w:rsid w:val="1F5A4C48"/>
    <w:rsid w:val="1F771403"/>
    <w:rsid w:val="1FAD19A6"/>
    <w:rsid w:val="1FC72B0C"/>
    <w:rsid w:val="20114504"/>
    <w:rsid w:val="20546C12"/>
    <w:rsid w:val="209F72E3"/>
    <w:rsid w:val="20DD529E"/>
    <w:rsid w:val="210A1BE0"/>
    <w:rsid w:val="213C5F3E"/>
    <w:rsid w:val="218A3453"/>
    <w:rsid w:val="22411295"/>
    <w:rsid w:val="22536D3E"/>
    <w:rsid w:val="228F34E9"/>
    <w:rsid w:val="231C7B26"/>
    <w:rsid w:val="23613C20"/>
    <w:rsid w:val="23911A1C"/>
    <w:rsid w:val="2393159E"/>
    <w:rsid w:val="23E007B1"/>
    <w:rsid w:val="23FB2CA4"/>
    <w:rsid w:val="23FD0E71"/>
    <w:rsid w:val="240319CE"/>
    <w:rsid w:val="241B24A9"/>
    <w:rsid w:val="24536F3E"/>
    <w:rsid w:val="247A3D28"/>
    <w:rsid w:val="247B0AAC"/>
    <w:rsid w:val="24AB6842"/>
    <w:rsid w:val="24AD7DDA"/>
    <w:rsid w:val="24CB1C6F"/>
    <w:rsid w:val="253A4BAC"/>
    <w:rsid w:val="254E083A"/>
    <w:rsid w:val="255E090F"/>
    <w:rsid w:val="25791739"/>
    <w:rsid w:val="259C6439"/>
    <w:rsid w:val="262739E9"/>
    <w:rsid w:val="26313383"/>
    <w:rsid w:val="263D01C6"/>
    <w:rsid w:val="265D24E4"/>
    <w:rsid w:val="26B66033"/>
    <w:rsid w:val="27183C82"/>
    <w:rsid w:val="27393E1F"/>
    <w:rsid w:val="273E5AC6"/>
    <w:rsid w:val="274130E7"/>
    <w:rsid w:val="278864A1"/>
    <w:rsid w:val="27CF6D95"/>
    <w:rsid w:val="281C0D86"/>
    <w:rsid w:val="28220F61"/>
    <w:rsid w:val="28631CBB"/>
    <w:rsid w:val="29353151"/>
    <w:rsid w:val="29424EDD"/>
    <w:rsid w:val="29687F04"/>
    <w:rsid w:val="2A135BBF"/>
    <w:rsid w:val="2A874054"/>
    <w:rsid w:val="2AA1306A"/>
    <w:rsid w:val="2B61754E"/>
    <w:rsid w:val="2B6B1FAD"/>
    <w:rsid w:val="2BB459BD"/>
    <w:rsid w:val="2BB73F1A"/>
    <w:rsid w:val="2BC85586"/>
    <w:rsid w:val="2BF144F4"/>
    <w:rsid w:val="2C666469"/>
    <w:rsid w:val="2C76572E"/>
    <w:rsid w:val="2CA35723"/>
    <w:rsid w:val="2CF64CC4"/>
    <w:rsid w:val="2D5B7684"/>
    <w:rsid w:val="2D9C04B5"/>
    <w:rsid w:val="2DB430BE"/>
    <w:rsid w:val="2DCD4D36"/>
    <w:rsid w:val="2E7853A8"/>
    <w:rsid w:val="2E962C39"/>
    <w:rsid w:val="2E976183"/>
    <w:rsid w:val="2EBD7E8A"/>
    <w:rsid w:val="2F0951D6"/>
    <w:rsid w:val="2F2B700E"/>
    <w:rsid w:val="2F4D0D52"/>
    <w:rsid w:val="2F555618"/>
    <w:rsid w:val="2F7D3896"/>
    <w:rsid w:val="2FA31782"/>
    <w:rsid w:val="31DA4820"/>
    <w:rsid w:val="32415747"/>
    <w:rsid w:val="326A63B7"/>
    <w:rsid w:val="3300476E"/>
    <w:rsid w:val="331F71B0"/>
    <w:rsid w:val="3332783A"/>
    <w:rsid w:val="333F670C"/>
    <w:rsid w:val="334528CA"/>
    <w:rsid w:val="335A6B93"/>
    <w:rsid w:val="338751E1"/>
    <w:rsid w:val="3396088A"/>
    <w:rsid w:val="33997F1D"/>
    <w:rsid w:val="33AA2F1D"/>
    <w:rsid w:val="33CA788B"/>
    <w:rsid w:val="33F729F9"/>
    <w:rsid w:val="348F7193"/>
    <w:rsid w:val="34A3191A"/>
    <w:rsid w:val="35903317"/>
    <w:rsid w:val="35BE2267"/>
    <w:rsid w:val="35D366A7"/>
    <w:rsid w:val="35E47CE7"/>
    <w:rsid w:val="364556FB"/>
    <w:rsid w:val="36C944D0"/>
    <w:rsid w:val="371166A2"/>
    <w:rsid w:val="37190851"/>
    <w:rsid w:val="37331B5F"/>
    <w:rsid w:val="374D3607"/>
    <w:rsid w:val="37565913"/>
    <w:rsid w:val="37677455"/>
    <w:rsid w:val="37891FB2"/>
    <w:rsid w:val="37BD2FA6"/>
    <w:rsid w:val="37D216A4"/>
    <w:rsid w:val="37D526F5"/>
    <w:rsid w:val="37F52071"/>
    <w:rsid w:val="37F55516"/>
    <w:rsid w:val="383D1E98"/>
    <w:rsid w:val="3843533F"/>
    <w:rsid w:val="3858587F"/>
    <w:rsid w:val="38904C67"/>
    <w:rsid w:val="38A02D03"/>
    <w:rsid w:val="38F069DE"/>
    <w:rsid w:val="39057199"/>
    <w:rsid w:val="39274C35"/>
    <w:rsid w:val="39590B93"/>
    <w:rsid w:val="397321C6"/>
    <w:rsid w:val="39B333EC"/>
    <w:rsid w:val="39E55A18"/>
    <w:rsid w:val="39EB60F2"/>
    <w:rsid w:val="39EE66B6"/>
    <w:rsid w:val="3A031BD4"/>
    <w:rsid w:val="3A061352"/>
    <w:rsid w:val="3A432C2D"/>
    <w:rsid w:val="3A4F3421"/>
    <w:rsid w:val="3A5977A8"/>
    <w:rsid w:val="3A68434C"/>
    <w:rsid w:val="3A6E031D"/>
    <w:rsid w:val="3ADD3771"/>
    <w:rsid w:val="3AF96C18"/>
    <w:rsid w:val="3B3D34A6"/>
    <w:rsid w:val="3B6B6BEB"/>
    <w:rsid w:val="3BC04D42"/>
    <w:rsid w:val="3C081DA4"/>
    <w:rsid w:val="3C58589D"/>
    <w:rsid w:val="3C7872C9"/>
    <w:rsid w:val="3DB97996"/>
    <w:rsid w:val="3DD86A9B"/>
    <w:rsid w:val="3E332138"/>
    <w:rsid w:val="3E536B23"/>
    <w:rsid w:val="3E6C73CA"/>
    <w:rsid w:val="3F1B5FEC"/>
    <w:rsid w:val="3F2D2E17"/>
    <w:rsid w:val="3F4507D0"/>
    <w:rsid w:val="3F496D4A"/>
    <w:rsid w:val="3FE9427E"/>
    <w:rsid w:val="40302BBE"/>
    <w:rsid w:val="403304F1"/>
    <w:rsid w:val="40683CE4"/>
    <w:rsid w:val="40A27DFE"/>
    <w:rsid w:val="40F7192E"/>
    <w:rsid w:val="411C14B7"/>
    <w:rsid w:val="411F5616"/>
    <w:rsid w:val="41282EDE"/>
    <w:rsid w:val="4151045A"/>
    <w:rsid w:val="418A4550"/>
    <w:rsid w:val="41A13367"/>
    <w:rsid w:val="41B757F0"/>
    <w:rsid w:val="41C704CA"/>
    <w:rsid w:val="41F0592A"/>
    <w:rsid w:val="424B7176"/>
    <w:rsid w:val="42520483"/>
    <w:rsid w:val="429C3B4A"/>
    <w:rsid w:val="42B26FF9"/>
    <w:rsid w:val="42BA02EB"/>
    <w:rsid w:val="42ED413E"/>
    <w:rsid w:val="42ED6A43"/>
    <w:rsid w:val="4365015D"/>
    <w:rsid w:val="43CF28EC"/>
    <w:rsid w:val="43F42E0A"/>
    <w:rsid w:val="44016A5B"/>
    <w:rsid w:val="441B3B85"/>
    <w:rsid w:val="44586BB4"/>
    <w:rsid w:val="44C5146E"/>
    <w:rsid w:val="45625783"/>
    <w:rsid w:val="45D509F1"/>
    <w:rsid w:val="45DA3B9A"/>
    <w:rsid w:val="45EA316F"/>
    <w:rsid w:val="461469AD"/>
    <w:rsid w:val="46313CE8"/>
    <w:rsid w:val="465637CE"/>
    <w:rsid w:val="467F71D0"/>
    <w:rsid w:val="468D26EC"/>
    <w:rsid w:val="469B71AF"/>
    <w:rsid w:val="47041F15"/>
    <w:rsid w:val="47450767"/>
    <w:rsid w:val="474F6F89"/>
    <w:rsid w:val="478C5060"/>
    <w:rsid w:val="47955867"/>
    <w:rsid w:val="47E179FF"/>
    <w:rsid w:val="47FD0D6F"/>
    <w:rsid w:val="481C6AED"/>
    <w:rsid w:val="485622D4"/>
    <w:rsid w:val="48673279"/>
    <w:rsid w:val="486B50B1"/>
    <w:rsid w:val="48F6308C"/>
    <w:rsid w:val="49390EDF"/>
    <w:rsid w:val="49854AE6"/>
    <w:rsid w:val="49E56546"/>
    <w:rsid w:val="4AB54704"/>
    <w:rsid w:val="4B117ED6"/>
    <w:rsid w:val="4BB307D2"/>
    <w:rsid w:val="4BC54F51"/>
    <w:rsid w:val="4BC55AE5"/>
    <w:rsid w:val="4BEB04B1"/>
    <w:rsid w:val="4C4D5B73"/>
    <w:rsid w:val="4C545218"/>
    <w:rsid w:val="4CA750CC"/>
    <w:rsid w:val="4D365425"/>
    <w:rsid w:val="4D537B3D"/>
    <w:rsid w:val="4D9F3C11"/>
    <w:rsid w:val="4DF00FC8"/>
    <w:rsid w:val="4E28748E"/>
    <w:rsid w:val="4E3E08CF"/>
    <w:rsid w:val="4E7259B5"/>
    <w:rsid w:val="4ED55CB6"/>
    <w:rsid w:val="4F8A0722"/>
    <w:rsid w:val="4FE84142"/>
    <w:rsid w:val="4FE84CAF"/>
    <w:rsid w:val="4FF53EFF"/>
    <w:rsid w:val="500B6EEB"/>
    <w:rsid w:val="50240132"/>
    <w:rsid w:val="50242B7C"/>
    <w:rsid w:val="503A2947"/>
    <w:rsid w:val="50537473"/>
    <w:rsid w:val="50B03687"/>
    <w:rsid w:val="50B33750"/>
    <w:rsid w:val="512327DD"/>
    <w:rsid w:val="512C0833"/>
    <w:rsid w:val="515E03C5"/>
    <w:rsid w:val="5164091A"/>
    <w:rsid w:val="51864743"/>
    <w:rsid w:val="519E33D0"/>
    <w:rsid w:val="51CD038C"/>
    <w:rsid w:val="51D2072E"/>
    <w:rsid w:val="522A2692"/>
    <w:rsid w:val="526D6427"/>
    <w:rsid w:val="52823A74"/>
    <w:rsid w:val="528D6887"/>
    <w:rsid w:val="532E4A44"/>
    <w:rsid w:val="53BB501C"/>
    <w:rsid w:val="53C477A1"/>
    <w:rsid w:val="53D2539D"/>
    <w:rsid w:val="53D944ED"/>
    <w:rsid w:val="53EA180B"/>
    <w:rsid w:val="53EA40A2"/>
    <w:rsid w:val="53FA27E0"/>
    <w:rsid w:val="547B32D1"/>
    <w:rsid w:val="54882DC5"/>
    <w:rsid w:val="550403F8"/>
    <w:rsid w:val="55256FDC"/>
    <w:rsid w:val="55740D24"/>
    <w:rsid w:val="557777E7"/>
    <w:rsid w:val="558B6B8C"/>
    <w:rsid w:val="55C74590"/>
    <w:rsid w:val="55CB15A0"/>
    <w:rsid w:val="55D06481"/>
    <w:rsid w:val="55E4588F"/>
    <w:rsid w:val="563F7A7F"/>
    <w:rsid w:val="56762305"/>
    <w:rsid w:val="56A24105"/>
    <w:rsid w:val="56BD0999"/>
    <w:rsid w:val="575378BD"/>
    <w:rsid w:val="578D04B4"/>
    <w:rsid w:val="57FD5D43"/>
    <w:rsid w:val="58506C55"/>
    <w:rsid w:val="58625BF4"/>
    <w:rsid w:val="58735883"/>
    <w:rsid w:val="5881097F"/>
    <w:rsid w:val="58FC1545"/>
    <w:rsid w:val="594311C0"/>
    <w:rsid w:val="59DD3103"/>
    <w:rsid w:val="59E25C05"/>
    <w:rsid w:val="5A274981"/>
    <w:rsid w:val="5A36306F"/>
    <w:rsid w:val="5A73341C"/>
    <w:rsid w:val="5A897643"/>
    <w:rsid w:val="5ABB14D2"/>
    <w:rsid w:val="5AC468CD"/>
    <w:rsid w:val="5B2E3D47"/>
    <w:rsid w:val="5B2F53C5"/>
    <w:rsid w:val="5C3E23E2"/>
    <w:rsid w:val="5C9F3435"/>
    <w:rsid w:val="5CED210B"/>
    <w:rsid w:val="5D113DDD"/>
    <w:rsid w:val="5D2107A8"/>
    <w:rsid w:val="5D964776"/>
    <w:rsid w:val="5DAF34E7"/>
    <w:rsid w:val="5DD269C1"/>
    <w:rsid w:val="5E3803BF"/>
    <w:rsid w:val="5E9A19C9"/>
    <w:rsid w:val="5E9D546B"/>
    <w:rsid w:val="5EA902B4"/>
    <w:rsid w:val="5EB41CFA"/>
    <w:rsid w:val="5EDB2C3E"/>
    <w:rsid w:val="5F094FE8"/>
    <w:rsid w:val="5F3F3F4E"/>
    <w:rsid w:val="5F4D54F9"/>
    <w:rsid w:val="5F534172"/>
    <w:rsid w:val="5F62250D"/>
    <w:rsid w:val="5F970742"/>
    <w:rsid w:val="5FCC621C"/>
    <w:rsid w:val="60662F17"/>
    <w:rsid w:val="60766C73"/>
    <w:rsid w:val="607D6974"/>
    <w:rsid w:val="609E6E91"/>
    <w:rsid w:val="60AF5FAA"/>
    <w:rsid w:val="60B60A35"/>
    <w:rsid w:val="61360451"/>
    <w:rsid w:val="6166713B"/>
    <w:rsid w:val="61937EBF"/>
    <w:rsid w:val="61E609F1"/>
    <w:rsid w:val="620D1242"/>
    <w:rsid w:val="62383621"/>
    <w:rsid w:val="625F4E53"/>
    <w:rsid w:val="62C4113B"/>
    <w:rsid w:val="630046CB"/>
    <w:rsid w:val="6322158D"/>
    <w:rsid w:val="633331DA"/>
    <w:rsid w:val="63510321"/>
    <w:rsid w:val="63566DAF"/>
    <w:rsid w:val="637D06F9"/>
    <w:rsid w:val="639A27D8"/>
    <w:rsid w:val="63EB73BE"/>
    <w:rsid w:val="63F70035"/>
    <w:rsid w:val="645609E1"/>
    <w:rsid w:val="64EA6FB0"/>
    <w:rsid w:val="654F3103"/>
    <w:rsid w:val="6651313F"/>
    <w:rsid w:val="66CB077E"/>
    <w:rsid w:val="67782D08"/>
    <w:rsid w:val="67972AE2"/>
    <w:rsid w:val="67A11A92"/>
    <w:rsid w:val="67A267C2"/>
    <w:rsid w:val="67A73E31"/>
    <w:rsid w:val="67AA194C"/>
    <w:rsid w:val="67B6628C"/>
    <w:rsid w:val="67FE7A63"/>
    <w:rsid w:val="68427227"/>
    <w:rsid w:val="68B55453"/>
    <w:rsid w:val="68D01D07"/>
    <w:rsid w:val="68DF38DB"/>
    <w:rsid w:val="69065C92"/>
    <w:rsid w:val="69080CE4"/>
    <w:rsid w:val="69777119"/>
    <w:rsid w:val="69851FC3"/>
    <w:rsid w:val="69AA7F35"/>
    <w:rsid w:val="69C2047C"/>
    <w:rsid w:val="69CA11C6"/>
    <w:rsid w:val="69D1310C"/>
    <w:rsid w:val="6A116860"/>
    <w:rsid w:val="6A373AAB"/>
    <w:rsid w:val="6A494C9C"/>
    <w:rsid w:val="6A6C386B"/>
    <w:rsid w:val="6A740D09"/>
    <w:rsid w:val="6A8E5308"/>
    <w:rsid w:val="6A963CFC"/>
    <w:rsid w:val="6AB778B5"/>
    <w:rsid w:val="6ABB4025"/>
    <w:rsid w:val="6ABD4014"/>
    <w:rsid w:val="6B397478"/>
    <w:rsid w:val="6B7A6EEE"/>
    <w:rsid w:val="6BB614AD"/>
    <w:rsid w:val="6C114321"/>
    <w:rsid w:val="6C401E1D"/>
    <w:rsid w:val="6C4A1545"/>
    <w:rsid w:val="6C6F37BC"/>
    <w:rsid w:val="6C7D68DC"/>
    <w:rsid w:val="6C7F2654"/>
    <w:rsid w:val="6CAF496E"/>
    <w:rsid w:val="6D1B1796"/>
    <w:rsid w:val="6D3766C5"/>
    <w:rsid w:val="6D376958"/>
    <w:rsid w:val="6D6E5ED8"/>
    <w:rsid w:val="6D9F4C25"/>
    <w:rsid w:val="6DC33BC8"/>
    <w:rsid w:val="6E25722B"/>
    <w:rsid w:val="6E3656DE"/>
    <w:rsid w:val="6E982039"/>
    <w:rsid w:val="6EA27A4F"/>
    <w:rsid w:val="6EAD5CD0"/>
    <w:rsid w:val="6F2D283B"/>
    <w:rsid w:val="6F440ACC"/>
    <w:rsid w:val="6F48530B"/>
    <w:rsid w:val="6F9C342E"/>
    <w:rsid w:val="6FE12910"/>
    <w:rsid w:val="70BE1498"/>
    <w:rsid w:val="70C657E5"/>
    <w:rsid w:val="70DB5961"/>
    <w:rsid w:val="71065C32"/>
    <w:rsid w:val="713525EB"/>
    <w:rsid w:val="7164790A"/>
    <w:rsid w:val="71843B28"/>
    <w:rsid w:val="71A010A2"/>
    <w:rsid w:val="71B76C06"/>
    <w:rsid w:val="71BA7A6E"/>
    <w:rsid w:val="71D1137D"/>
    <w:rsid w:val="71F50701"/>
    <w:rsid w:val="71FF6A24"/>
    <w:rsid w:val="721129BF"/>
    <w:rsid w:val="72174971"/>
    <w:rsid w:val="72824C4C"/>
    <w:rsid w:val="735B7C89"/>
    <w:rsid w:val="739D1BA7"/>
    <w:rsid w:val="73DB527D"/>
    <w:rsid w:val="74013F33"/>
    <w:rsid w:val="74843016"/>
    <w:rsid w:val="749578E9"/>
    <w:rsid w:val="74A42F30"/>
    <w:rsid w:val="75481FFE"/>
    <w:rsid w:val="758473D9"/>
    <w:rsid w:val="75D45FFD"/>
    <w:rsid w:val="75E268EB"/>
    <w:rsid w:val="75ED7974"/>
    <w:rsid w:val="761868A1"/>
    <w:rsid w:val="762914D3"/>
    <w:rsid w:val="763A347E"/>
    <w:rsid w:val="77412DE6"/>
    <w:rsid w:val="77A26DFE"/>
    <w:rsid w:val="77A439E6"/>
    <w:rsid w:val="77BB1A2A"/>
    <w:rsid w:val="786174E1"/>
    <w:rsid w:val="78693A3F"/>
    <w:rsid w:val="789B6A68"/>
    <w:rsid w:val="78AD55C4"/>
    <w:rsid w:val="78F23C88"/>
    <w:rsid w:val="790642C6"/>
    <w:rsid w:val="790B6776"/>
    <w:rsid w:val="792547B1"/>
    <w:rsid w:val="792A277B"/>
    <w:rsid w:val="79764121"/>
    <w:rsid w:val="797A7C24"/>
    <w:rsid w:val="79E306C6"/>
    <w:rsid w:val="7A266805"/>
    <w:rsid w:val="7A2911CE"/>
    <w:rsid w:val="7A2E015E"/>
    <w:rsid w:val="7A401675"/>
    <w:rsid w:val="7A7F2661"/>
    <w:rsid w:val="7B1D5512"/>
    <w:rsid w:val="7B474E96"/>
    <w:rsid w:val="7B7029AA"/>
    <w:rsid w:val="7B895360"/>
    <w:rsid w:val="7BF517F0"/>
    <w:rsid w:val="7C243E0A"/>
    <w:rsid w:val="7C707B6E"/>
    <w:rsid w:val="7CAD3446"/>
    <w:rsid w:val="7CF61B2A"/>
    <w:rsid w:val="7D584B4A"/>
    <w:rsid w:val="7D732D45"/>
    <w:rsid w:val="7D744EA7"/>
    <w:rsid w:val="7DA626F0"/>
    <w:rsid w:val="7DBC4D4C"/>
    <w:rsid w:val="7DC20351"/>
    <w:rsid w:val="7DDE56C7"/>
    <w:rsid w:val="7DE762AB"/>
    <w:rsid w:val="7DEA2E66"/>
    <w:rsid w:val="7E5005D0"/>
    <w:rsid w:val="7E682643"/>
    <w:rsid w:val="7EE07768"/>
    <w:rsid w:val="7EE877B8"/>
    <w:rsid w:val="7EF65275"/>
    <w:rsid w:val="7F0551ED"/>
    <w:rsid w:val="7F32585A"/>
    <w:rsid w:val="7F4236E5"/>
    <w:rsid w:val="7FDB093C"/>
    <w:rsid w:val="7FF87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bidi w:val="0"/>
      <w:spacing w:line="600" w:lineRule="exact"/>
      <w:ind w:firstLine="1040" w:firstLineChars="200"/>
      <w:jc w:val="both"/>
    </w:pPr>
    <w:rPr>
      <w:rFonts w:ascii="Times New Roman" w:hAnsi="Times New Roman" w:eastAsia="仿宋_GB2312" w:cstheme="minorBidi"/>
      <w:kern w:val="2"/>
      <w:sz w:val="32"/>
      <w:szCs w:val="32"/>
      <w:lang w:val="en-US" w:eastAsia="zh-CN" w:bidi="ar-SA"/>
    </w:rPr>
  </w:style>
  <w:style w:type="paragraph" w:styleId="2">
    <w:name w:val="heading 1"/>
    <w:basedOn w:val="1"/>
    <w:next w:val="1"/>
    <w:qFormat/>
    <w:uiPriority w:val="0"/>
    <w:pPr>
      <w:keepNext/>
      <w:keepLines/>
      <w:pageBreakBefore/>
      <w:numPr>
        <w:ilvl w:val="0"/>
        <w:numId w:val="1"/>
      </w:numPr>
      <w:tabs>
        <w:tab w:val="left" w:pos="0"/>
        <w:tab w:val="clear" w:pos="420"/>
      </w:tabs>
      <w:spacing w:before="50" w:beforeLines="50" w:after="50" w:afterLines="50"/>
      <w:ind w:left="0" w:firstLine="0" w:firstLineChars="0"/>
      <w:jc w:val="center"/>
      <w:outlineLvl w:val="0"/>
    </w:pPr>
    <w:rPr>
      <w:rFonts w:ascii="Times New Roman" w:hAnsi="Times New Roman" w:eastAsia="方正小标宋简体"/>
      <w:kern w:val="44"/>
      <w:sz w:val="36"/>
      <w:highlight w:val="none"/>
    </w:rPr>
  </w:style>
  <w:style w:type="paragraph" w:styleId="3">
    <w:name w:val="heading 2"/>
    <w:basedOn w:val="1"/>
    <w:next w:val="1"/>
    <w:link w:val="24"/>
    <w:unhideWhenUsed/>
    <w:qFormat/>
    <w:uiPriority w:val="0"/>
    <w:pPr>
      <w:keepNext/>
      <w:keepLines/>
      <w:spacing w:before="260" w:after="260" w:line="413" w:lineRule="auto"/>
      <w:jc w:val="center"/>
      <w:outlineLvl w:val="1"/>
    </w:pPr>
    <w:rPr>
      <w:rFonts w:ascii="Arial" w:hAnsi="Arial" w:eastAsia="黑体"/>
    </w:rPr>
  </w:style>
  <w:style w:type="paragraph" w:styleId="4">
    <w:name w:val="heading 3"/>
    <w:basedOn w:val="1"/>
    <w:next w:val="1"/>
    <w:link w:val="22"/>
    <w:unhideWhenUsed/>
    <w:qFormat/>
    <w:uiPriority w:val="0"/>
    <w:pPr>
      <w:keepNext/>
      <w:keepLines/>
      <w:numPr>
        <w:ilvl w:val="0"/>
        <w:numId w:val="2"/>
      </w:numPr>
      <w:tabs>
        <w:tab w:val="left" w:pos="0"/>
        <w:tab w:val="clear" w:pos="420"/>
      </w:tabs>
      <w:spacing w:before="50" w:beforeLines="50" w:after="50" w:afterLines="50" w:line="600" w:lineRule="exact"/>
      <w:ind w:left="0" w:leftChars="0" w:firstLine="0" w:firstLineChars="0"/>
      <w:outlineLvl w:val="2"/>
    </w:pPr>
    <w:rPr>
      <w:rFonts w:ascii="Times New Roman" w:hAnsi="Times New Roman" w:eastAsia="楷体_GB2312"/>
      <w:b/>
      <w:bCs/>
    </w:rPr>
  </w:style>
  <w:style w:type="character" w:default="1" w:styleId="18">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qFormat/>
    <w:uiPriority w:val="99"/>
    <w:pPr>
      <w:spacing w:line="360" w:lineRule="auto"/>
      <w:ind w:left="420" w:leftChars="200" w:firstLine="200" w:firstLineChars="200"/>
    </w:pPr>
    <w:rPr>
      <w:rFonts w:ascii="Times New Roman" w:hAnsi="Times New Roman" w:eastAsia="宋体"/>
      <w:sz w:val="28"/>
    </w:rPr>
  </w:style>
  <w:style w:type="paragraph" w:styleId="6">
    <w:name w:val="Normal Indent"/>
    <w:basedOn w:val="1"/>
    <w:qFormat/>
    <w:uiPriority w:val="0"/>
    <w:pPr>
      <w:spacing w:line="360" w:lineRule="auto"/>
      <w:ind w:firstLine="420" w:firstLineChars="200"/>
    </w:pPr>
    <w:rPr>
      <w:rFonts w:ascii="Calibri" w:hAnsi="Calibri" w:eastAsia="宋体" w:cs="Times New Roman"/>
      <w:sz w:val="28"/>
    </w:rPr>
  </w:style>
  <w:style w:type="paragraph" w:styleId="7">
    <w:name w:val="Body Text"/>
    <w:basedOn w:val="1"/>
    <w:next w:val="1"/>
    <w:unhideWhenUsed/>
    <w:qFormat/>
    <w:uiPriority w:val="99"/>
    <w:rPr>
      <w:rFonts w:ascii="等线" w:hAnsi="等线" w:eastAsia="宋体" w:cs="Times New Roman"/>
      <w:sz w:val="28"/>
    </w:rPr>
  </w:style>
  <w:style w:type="paragraph" w:styleId="8">
    <w:name w:val="Body Text Indent"/>
    <w:basedOn w:val="1"/>
    <w:qFormat/>
    <w:uiPriority w:val="0"/>
    <w:pPr>
      <w:spacing w:line="360" w:lineRule="auto"/>
      <w:ind w:firstLine="480" w:firstLineChars="150"/>
    </w:pPr>
    <w:rPr>
      <w:rFonts w:ascii="仿宋_GB2312" w:hAnsi="Times New Roman" w:eastAsia="仿宋_GB2312"/>
      <w:bCs/>
      <w:szCs w:val="32"/>
    </w:rPr>
  </w:style>
  <w:style w:type="paragraph" w:styleId="9">
    <w:name w:val="footer"/>
    <w:basedOn w:val="1"/>
    <w:unhideWhenUsed/>
    <w:qFormat/>
    <w:uiPriority w:val="0"/>
    <w:pPr>
      <w:tabs>
        <w:tab w:val="center" w:pos="4153"/>
        <w:tab w:val="right" w:pos="8306"/>
      </w:tabs>
      <w:snapToGrid w:val="0"/>
      <w:jc w:val="left"/>
    </w:pPr>
    <w:rPr>
      <w:sz w:val="18"/>
      <w:szCs w:val="18"/>
    </w:rPr>
  </w:style>
  <w:style w:type="paragraph" w:styleId="10">
    <w:name w:val="header"/>
    <w:basedOn w:val="1"/>
    <w:link w:val="36"/>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ind w:firstLine="0" w:firstLineChars="0"/>
      <w:jc w:val="both"/>
    </w:pPr>
    <w:rPr>
      <w:rFonts w:ascii="Times New Roman" w:hAnsi="Times New Roman" w:eastAsia="黑体"/>
      <w:sz w:val="28"/>
    </w:rPr>
  </w:style>
  <w:style w:type="paragraph" w:styleId="12">
    <w:name w:val="toc 2"/>
    <w:basedOn w:val="1"/>
    <w:next w:val="1"/>
    <w:qFormat/>
    <w:uiPriority w:val="39"/>
    <w:pPr>
      <w:tabs>
        <w:tab w:val="right" w:leader="dot" w:pos="8306"/>
      </w:tabs>
    </w:pPr>
    <w:rPr>
      <w:rFonts w:cs="Times New Roman"/>
      <w:color w:val="auto"/>
      <w:sz w:val="28"/>
      <w:szCs w:val="20"/>
      <w:highlight w:val="none"/>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4">
    <w:name w:val="Body Text First Indent"/>
    <w:basedOn w:val="7"/>
    <w:qFormat/>
    <w:uiPriority w:val="0"/>
    <w:rPr>
      <w:rFonts w:eastAsia="仿宋_GB2312"/>
      <w:szCs w:val="20"/>
    </w:rPr>
  </w:style>
  <w:style w:type="paragraph" w:styleId="15">
    <w:name w:val="Body Text First Indent 2"/>
    <w:basedOn w:val="8"/>
    <w:unhideWhenUsed/>
    <w:qFormat/>
    <w:uiPriority w:val="99"/>
    <w:pPr>
      <w:spacing w:line="240" w:lineRule="auto"/>
      <w:ind w:firstLine="0" w:firstLineChars="0"/>
      <w:jc w:val="center"/>
    </w:pPr>
    <w:rPr>
      <w:rFonts w:hAnsi="仿宋_GB2312" w:eastAsia="宋体" w:cs="Times New Roman"/>
      <w:sz w:val="21"/>
      <w:szCs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unhideWhenUsed/>
    <w:qFormat/>
    <w:uiPriority w:val="99"/>
    <w:rPr>
      <w:color w:val="0563C1" w:themeColor="hyperlink"/>
      <w:u w:val="single"/>
      <w14:textFill>
        <w14:solidFill>
          <w14:schemeClr w14:val="hlink"/>
        </w14:solidFill>
      </w14:textFill>
    </w:rPr>
  </w:style>
  <w:style w:type="paragraph" w:customStyle="1" w:styleId="20">
    <w:name w:val="BodyText1I2"/>
    <w:basedOn w:val="21"/>
    <w:qFormat/>
    <w:uiPriority w:val="0"/>
    <w:pPr>
      <w:tabs>
        <w:tab w:val="left" w:pos="540"/>
      </w:tabs>
      <w:spacing w:after="120" w:line="360" w:lineRule="auto"/>
      <w:ind w:left="420" w:leftChars="200" w:firstLine="420" w:firstLineChars="200"/>
      <w:jc w:val="left"/>
      <w:textAlignment w:val="baseline"/>
    </w:pPr>
    <w:rPr>
      <w:rFonts w:ascii="Times New Roman" w:hAnsi="Times New Roman" w:eastAsia="宋体"/>
      <w:color w:val="000000"/>
      <w:sz w:val="24"/>
      <w:szCs w:val="24"/>
    </w:rPr>
  </w:style>
  <w:style w:type="paragraph" w:customStyle="1" w:styleId="21">
    <w:name w:val="BodyTextIndent"/>
    <w:basedOn w:val="1"/>
    <w:qFormat/>
    <w:uiPriority w:val="0"/>
    <w:pPr>
      <w:spacing w:after="120"/>
      <w:ind w:left="420" w:leftChars="200"/>
      <w:jc w:val="both"/>
      <w:textAlignment w:val="baseline"/>
    </w:pPr>
  </w:style>
  <w:style w:type="character" w:customStyle="1" w:styleId="22">
    <w:name w:val="标题 3 字符"/>
    <w:basedOn w:val="18"/>
    <w:link w:val="4"/>
    <w:qFormat/>
    <w:uiPriority w:val="0"/>
    <w:rPr>
      <w:rFonts w:ascii="Times New Roman" w:hAnsi="Times New Roman" w:eastAsia="楷体_GB2312"/>
      <w:b/>
      <w:bCs/>
      <w:sz w:val="32"/>
    </w:rPr>
  </w:style>
  <w:style w:type="paragraph" w:customStyle="1" w:styleId="23">
    <w:name w:val="_Style 1"/>
    <w:basedOn w:val="1"/>
    <w:qFormat/>
    <w:uiPriority w:val="0"/>
    <w:pPr>
      <w:ind w:firstLine="200" w:firstLineChars="200"/>
    </w:pPr>
    <w:rPr>
      <w:rFonts w:ascii="Calibri" w:hAnsi="Calibri"/>
      <w:szCs w:val="24"/>
    </w:rPr>
  </w:style>
  <w:style w:type="character" w:customStyle="1" w:styleId="24">
    <w:name w:val="标题 2 字符"/>
    <w:link w:val="3"/>
    <w:qFormat/>
    <w:uiPriority w:val="0"/>
    <w:rPr>
      <w:rFonts w:ascii="Arial" w:hAnsi="Arial" w:eastAsia="黑体"/>
      <w:sz w:val="32"/>
    </w:rPr>
  </w:style>
  <w:style w:type="table" w:customStyle="1" w:styleId="25">
    <w:name w:val="Table Normal"/>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6">
    <w:name w:val="文本三级"/>
    <w:basedOn w:val="1"/>
    <w:qFormat/>
    <w:uiPriority w:val="0"/>
    <w:pPr>
      <w:spacing w:before="50" w:beforeLines="50" w:after="50" w:afterLines="50" w:line="560" w:lineRule="exact"/>
      <w:ind w:firstLine="200" w:firstLineChars="200"/>
      <w:outlineLvl w:val="3"/>
    </w:pPr>
    <w:rPr>
      <w:rFonts w:ascii="仿宋" w:hAnsi="仿宋" w:eastAsia="楷体"/>
      <w:szCs w:val="30"/>
    </w:rPr>
  </w:style>
  <w:style w:type="paragraph" w:customStyle="1" w:styleId="27">
    <w:name w:val="文本正文"/>
    <w:basedOn w:val="1"/>
    <w:link w:val="28"/>
    <w:qFormat/>
    <w:uiPriority w:val="0"/>
    <w:pPr>
      <w:spacing w:line="600" w:lineRule="exact"/>
      <w:ind w:firstLine="560" w:firstLineChars="200"/>
    </w:pPr>
    <w:rPr>
      <w:rFonts w:ascii="Times New Roman" w:hAnsi="Times New Roman" w:cs="Times New Roman"/>
    </w:rPr>
  </w:style>
  <w:style w:type="character" w:customStyle="1" w:styleId="28">
    <w:name w:val="文本正文 Char"/>
    <w:basedOn w:val="18"/>
    <w:link w:val="27"/>
    <w:qFormat/>
    <w:uiPriority w:val="0"/>
    <w:rPr>
      <w:rFonts w:ascii="Times New Roman" w:hAnsi="Times New Roman" w:eastAsia="仿宋_GB2312" w:cs="Times New Roman"/>
      <w:sz w:val="32"/>
    </w:rPr>
  </w:style>
  <w:style w:type="paragraph" w:customStyle="1" w:styleId="29">
    <w:name w:val="文本二级标题"/>
    <w:basedOn w:val="3"/>
    <w:qFormat/>
    <w:uiPriority w:val="0"/>
    <w:pPr>
      <w:numPr>
        <w:ilvl w:val="0"/>
        <w:numId w:val="3"/>
      </w:numPr>
      <w:tabs>
        <w:tab w:val="left" w:pos="0"/>
        <w:tab w:val="clear" w:pos="420"/>
      </w:tabs>
      <w:spacing w:before="50" w:beforeLines="50" w:after="50" w:afterLines="50" w:line="600" w:lineRule="exact"/>
      <w:ind w:left="0" w:firstLine="0" w:firstLineChars="0"/>
    </w:pPr>
    <w:rPr>
      <w:rFonts w:ascii="Times New Roman" w:hAnsi="Times New Roman"/>
    </w:rPr>
  </w:style>
  <w:style w:type="paragraph" w:customStyle="1" w:styleId="30">
    <w:name w:val="A正文"/>
    <w:basedOn w:val="1"/>
    <w:qFormat/>
    <w:uiPriority w:val="0"/>
    <w:pPr>
      <w:spacing w:line="312" w:lineRule="auto"/>
      <w:ind w:firstLine="480" w:firstLineChars="200"/>
      <w:jc w:val="left"/>
    </w:pPr>
    <w:rPr>
      <w:rFonts w:ascii="Calibri" w:hAnsi="Calibri" w:eastAsia="宋体" w:cs="Times New Roman"/>
      <w:sz w:val="24"/>
      <w:lang w:val="zh-CN"/>
    </w:rPr>
  </w:style>
  <w:style w:type="paragraph" w:customStyle="1" w:styleId="31">
    <w:name w:val="标题4"/>
    <w:basedOn w:val="27"/>
    <w:qFormat/>
    <w:uiPriority w:val="0"/>
    <w:pPr>
      <w:ind w:firstLine="562"/>
    </w:pPr>
    <w:rPr>
      <w:rFonts w:eastAsia="楷体"/>
      <w:b/>
      <w:bCs/>
    </w:rPr>
  </w:style>
  <w:style w:type="paragraph" w:customStyle="1" w:styleId="32">
    <w:name w:val="Default"/>
    <w:qFormat/>
    <w:uiPriority w:val="0"/>
    <w:pPr>
      <w:widowControl w:val="0"/>
      <w:autoSpaceDE w:val="0"/>
      <w:autoSpaceDN w:val="0"/>
      <w:adjustRightInd w:val="0"/>
    </w:pPr>
    <w:rPr>
      <w:rFonts w:ascii="楷体" w:hAnsi="楷体" w:cs="楷体" w:eastAsiaTheme="minorEastAsia"/>
      <w:color w:val="000000"/>
      <w:sz w:val="24"/>
      <w:szCs w:val="24"/>
      <w:lang w:val="en-US" w:eastAsia="zh-CN" w:bidi="ar-SA"/>
    </w:rPr>
  </w:style>
  <w:style w:type="paragraph" w:customStyle="1" w:styleId="33">
    <w:name w:val="文本1"/>
    <w:basedOn w:val="2"/>
    <w:qFormat/>
    <w:uiPriority w:val="0"/>
    <w:pPr>
      <w:spacing w:before="240" w:after="240" w:line="560" w:lineRule="exact"/>
      <w:ind w:hanging="1480" w:hangingChars="705"/>
    </w:pPr>
    <w:rPr>
      <w:rFonts w:ascii="Times New Roman" w:hAnsi="Times New Roman" w:eastAsia="黑体" w:cs="Times New Roman"/>
      <w:szCs w:val="36"/>
    </w:rPr>
  </w:style>
  <w:style w:type="paragraph" w:customStyle="1" w:styleId="34">
    <w:name w:val="WPSOffice手动目录 1"/>
    <w:qFormat/>
    <w:uiPriority w:val="0"/>
    <w:rPr>
      <w:rFonts w:ascii="Times New Roman" w:hAnsi="Times New Roman" w:eastAsia="宋体" w:cs="Times New Roman"/>
      <w:lang w:val="en-US" w:eastAsia="zh-CN" w:bidi="ar-SA"/>
    </w:rPr>
  </w:style>
  <w:style w:type="paragraph" w:customStyle="1" w:styleId="35">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6">
    <w:name w:val="页眉 字符"/>
    <w:basedOn w:val="18"/>
    <w:link w:val="10"/>
    <w:qFormat/>
    <w:uiPriority w:val="0"/>
    <w:rPr>
      <w:rFonts w:eastAsia="仿宋" w:asciiTheme="minorHAnsi" w:hAnsiTheme="minorHAnsi" w:cstheme="minorBidi"/>
      <w:kern w:val="2"/>
      <w:sz w:val="18"/>
      <w:szCs w:val="18"/>
    </w:rPr>
  </w:style>
  <w:style w:type="paragraph" w:styleId="37">
    <w:name w:val="List Paragraph"/>
    <w:basedOn w:val="1"/>
    <w:qFormat/>
    <w:uiPriority w:val="99"/>
    <w:pPr>
      <w:ind w:firstLine="420" w:firstLineChars="200"/>
    </w:pPr>
  </w:style>
  <w:style w:type="character" w:customStyle="1" w:styleId="38">
    <w:name w:val="font11"/>
    <w:basedOn w:val="18"/>
    <w:qFormat/>
    <w:uiPriority w:val="0"/>
    <w:rPr>
      <w:rFonts w:hint="eastAsia" w:ascii="宋体" w:hAnsi="宋体" w:eastAsia="宋体" w:cs="宋体"/>
      <w:color w:val="000000"/>
      <w:sz w:val="20"/>
      <w:szCs w:val="20"/>
      <w:u w:val="none"/>
    </w:rPr>
  </w:style>
  <w:style w:type="character" w:customStyle="1" w:styleId="39">
    <w:name w:val="font01"/>
    <w:basedOn w:val="18"/>
    <w:qFormat/>
    <w:uiPriority w:val="0"/>
    <w:rPr>
      <w:rFonts w:ascii="Arial" w:hAnsi="Arial" w:cs="Arial"/>
      <w:color w:val="000000"/>
      <w:sz w:val="20"/>
      <w:szCs w:val="20"/>
      <w:u w:val="none"/>
    </w:rPr>
  </w:style>
  <w:style w:type="character" w:customStyle="1" w:styleId="40">
    <w:name w:val="font41"/>
    <w:basedOn w:val="18"/>
    <w:qFormat/>
    <w:uiPriority w:val="0"/>
    <w:rPr>
      <w:rFonts w:hint="eastAsia" w:ascii="仿宋" w:hAnsi="仿宋" w:eastAsia="仿宋" w:cs="仿宋"/>
      <w:color w:val="000000"/>
      <w:sz w:val="22"/>
      <w:szCs w:val="22"/>
      <w:u w:val="none"/>
      <w:vertAlign w:val="superscript"/>
    </w:rPr>
  </w:style>
  <w:style w:type="paragraph" w:customStyle="1" w:styleId="41">
    <w:name w:val="节标题"/>
    <w:basedOn w:val="1"/>
    <w:qFormat/>
    <w:uiPriority w:val="0"/>
    <w:pPr>
      <w:keepNext/>
      <w:keepLines/>
      <w:spacing w:before="100" w:beforeLines="100" w:after="100" w:afterLines="100" w:line="560" w:lineRule="exact"/>
      <w:ind w:left="0" w:hanging="1006" w:hangingChars="313"/>
      <w:jc w:val="center"/>
      <w:outlineLvl w:val="1"/>
    </w:pPr>
    <w:rPr>
      <w:rFonts w:ascii="Arial" w:hAnsi="Arial" w:eastAsia="黑体"/>
      <w:szCs w:val="24"/>
    </w:rPr>
  </w:style>
  <w:style w:type="character" w:customStyle="1" w:styleId="42">
    <w:name w:val="font21"/>
    <w:basedOn w:val="18"/>
    <w:qFormat/>
    <w:uiPriority w:val="0"/>
    <w:rPr>
      <w:rFonts w:hint="default" w:ascii="Times New Roman" w:hAnsi="Times New Roman" w:cs="Times New Roman"/>
      <w:color w:val="000000"/>
      <w:sz w:val="22"/>
      <w:szCs w:val="22"/>
      <w:u w:val="none"/>
    </w:rPr>
  </w:style>
  <w:style w:type="paragraph" w:customStyle="1" w:styleId="43">
    <w:name w:val="Table Paragraph"/>
    <w:basedOn w:val="1"/>
    <w:qFormat/>
    <w:uiPriority w:val="1"/>
    <w:pPr>
      <w:autoSpaceDE w:val="0"/>
      <w:autoSpaceDN w:val="0"/>
      <w:spacing w:before="45"/>
      <w:jc w:val="left"/>
    </w:pPr>
    <w:rPr>
      <w:rFonts w:ascii="宋体" w:hAnsi="宋体" w:eastAsia="宋体" w:cs="宋体"/>
      <w:kern w:val="0"/>
      <w:sz w:val="22"/>
    </w:rPr>
  </w:style>
  <w:style w:type="paragraph" w:customStyle="1" w:styleId="44">
    <w:name w:val="样式 样式 样式 样式 样式 首行缩进:  2 字符1 + 首行缩进:  2 字符 + 首行缩进:  2 字符 + 首行缩进: ..."/>
    <w:basedOn w:val="1"/>
    <w:qFormat/>
    <w:uiPriority w:val="0"/>
    <w:pPr>
      <w:spacing w:line="420" w:lineRule="exact"/>
      <w:ind w:firstLine="200" w:firstLineChars="200"/>
    </w:pPr>
    <w:rPr>
      <w:rFonts w:ascii="Times New Roman" w:hAnsi="Times New Roman" w:cs="宋体"/>
      <w:sz w:val="24"/>
    </w:rPr>
  </w:style>
  <w:style w:type="paragraph" w:customStyle="1" w:styleId="45">
    <w:name w:val="333"/>
    <w:basedOn w:val="44"/>
    <w:qFormat/>
    <w:uiPriority w:val="0"/>
    <w:pPr>
      <w:spacing w:line="360" w:lineRule="auto"/>
      <w:ind w:firstLine="480"/>
    </w:pPr>
  </w:style>
  <w:style w:type="paragraph" w:customStyle="1" w:styleId="46">
    <w:name w:val="nj正文"/>
    <w:basedOn w:val="1"/>
    <w:qFormat/>
    <w:uiPriority w:val="0"/>
    <w:pPr>
      <w:widowControl/>
      <w:ind w:firstLine="720"/>
    </w:pPr>
    <w:rPr>
      <w:rFonts w:ascii="宋体" w:hAnsi="宋体"/>
      <w:color w:val="000000"/>
    </w:rPr>
  </w:style>
  <w:style w:type="paragraph" w:customStyle="1" w:styleId="47">
    <w:name w:val="AA三级标题"/>
    <w:basedOn w:val="1"/>
    <w:next w:val="1"/>
    <w:qFormat/>
    <w:uiPriority w:val="0"/>
    <w:pPr>
      <w:keepNext/>
      <w:keepLines/>
      <w:numPr>
        <w:ilvl w:val="0"/>
        <w:numId w:val="4"/>
      </w:numPr>
      <w:spacing w:before="50" w:beforeLines="50" w:after="50" w:afterLines="50"/>
      <w:outlineLvl w:val="2"/>
    </w:pPr>
    <w:rPr>
      <w:rFonts w:ascii="Times New Roman" w:hAnsi="Times New Roman" w:eastAsia="楷体_GB2312" w:cs="楷体_GB2312"/>
      <w:bCs/>
      <w:sz w:val="32"/>
      <w:szCs w:val="32"/>
    </w:rPr>
  </w:style>
  <w:style w:type="paragraph" w:customStyle="1" w:styleId="48">
    <w:name w:val="表格文字"/>
    <w:basedOn w:val="1"/>
    <w:qFormat/>
    <w:uiPriority w:val="0"/>
    <w:pPr>
      <w:widowControl/>
      <w:tabs>
        <w:tab w:val="left" w:pos="360"/>
      </w:tabs>
      <w:spacing w:line="360" w:lineRule="auto"/>
      <w:jc w:val="center"/>
    </w:pPr>
    <w:rPr>
      <w:rFonts w:cs="等线"/>
      <w:kern w:val="0"/>
      <w:sz w:val="21"/>
      <w:szCs w:val="21"/>
    </w:rPr>
  </w:style>
  <w:style w:type="paragraph" w:customStyle="1" w:styleId="49">
    <w:name w:val="附录表格文字"/>
    <w:basedOn w:val="1"/>
    <w:qFormat/>
    <w:uiPriority w:val="0"/>
    <w:pPr>
      <w:widowControl/>
      <w:tabs>
        <w:tab w:val="left" w:pos="360"/>
      </w:tabs>
      <w:spacing w:line="240" w:lineRule="auto"/>
      <w:ind w:firstLine="0" w:firstLineChars="0"/>
      <w:jc w:val="center"/>
    </w:pPr>
    <w:rPr>
      <w:rFonts w:hint="eastAsia" w:ascii="Times New Roman" w:hAnsi="Times New Roman" w:cs="等线"/>
      <w:kern w:val="0"/>
      <w:sz w:val="21"/>
      <w:szCs w:val="21"/>
    </w:rPr>
  </w:style>
  <w:style w:type="paragraph" w:customStyle="1" w:styleId="50">
    <w:name w:val="专栏标题"/>
    <w:basedOn w:val="1"/>
    <w:qFormat/>
    <w:uiPriority w:val="0"/>
    <w:pPr>
      <w:spacing w:line="240" w:lineRule="auto"/>
      <w:ind w:firstLine="0" w:firstLineChars="0"/>
      <w:jc w:val="center"/>
    </w:pPr>
    <w:rPr>
      <w:rFonts w:ascii="Times New Roman" w:hAnsi="Times New Roman" w:eastAsia="黑体" w:cs="Times New Roman"/>
      <w:color w:val="auto"/>
      <w:sz w:val="30"/>
      <w:szCs w:val="30"/>
    </w:rPr>
  </w:style>
  <w:style w:type="paragraph" w:customStyle="1" w:styleId="51">
    <w:name w:val="专栏正文"/>
    <w:basedOn w:val="1"/>
    <w:qFormat/>
    <w:uiPriority w:val="0"/>
    <w:pPr>
      <w:spacing w:line="240" w:lineRule="auto"/>
      <w:ind w:firstLine="480"/>
    </w:pPr>
    <w:rPr>
      <w:rFonts w:ascii="Times New Roman" w:hAnsi="Times New Roman" w:cs="Times New Roman"/>
      <w:color w:val="auto"/>
      <w:sz w:val="24"/>
    </w:rPr>
  </w:style>
  <w:style w:type="paragraph" w:customStyle="1" w:styleId="52">
    <w:name w:val="附表标题"/>
    <w:basedOn w:val="1"/>
    <w:next w:val="1"/>
    <w:qFormat/>
    <w:uiPriority w:val="0"/>
    <w:pPr>
      <w:keepNext/>
      <w:keepLines/>
      <w:spacing w:before="50" w:beforeLines="50" w:after="50" w:afterLines="50" w:line="600" w:lineRule="atLeast"/>
      <w:ind w:firstLine="0" w:firstLineChars="0"/>
      <w:jc w:val="center"/>
      <w:outlineLvl w:val="1"/>
    </w:pPr>
    <w:rPr>
      <w:rFonts w:ascii="Times New Roman" w:hAnsi="Times New Roman" w:eastAsia="黑体" w:cs="Times New Roman"/>
      <w:color w:val="auto"/>
      <w:sz w:val="32"/>
      <w:szCs w:val="32"/>
    </w:rPr>
  </w:style>
  <w:style w:type="paragraph" w:customStyle="1" w:styleId="53">
    <w:name w:val="附表正文"/>
    <w:basedOn w:val="1"/>
    <w:qFormat/>
    <w:uiPriority w:val="0"/>
    <w:pPr>
      <w:widowControl/>
      <w:tabs>
        <w:tab w:val="left" w:pos="360"/>
      </w:tabs>
      <w:spacing w:line="240" w:lineRule="auto"/>
      <w:ind w:firstLine="0" w:firstLineChars="0"/>
      <w:jc w:val="center"/>
    </w:pPr>
    <w:rPr>
      <w:rFonts w:ascii="Times New Roman" w:hAnsi="Times New Roman" w:cs="Times New Roman"/>
      <w:color w:val="auto"/>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66</Pages>
  <Words>11917</Words>
  <Characters>12489</Characters>
  <Lines>874</Lines>
  <Paragraphs>246</Paragraphs>
  <TotalTime>0</TotalTime>
  <ScaleCrop>false</ScaleCrop>
  <LinksUpToDate>false</LinksUpToDate>
  <CharactersWithSpaces>12765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2023-03-02T02:29:00Z</dcterms:created>
  <dc:creator>Administrator</dc:creator>
  <cp:lastModifiedBy>Wwwww.</cp:lastModifiedBy>
  <cp:lastPrinted>2023-03-09T14:11:00Z</cp:lastPrinted>
  <dcterms:modified xsi:type="dcterms:W3CDTF">2026-09-03T06:07:24Z</dcterms:modified>
  <cp:revision>277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DEC6A38FB76141BE8401C62B5C935CD5_13</vt:lpwstr>
  </property>
  <property fmtid="{D5CDD505-2E9C-101B-9397-08002B2CF9AE}" pid="4" name="KSOTemplateDocerSaveRecord">
    <vt:lpwstr>eyJoZGlkIjoiMzI1MWU3YmE1OWI4ZGZlNTJhYjViZmQzYTM5ZWJkOWQiLCJ1c2VySWQiOiIzOTg3ODM2MzAifQ==</vt:lpwstr>
  </property>
</Properties>
</file>