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F39C6">
      <w:pPr>
        <w:jc w:val="both"/>
        <w:rPr>
          <w:rFonts w:eastAsia="仿宋_GB2312"/>
        </w:rPr>
      </w:pPr>
    </w:p>
    <w:p w14:paraId="400C12D7">
      <w:pPr>
        <w:jc w:val="both"/>
        <w:rPr>
          <w:rFonts w:eastAsia="仿宋_GB2312"/>
        </w:rPr>
      </w:pPr>
    </w:p>
    <w:p w14:paraId="5047EAEE">
      <w:pPr>
        <w:jc w:val="both"/>
        <w:rPr>
          <w:rFonts w:eastAsia="仿宋_GB2312"/>
        </w:rPr>
      </w:pPr>
    </w:p>
    <w:p w14:paraId="0ED6BA24">
      <w:pPr>
        <w:jc w:val="both"/>
        <w:rPr>
          <w:rFonts w:eastAsia="仿宋_GB2312"/>
        </w:rPr>
      </w:pPr>
    </w:p>
    <w:p w14:paraId="76A5237A">
      <w:pPr>
        <w:jc w:val="both"/>
        <w:rPr>
          <w:rFonts w:eastAsia="仿宋_GB2312"/>
        </w:rPr>
      </w:pPr>
    </w:p>
    <w:p w14:paraId="07B896D0">
      <w:pPr>
        <w:rPr>
          <w:sz w:val="44"/>
          <w:szCs w:val="44"/>
        </w:rPr>
      </w:pPr>
      <w:bookmarkStart w:id="0" w:name="_Toc1503"/>
      <w:r>
        <w:rPr>
          <w:sz w:val="44"/>
          <w:szCs w:val="44"/>
        </w:rPr>
        <w:t>桦川县横头山镇国土空间总体规划</w:t>
      </w:r>
      <w:bookmarkEnd w:id="0"/>
    </w:p>
    <w:p w14:paraId="482A2E38">
      <w:pPr>
        <w:rPr>
          <w:sz w:val="44"/>
          <w:szCs w:val="44"/>
        </w:rPr>
      </w:pPr>
      <w:r>
        <w:rPr>
          <w:sz w:val="44"/>
          <w:szCs w:val="44"/>
        </w:rPr>
        <w:t>（2021</w:t>
      </w:r>
      <w:r>
        <w:rPr>
          <w:rFonts w:hint="eastAsia"/>
          <w:sz w:val="44"/>
          <w:szCs w:val="44"/>
        </w:rPr>
        <w:t>—</w:t>
      </w:r>
      <w:r>
        <w:rPr>
          <w:sz w:val="44"/>
          <w:szCs w:val="44"/>
        </w:rPr>
        <w:t>2035年）</w:t>
      </w:r>
    </w:p>
    <w:p w14:paraId="7651B430">
      <w:pPr>
        <w:rPr>
          <w:sz w:val="44"/>
          <w:szCs w:val="44"/>
        </w:rPr>
      </w:pPr>
    </w:p>
    <w:p w14:paraId="246BE9B1">
      <w:pPr>
        <w:rPr>
          <w:sz w:val="44"/>
          <w:szCs w:val="44"/>
        </w:rPr>
      </w:pPr>
    </w:p>
    <w:p w14:paraId="241B193C">
      <w:pPr>
        <w:rPr>
          <w:sz w:val="44"/>
          <w:szCs w:val="44"/>
        </w:rPr>
      </w:pPr>
    </w:p>
    <w:p w14:paraId="1041C140">
      <w:pPr>
        <w:rPr>
          <w:sz w:val="44"/>
          <w:szCs w:val="44"/>
        </w:rPr>
      </w:pPr>
    </w:p>
    <w:p w14:paraId="162B1EF1">
      <w:pPr>
        <w:rPr>
          <w:sz w:val="44"/>
          <w:szCs w:val="44"/>
        </w:rPr>
      </w:pPr>
    </w:p>
    <w:p w14:paraId="22FCADFB">
      <w:pPr>
        <w:rPr>
          <w:sz w:val="44"/>
          <w:szCs w:val="44"/>
        </w:rPr>
      </w:pPr>
    </w:p>
    <w:p w14:paraId="54CF9C96">
      <w:pPr>
        <w:rPr>
          <w:sz w:val="44"/>
          <w:szCs w:val="44"/>
        </w:rPr>
      </w:pPr>
    </w:p>
    <w:p w14:paraId="128A87A8">
      <w:pPr>
        <w:rPr>
          <w:sz w:val="44"/>
          <w:szCs w:val="44"/>
        </w:rPr>
      </w:pPr>
    </w:p>
    <w:p w14:paraId="6C9E908E">
      <w:pPr>
        <w:rPr>
          <w:sz w:val="44"/>
          <w:szCs w:val="44"/>
        </w:rPr>
      </w:pPr>
    </w:p>
    <w:p w14:paraId="1BF99C9A">
      <w:pPr>
        <w:rPr>
          <w:sz w:val="44"/>
          <w:szCs w:val="44"/>
        </w:rPr>
      </w:pPr>
    </w:p>
    <w:p w14:paraId="4AEE4ED7">
      <w:pPr>
        <w:rPr>
          <w:sz w:val="44"/>
          <w:szCs w:val="44"/>
        </w:rPr>
      </w:pPr>
    </w:p>
    <w:p w14:paraId="48BA2AD4">
      <w:pPr>
        <w:rPr>
          <w:sz w:val="44"/>
          <w:szCs w:val="44"/>
        </w:rPr>
      </w:pPr>
    </w:p>
    <w:p w14:paraId="429BAE45">
      <w:r>
        <w:t>横头山镇人民政府</w:t>
      </w:r>
    </w:p>
    <w:p w14:paraId="7755B6A8">
      <w:pPr>
        <w:rPr>
          <w:rFonts w:eastAsia="黑体"/>
          <w:sz w:val="64"/>
          <w:szCs w:val="36"/>
        </w:rPr>
      </w:pPr>
      <w:r>
        <w:rPr>
          <w:rFonts w:hint="eastAsia"/>
          <w:lang w:val="en-US" w:eastAsia="zh-CN"/>
        </w:rPr>
        <w:t>二〇二五</w:t>
      </w:r>
      <w:r>
        <w:t>年</w:t>
      </w:r>
      <w:r>
        <w:rPr>
          <w:rFonts w:hint="eastAsia"/>
          <w:lang w:val="en-US" w:eastAsia="zh-CN"/>
        </w:rPr>
        <w:t>五</w:t>
      </w:r>
      <w:r>
        <w:t>月</w:t>
      </w:r>
    </w:p>
    <w:p w14:paraId="20838FBF">
      <w:pPr>
        <w:spacing w:after="120"/>
        <w:jc w:val="both"/>
        <w:rPr>
          <w:sz w:val="28"/>
        </w:rPr>
      </w:pPr>
    </w:p>
    <w:p w14:paraId="3C223D6E">
      <w:pPr>
        <w:jc w:val="both"/>
        <w:sectPr>
          <w:footerReference r:id="rId5" w:type="default"/>
          <w:pgSz w:w="11906" w:h="16838"/>
          <w:pgMar w:top="1440" w:right="1800" w:bottom="1440" w:left="1800" w:header="851" w:footer="992" w:gutter="0"/>
          <w:pgNumType w:fmt="upperRoman" w:start="1"/>
          <w:cols w:space="720" w:num="1"/>
          <w:titlePg/>
          <w:docGrid w:type="lines" w:linePitch="435" w:charSpace="0"/>
        </w:sectPr>
      </w:pPr>
    </w:p>
    <w:p w14:paraId="77099445">
      <w:pPr>
        <w:spacing w:before="156" w:beforeLines="50" w:after="156" w:afterLines="50"/>
        <w:rPr>
          <w:sz w:val="36"/>
          <w:szCs w:val="36"/>
        </w:rPr>
      </w:pPr>
      <w:bookmarkStart w:id="1" w:name="_Toc135998484"/>
      <w:bookmarkStart w:id="2" w:name="_Toc26170"/>
      <w:bookmarkStart w:id="3" w:name="_Toc22902"/>
      <w:bookmarkStart w:id="4" w:name="_Toc23739"/>
      <w:bookmarkStart w:id="5" w:name="_Toc70"/>
      <w:bookmarkStart w:id="6" w:name="_Toc25620"/>
      <w:bookmarkStart w:id="7" w:name="_Toc32415"/>
      <w:bookmarkStart w:id="8" w:name="_Toc11596"/>
      <w:bookmarkStart w:id="9" w:name="_Toc22142"/>
      <w:bookmarkStart w:id="10" w:name="_Toc16239"/>
      <w:bookmarkStart w:id="11" w:name="_Toc31321"/>
      <w:bookmarkStart w:id="12" w:name="_Toc7522"/>
      <w:bookmarkStart w:id="13" w:name="_Toc25630"/>
      <w:bookmarkStart w:id="14" w:name="_Toc7515"/>
      <w:bookmarkStart w:id="15" w:name="_Toc1422"/>
      <w:bookmarkStart w:id="16" w:name="_Toc136261947"/>
      <w:bookmarkStart w:id="17" w:name="_Toc3437"/>
      <w:bookmarkStart w:id="18" w:name="_Toc106885432"/>
      <w:bookmarkStart w:id="19" w:name="_Toc28967"/>
      <w:bookmarkStart w:id="20" w:name="_Toc2900"/>
      <w:bookmarkStart w:id="21" w:name="_Toc15521"/>
      <w:bookmarkStart w:id="22" w:name="_Toc27009"/>
      <w:bookmarkStart w:id="23" w:name="_Toc10890"/>
      <w:r>
        <w:rPr>
          <w:sz w:val="36"/>
          <w:szCs w:val="36"/>
        </w:rPr>
        <w:t>前  言</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72E0B54B">
      <w:pPr>
        <w:ind w:firstLine="640" w:firstLineChars="200"/>
        <w:jc w:val="both"/>
        <w:rPr>
          <w:rFonts w:eastAsia="仿宋_GB2312"/>
        </w:rPr>
      </w:pPr>
      <w:r>
        <w:rPr>
          <w:rFonts w:eastAsia="仿宋_GB2312"/>
        </w:rPr>
        <w:t>为深入贯彻落实习近平总书记在新时代推动东北全面振兴座谈会和视察我省时的重要讲话精神，贯彻《中共中央</w:t>
      </w:r>
      <w:r>
        <w:rPr>
          <w:rFonts w:hint="eastAsia" w:eastAsia="仿宋_GB2312"/>
        </w:rPr>
        <w:t>、</w:t>
      </w:r>
      <w:r>
        <w:rPr>
          <w:rFonts w:eastAsia="仿宋_GB2312"/>
        </w:rPr>
        <w:t>国务院关于建立国土空间规划体系并监督实施的若干意见》，落实《自然资源部关于全面开展国土空间规划工作的通知》（自然资发〔2019〕87号），按照党中央、国务院的要求，桦川县积极组织国土空间总体规划的编制工作，建立国土空间规划体系并监督实施，将主体功能区规划、土地利用规划、城乡规划等空间规划融合为统一的国土空间总体规划，提高规划的科学性，实现“多规合一”。</w:t>
      </w:r>
    </w:p>
    <w:p w14:paraId="1E923A85">
      <w:pPr>
        <w:ind w:firstLine="640" w:firstLineChars="200"/>
        <w:jc w:val="both"/>
        <w:rPr>
          <w:rFonts w:eastAsia="仿宋_GB2312"/>
        </w:rPr>
      </w:pPr>
      <w:r>
        <w:rPr>
          <w:rFonts w:eastAsia="仿宋_GB2312"/>
        </w:rPr>
        <w:t>本次国土空间总体规划是对横头山镇镇域范围内国土空间保护、开发、利用、修复作出的综合部署和总体安排。在具体落实桦川县国土空间总体规划要求下，在第三次国土调查的基础上，结合横头山镇的资源和环境条件，谋划横头山镇国土空间开发保护的总体格局，落实耕地和永久基本农田保护线、生态保护红线、城镇开发边界“三条控制线”，明确划分“生产、生态、生活”空间，优化配置支撑国土空间开发利用的基础设施体系、安全体系和国土综合整治与生态修复的统筹部署，对城镇发展建设的各项工作进行统筹安排。</w:t>
      </w:r>
    </w:p>
    <w:p w14:paraId="3D19779F">
      <w:pPr>
        <w:pStyle w:val="2"/>
      </w:pPr>
    </w:p>
    <w:p w14:paraId="265DC425">
      <w:pPr>
        <w:tabs>
          <w:tab w:val="left" w:pos="420"/>
          <w:tab w:val="left" w:pos="840"/>
          <w:tab w:val="left" w:pos="1260"/>
          <w:tab w:val="left" w:pos="1680"/>
          <w:tab w:val="left" w:pos="2100"/>
          <w:tab w:val="left" w:pos="2520"/>
          <w:tab w:val="left" w:pos="2940"/>
          <w:tab w:val="left" w:pos="3360"/>
          <w:tab w:val="left" w:pos="3780"/>
          <w:tab w:val="center" w:pos="4156"/>
          <w:tab w:val="left" w:pos="4200"/>
          <w:tab w:val="left" w:pos="5115"/>
        </w:tabs>
        <w:jc w:val="left"/>
        <w:sectPr>
          <w:footerReference r:id="rId6" w:type="default"/>
          <w:pgSz w:w="11906" w:h="16838"/>
          <w:pgMar w:top="1440" w:right="1797" w:bottom="1440" w:left="1797" w:header="851" w:footer="992" w:gutter="0"/>
          <w:cols w:space="0" w:num="1"/>
          <w:docGrid w:type="lines" w:linePitch="312" w:charSpace="0"/>
        </w:sectPr>
      </w:pPr>
      <w:r>
        <w:tab/>
      </w:r>
      <w:r>
        <w:tab/>
      </w:r>
      <w:r>
        <w:tab/>
      </w:r>
      <w:r>
        <w:tab/>
      </w:r>
      <w:r>
        <w:tab/>
      </w:r>
      <w:r>
        <w:tab/>
      </w:r>
      <w:r>
        <w:tab/>
      </w:r>
      <w:r>
        <w:tab/>
      </w:r>
      <w:r>
        <w:tab/>
      </w:r>
      <w:r>
        <w:tab/>
      </w:r>
      <w:r>
        <w:tab/>
      </w:r>
      <w:r>
        <w:tab/>
      </w:r>
      <w:r>
        <w:tab/>
      </w:r>
    </w:p>
    <w:p w14:paraId="2E960612">
      <w:pPr>
        <w:pStyle w:val="2"/>
      </w:pPr>
      <w:r>
        <w:rPr>
          <w:rFonts w:hint="eastAsia"/>
        </w:rPr>
        <w:t>目  录</w:t>
      </w:r>
    </w:p>
    <w:sdt>
      <w:sdtPr>
        <w:id w:val="147463441"/>
        <w15:color w:val="DBDBDB"/>
        <w:docPartObj>
          <w:docPartGallery w:val="Table of Contents"/>
          <w:docPartUnique/>
        </w:docPartObj>
      </w:sdtPr>
      <w:sdtEndPr>
        <w:rPr>
          <w:b/>
          <w:sz w:val="28"/>
        </w:rPr>
      </w:sdtEndPr>
      <w:sdtContent>
        <w:p w14:paraId="7267E288">
          <w:pPr>
            <w:spacing w:line="240" w:lineRule="auto"/>
            <w:rPr>
              <w:sz w:val="10"/>
              <w:szCs w:val="10"/>
            </w:rPr>
          </w:pPr>
        </w:p>
        <w:p w14:paraId="0947F344">
          <w:pPr>
            <w:pStyle w:val="12"/>
            <w:tabs>
              <w:tab w:val="right" w:leader="dot" w:pos="8312"/>
              <w:tab w:val="clear" w:pos="8302"/>
            </w:tabs>
          </w:pPr>
          <w:r>
            <w:rPr>
              <w:rFonts w:eastAsia="仿宋"/>
            </w:rPr>
            <w:fldChar w:fldCharType="begin"/>
          </w:r>
          <w:r>
            <w:rPr>
              <w:rFonts w:eastAsia="仿宋"/>
            </w:rPr>
            <w:instrText xml:space="preserve">TOC \o "1-2" \h \u </w:instrText>
          </w:r>
          <w:r>
            <w:rPr>
              <w:rFonts w:eastAsia="仿宋"/>
            </w:rPr>
            <w:fldChar w:fldCharType="separate"/>
          </w:r>
          <w:r>
            <w:rPr>
              <w:rFonts w:eastAsia="仿宋"/>
            </w:rPr>
            <w:fldChar w:fldCharType="begin"/>
          </w:r>
          <w:r>
            <w:rPr>
              <w:rFonts w:eastAsia="仿宋"/>
            </w:rPr>
            <w:instrText xml:space="preserve"> HYPERLINK \l _Toc8767 </w:instrText>
          </w:r>
          <w:r>
            <w:rPr>
              <w:rFonts w:eastAsia="仿宋"/>
            </w:rPr>
            <w:fldChar w:fldCharType="separate"/>
          </w:r>
          <w:r>
            <w:rPr>
              <w:bCs/>
              <w:szCs w:val="36"/>
            </w:rPr>
            <w:t>第一章 规划总则</w:t>
          </w:r>
          <w:r>
            <w:tab/>
          </w:r>
          <w:r>
            <w:fldChar w:fldCharType="begin"/>
          </w:r>
          <w:r>
            <w:instrText xml:space="preserve"> PAGEREF _Toc8767 \h </w:instrText>
          </w:r>
          <w:r>
            <w:fldChar w:fldCharType="separate"/>
          </w:r>
          <w:r>
            <w:t>1</w:t>
          </w:r>
          <w:r>
            <w:fldChar w:fldCharType="end"/>
          </w:r>
          <w:r>
            <w:rPr>
              <w:rFonts w:eastAsia="仿宋"/>
            </w:rPr>
            <w:fldChar w:fldCharType="end"/>
          </w:r>
        </w:p>
        <w:p w14:paraId="05208E90">
          <w:pPr>
            <w:pStyle w:val="12"/>
            <w:tabs>
              <w:tab w:val="right" w:leader="dot" w:pos="8312"/>
              <w:tab w:val="clear" w:pos="8302"/>
            </w:tabs>
          </w:pPr>
          <w:r>
            <w:rPr>
              <w:rFonts w:eastAsia="仿宋"/>
            </w:rPr>
            <w:fldChar w:fldCharType="begin"/>
          </w:r>
          <w:r>
            <w:rPr>
              <w:rFonts w:eastAsia="仿宋"/>
            </w:rPr>
            <w:instrText xml:space="preserve"> HYPERLINK \l _Toc29987 </w:instrText>
          </w:r>
          <w:r>
            <w:rPr>
              <w:rFonts w:eastAsia="仿宋"/>
            </w:rPr>
            <w:fldChar w:fldCharType="separate"/>
          </w:r>
          <w:r>
            <w:rPr>
              <w:bCs/>
              <w:szCs w:val="36"/>
            </w:rPr>
            <w:t>第二章 目标定位与空间策略</w:t>
          </w:r>
          <w:r>
            <w:tab/>
          </w:r>
          <w:r>
            <w:fldChar w:fldCharType="begin"/>
          </w:r>
          <w:r>
            <w:instrText xml:space="preserve"> PAGEREF _Toc29987 \h </w:instrText>
          </w:r>
          <w:r>
            <w:fldChar w:fldCharType="separate"/>
          </w:r>
          <w:r>
            <w:t>7</w:t>
          </w:r>
          <w:r>
            <w:fldChar w:fldCharType="end"/>
          </w:r>
          <w:r>
            <w:rPr>
              <w:rFonts w:eastAsia="仿宋"/>
            </w:rPr>
            <w:fldChar w:fldCharType="end"/>
          </w:r>
        </w:p>
        <w:p w14:paraId="598834C7">
          <w:pPr>
            <w:pStyle w:val="13"/>
            <w:tabs>
              <w:tab w:val="right" w:leader="dot" w:pos="8312"/>
              <w:tab w:val="clear" w:pos="8302"/>
            </w:tabs>
          </w:pPr>
          <w:r>
            <w:rPr>
              <w:rFonts w:eastAsia="仿宋"/>
            </w:rPr>
            <w:fldChar w:fldCharType="begin"/>
          </w:r>
          <w:r>
            <w:rPr>
              <w:rFonts w:eastAsia="仿宋"/>
            </w:rPr>
            <w:instrText xml:space="preserve"> HYPERLINK \l _Toc19829 </w:instrText>
          </w:r>
          <w:r>
            <w:rPr>
              <w:rFonts w:eastAsia="仿宋"/>
            </w:rPr>
            <w:fldChar w:fldCharType="separate"/>
          </w:r>
          <w:r>
            <w:rPr>
              <w:rFonts w:eastAsia="黑体"/>
            </w:rPr>
            <w:t>第一节 规划定位</w:t>
          </w:r>
          <w:r>
            <w:tab/>
          </w:r>
          <w:r>
            <w:fldChar w:fldCharType="begin"/>
          </w:r>
          <w:r>
            <w:instrText xml:space="preserve"> PAGEREF _Toc19829 \h </w:instrText>
          </w:r>
          <w:r>
            <w:fldChar w:fldCharType="separate"/>
          </w:r>
          <w:r>
            <w:t>7</w:t>
          </w:r>
          <w:r>
            <w:fldChar w:fldCharType="end"/>
          </w:r>
          <w:r>
            <w:rPr>
              <w:rFonts w:eastAsia="仿宋"/>
            </w:rPr>
            <w:fldChar w:fldCharType="end"/>
          </w:r>
        </w:p>
        <w:p w14:paraId="6592F8AE">
          <w:pPr>
            <w:pStyle w:val="13"/>
            <w:tabs>
              <w:tab w:val="right" w:leader="dot" w:pos="8312"/>
              <w:tab w:val="clear" w:pos="8302"/>
            </w:tabs>
          </w:pPr>
          <w:r>
            <w:rPr>
              <w:rFonts w:eastAsia="仿宋"/>
            </w:rPr>
            <w:fldChar w:fldCharType="begin"/>
          </w:r>
          <w:r>
            <w:rPr>
              <w:rFonts w:eastAsia="仿宋"/>
            </w:rPr>
            <w:instrText xml:space="preserve"> HYPERLINK \l _Toc30195 </w:instrText>
          </w:r>
          <w:r>
            <w:rPr>
              <w:rFonts w:eastAsia="仿宋"/>
            </w:rPr>
            <w:fldChar w:fldCharType="separate"/>
          </w:r>
          <w:r>
            <w:rPr>
              <w:rFonts w:eastAsia="黑体"/>
            </w:rPr>
            <w:t>第二节 国土空间开发保护目标</w:t>
          </w:r>
          <w:r>
            <w:tab/>
          </w:r>
          <w:r>
            <w:fldChar w:fldCharType="begin"/>
          </w:r>
          <w:r>
            <w:instrText xml:space="preserve"> PAGEREF _Toc30195 \h </w:instrText>
          </w:r>
          <w:r>
            <w:fldChar w:fldCharType="separate"/>
          </w:r>
          <w:r>
            <w:t>7</w:t>
          </w:r>
          <w:r>
            <w:fldChar w:fldCharType="end"/>
          </w:r>
          <w:r>
            <w:rPr>
              <w:rFonts w:eastAsia="仿宋"/>
            </w:rPr>
            <w:fldChar w:fldCharType="end"/>
          </w:r>
        </w:p>
        <w:p w14:paraId="27AE0B7F">
          <w:pPr>
            <w:pStyle w:val="13"/>
            <w:tabs>
              <w:tab w:val="right" w:leader="dot" w:pos="8312"/>
              <w:tab w:val="clear" w:pos="8302"/>
            </w:tabs>
          </w:pPr>
          <w:r>
            <w:rPr>
              <w:rFonts w:eastAsia="仿宋"/>
            </w:rPr>
            <w:fldChar w:fldCharType="begin"/>
          </w:r>
          <w:r>
            <w:rPr>
              <w:rFonts w:eastAsia="仿宋"/>
            </w:rPr>
            <w:instrText xml:space="preserve"> HYPERLINK \l _Toc15049 </w:instrText>
          </w:r>
          <w:r>
            <w:rPr>
              <w:rFonts w:eastAsia="仿宋"/>
            </w:rPr>
            <w:fldChar w:fldCharType="separate"/>
          </w:r>
          <w:r>
            <w:rPr>
              <w:rFonts w:eastAsia="黑体"/>
            </w:rPr>
            <w:t>第三节 空间策略</w:t>
          </w:r>
          <w:r>
            <w:tab/>
          </w:r>
          <w:r>
            <w:fldChar w:fldCharType="begin"/>
          </w:r>
          <w:r>
            <w:instrText xml:space="preserve"> PAGEREF _Toc15049 \h </w:instrText>
          </w:r>
          <w:r>
            <w:fldChar w:fldCharType="separate"/>
          </w:r>
          <w:r>
            <w:t>8</w:t>
          </w:r>
          <w:r>
            <w:fldChar w:fldCharType="end"/>
          </w:r>
          <w:r>
            <w:rPr>
              <w:rFonts w:eastAsia="仿宋"/>
            </w:rPr>
            <w:fldChar w:fldCharType="end"/>
          </w:r>
        </w:p>
        <w:p w14:paraId="66A30BD8">
          <w:pPr>
            <w:pStyle w:val="13"/>
            <w:tabs>
              <w:tab w:val="right" w:leader="dot" w:pos="8312"/>
              <w:tab w:val="clear" w:pos="8302"/>
            </w:tabs>
          </w:pPr>
          <w:r>
            <w:rPr>
              <w:rFonts w:eastAsia="仿宋"/>
            </w:rPr>
            <w:fldChar w:fldCharType="begin"/>
          </w:r>
          <w:r>
            <w:rPr>
              <w:rFonts w:eastAsia="仿宋"/>
            </w:rPr>
            <w:instrText xml:space="preserve"> HYPERLINK \l _Toc31044 </w:instrText>
          </w:r>
          <w:r>
            <w:rPr>
              <w:rFonts w:eastAsia="仿宋"/>
            </w:rPr>
            <w:fldChar w:fldCharType="separate"/>
          </w:r>
          <w:r>
            <w:rPr>
              <w:rFonts w:eastAsia="黑体"/>
            </w:rPr>
            <w:t>第四节 上位规划约束传导</w:t>
          </w:r>
          <w:r>
            <w:tab/>
          </w:r>
          <w:r>
            <w:fldChar w:fldCharType="begin"/>
          </w:r>
          <w:r>
            <w:instrText xml:space="preserve"> PAGEREF _Toc31044 \h </w:instrText>
          </w:r>
          <w:r>
            <w:fldChar w:fldCharType="separate"/>
          </w:r>
          <w:r>
            <w:t>11</w:t>
          </w:r>
          <w:r>
            <w:fldChar w:fldCharType="end"/>
          </w:r>
          <w:r>
            <w:rPr>
              <w:rFonts w:eastAsia="仿宋"/>
            </w:rPr>
            <w:fldChar w:fldCharType="end"/>
          </w:r>
        </w:p>
        <w:p w14:paraId="6F825641">
          <w:pPr>
            <w:pStyle w:val="12"/>
            <w:tabs>
              <w:tab w:val="right" w:leader="dot" w:pos="8312"/>
              <w:tab w:val="clear" w:pos="8302"/>
            </w:tabs>
          </w:pPr>
          <w:r>
            <w:rPr>
              <w:rFonts w:eastAsia="仿宋"/>
            </w:rPr>
            <w:fldChar w:fldCharType="begin"/>
          </w:r>
          <w:r>
            <w:rPr>
              <w:rFonts w:eastAsia="仿宋"/>
            </w:rPr>
            <w:instrText xml:space="preserve"> HYPERLINK \l _Toc32525 </w:instrText>
          </w:r>
          <w:r>
            <w:rPr>
              <w:rFonts w:eastAsia="仿宋"/>
            </w:rPr>
            <w:fldChar w:fldCharType="separate"/>
          </w:r>
          <w:r>
            <w:rPr>
              <w:bCs/>
              <w:szCs w:val="36"/>
            </w:rPr>
            <w:t>第三章 国土空间格局</w:t>
          </w:r>
          <w:r>
            <w:tab/>
          </w:r>
          <w:r>
            <w:fldChar w:fldCharType="begin"/>
          </w:r>
          <w:r>
            <w:instrText xml:space="preserve"> PAGEREF _Toc32525 \h </w:instrText>
          </w:r>
          <w:r>
            <w:fldChar w:fldCharType="separate"/>
          </w:r>
          <w:r>
            <w:t>12</w:t>
          </w:r>
          <w:r>
            <w:fldChar w:fldCharType="end"/>
          </w:r>
          <w:r>
            <w:rPr>
              <w:rFonts w:eastAsia="仿宋"/>
            </w:rPr>
            <w:fldChar w:fldCharType="end"/>
          </w:r>
        </w:p>
        <w:p w14:paraId="4E63C5A9">
          <w:pPr>
            <w:pStyle w:val="13"/>
            <w:tabs>
              <w:tab w:val="right" w:leader="dot" w:pos="8312"/>
              <w:tab w:val="clear" w:pos="8302"/>
            </w:tabs>
          </w:pPr>
          <w:r>
            <w:rPr>
              <w:rFonts w:eastAsia="仿宋"/>
            </w:rPr>
            <w:fldChar w:fldCharType="begin"/>
          </w:r>
          <w:r>
            <w:rPr>
              <w:rFonts w:eastAsia="仿宋"/>
            </w:rPr>
            <w:instrText xml:space="preserve"> HYPERLINK \l _Toc12658 </w:instrText>
          </w:r>
          <w:r>
            <w:rPr>
              <w:rFonts w:eastAsia="仿宋"/>
            </w:rPr>
            <w:fldChar w:fldCharType="separate"/>
          </w:r>
          <w:r>
            <w:rPr>
              <w:rFonts w:eastAsia="黑体"/>
            </w:rPr>
            <w:t>第一节 区域协同发展</w:t>
          </w:r>
          <w:r>
            <w:tab/>
          </w:r>
          <w:r>
            <w:fldChar w:fldCharType="begin"/>
          </w:r>
          <w:r>
            <w:instrText xml:space="preserve"> PAGEREF _Toc12658 \h </w:instrText>
          </w:r>
          <w:r>
            <w:fldChar w:fldCharType="separate"/>
          </w:r>
          <w:r>
            <w:t>12</w:t>
          </w:r>
          <w:r>
            <w:fldChar w:fldCharType="end"/>
          </w:r>
          <w:r>
            <w:rPr>
              <w:rFonts w:eastAsia="仿宋"/>
            </w:rPr>
            <w:fldChar w:fldCharType="end"/>
          </w:r>
        </w:p>
        <w:p w14:paraId="2D46A2E7">
          <w:pPr>
            <w:pStyle w:val="13"/>
            <w:tabs>
              <w:tab w:val="right" w:leader="dot" w:pos="8312"/>
              <w:tab w:val="clear" w:pos="8302"/>
            </w:tabs>
          </w:pPr>
          <w:r>
            <w:rPr>
              <w:rFonts w:eastAsia="仿宋"/>
            </w:rPr>
            <w:fldChar w:fldCharType="begin"/>
          </w:r>
          <w:r>
            <w:rPr>
              <w:rFonts w:eastAsia="仿宋"/>
            </w:rPr>
            <w:instrText xml:space="preserve"> HYPERLINK \l _Toc30904 </w:instrText>
          </w:r>
          <w:r>
            <w:rPr>
              <w:rFonts w:eastAsia="仿宋"/>
            </w:rPr>
            <w:fldChar w:fldCharType="separate"/>
          </w:r>
          <w:r>
            <w:rPr>
              <w:rFonts w:eastAsia="黑体"/>
            </w:rPr>
            <w:t>第</w:t>
          </w:r>
          <w:r>
            <w:rPr>
              <w:rFonts w:hint="eastAsia" w:eastAsia="黑体"/>
              <w:lang w:val="en-US" w:eastAsia="zh-CN"/>
            </w:rPr>
            <w:t>二</w:t>
          </w:r>
          <w:r>
            <w:rPr>
              <w:rFonts w:eastAsia="黑体"/>
            </w:rPr>
            <w:t>节 落实主体功能区传导</w:t>
          </w:r>
          <w:r>
            <w:tab/>
          </w:r>
          <w:r>
            <w:fldChar w:fldCharType="begin"/>
          </w:r>
          <w:r>
            <w:instrText xml:space="preserve"> PAGEREF _Toc30904 \h </w:instrText>
          </w:r>
          <w:r>
            <w:fldChar w:fldCharType="separate"/>
          </w:r>
          <w:r>
            <w:t>12</w:t>
          </w:r>
          <w:r>
            <w:fldChar w:fldCharType="end"/>
          </w:r>
          <w:r>
            <w:rPr>
              <w:rFonts w:eastAsia="仿宋"/>
            </w:rPr>
            <w:fldChar w:fldCharType="end"/>
          </w:r>
        </w:p>
        <w:p w14:paraId="77D84B7D">
          <w:pPr>
            <w:pStyle w:val="13"/>
            <w:tabs>
              <w:tab w:val="right" w:leader="dot" w:pos="8312"/>
              <w:tab w:val="clear" w:pos="8302"/>
            </w:tabs>
          </w:pPr>
          <w:r>
            <w:rPr>
              <w:rFonts w:eastAsia="仿宋"/>
            </w:rPr>
            <w:fldChar w:fldCharType="begin"/>
          </w:r>
          <w:r>
            <w:rPr>
              <w:rFonts w:eastAsia="仿宋"/>
            </w:rPr>
            <w:instrText xml:space="preserve"> HYPERLINK \l _Toc19066 </w:instrText>
          </w:r>
          <w:r>
            <w:rPr>
              <w:rFonts w:eastAsia="仿宋"/>
            </w:rPr>
            <w:fldChar w:fldCharType="separate"/>
          </w:r>
          <w:r>
            <w:rPr>
              <w:rFonts w:eastAsia="黑体"/>
            </w:rPr>
            <w:t>第四节 总体空间格局</w:t>
          </w:r>
          <w:r>
            <w:tab/>
          </w:r>
          <w:r>
            <w:fldChar w:fldCharType="begin"/>
          </w:r>
          <w:r>
            <w:instrText xml:space="preserve"> PAGEREF _Toc19066 \h </w:instrText>
          </w:r>
          <w:r>
            <w:fldChar w:fldCharType="separate"/>
          </w:r>
          <w:r>
            <w:t>13</w:t>
          </w:r>
          <w:r>
            <w:fldChar w:fldCharType="end"/>
          </w:r>
          <w:r>
            <w:rPr>
              <w:rFonts w:eastAsia="仿宋"/>
            </w:rPr>
            <w:fldChar w:fldCharType="end"/>
          </w:r>
        </w:p>
        <w:p w14:paraId="4DC9D468">
          <w:pPr>
            <w:pStyle w:val="13"/>
            <w:tabs>
              <w:tab w:val="right" w:leader="dot" w:pos="8312"/>
              <w:tab w:val="clear" w:pos="8302"/>
            </w:tabs>
          </w:pPr>
          <w:r>
            <w:rPr>
              <w:rFonts w:eastAsia="仿宋"/>
            </w:rPr>
            <w:fldChar w:fldCharType="begin"/>
          </w:r>
          <w:r>
            <w:rPr>
              <w:rFonts w:eastAsia="仿宋"/>
            </w:rPr>
            <w:instrText xml:space="preserve"> HYPERLINK \l _Toc21927 </w:instrText>
          </w:r>
          <w:r>
            <w:rPr>
              <w:rFonts w:eastAsia="仿宋"/>
            </w:rPr>
            <w:fldChar w:fldCharType="separate"/>
          </w:r>
          <w:r>
            <w:rPr>
              <w:rFonts w:eastAsia="黑体"/>
            </w:rPr>
            <w:t>第五节 规划分区</w:t>
          </w:r>
          <w:r>
            <w:tab/>
          </w:r>
          <w:r>
            <w:fldChar w:fldCharType="begin"/>
          </w:r>
          <w:r>
            <w:instrText xml:space="preserve"> PAGEREF _Toc21927 \h </w:instrText>
          </w:r>
          <w:r>
            <w:fldChar w:fldCharType="separate"/>
          </w:r>
          <w:r>
            <w:t>13</w:t>
          </w:r>
          <w:r>
            <w:fldChar w:fldCharType="end"/>
          </w:r>
          <w:r>
            <w:rPr>
              <w:rFonts w:eastAsia="仿宋"/>
            </w:rPr>
            <w:fldChar w:fldCharType="end"/>
          </w:r>
        </w:p>
        <w:p w14:paraId="0B4074FA">
          <w:pPr>
            <w:pStyle w:val="13"/>
            <w:tabs>
              <w:tab w:val="right" w:leader="dot" w:pos="8312"/>
              <w:tab w:val="clear" w:pos="8302"/>
            </w:tabs>
          </w:pPr>
          <w:r>
            <w:rPr>
              <w:rFonts w:eastAsia="仿宋"/>
            </w:rPr>
            <w:fldChar w:fldCharType="begin"/>
          </w:r>
          <w:r>
            <w:rPr>
              <w:rFonts w:eastAsia="仿宋"/>
            </w:rPr>
            <w:instrText xml:space="preserve"> HYPERLINK \l _Toc3381 </w:instrText>
          </w:r>
          <w:r>
            <w:rPr>
              <w:rFonts w:eastAsia="仿宋"/>
            </w:rPr>
            <w:fldChar w:fldCharType="separate"/>
          </w:r>
          <w:r>
            <w:rPr>
              <w:rFonts w:eastAsia="黑体"/>
            </w:rPr>
            <w:t>第六节 国土空间用地用途和结构调整</w:t>
          </w:r>
          <w:r>
            <w:tab/>
          </w:r>
          <w:r>
            <w:fldChar w:fldCharType="begin"/>
          </w:r>
          <w:r>
            <w:instrText xml:space="preserve"> PAGEREF _Toc3381 \h </w:instrText>
          </w:r>
          <w:r>
            <w:fldChar w:fldCharType="separate"/>
          </w:r>
          <w:r>
            <w:t>14</w:t>
          </w:r>
          <w:r>
            <w:fldChar w:fldCharType="end"/>
          </w:r>
          <w:r>
            <w:rPr>
              <w:rFonts w:eastAsia="仿宋"/>
            </w:rPr>
            <w:fldChar w:fldCharType="end"/>
          </w:r>
        </w:p>
        <w:p w14:paraId="5ABF4EAD">
          <w:pPr>
            <w:pStyle w:val="12"/>
            <w:tabs>
              <w:tab w:val="right" w:leader="dot" w:pos="8312"/>
              <w:tab w:val="clear" w:pos="8302"/>
            </w:tabs>
          </w:pPr>
          <w:r>
            <w:rPr>
              <w:rFonts w:eastAsia="仿宋"/>
            </w:rPr>
            <w:fldChar w:fldCharType="begin"/>
          </w:r>
          <w:r>
            <w:rPr>
              <w:rFonts w:eastAsia="仿宋"/>
            </w:rPr>
            <w:instrText xml:space="preserve"> HYPERLINK \l _Toc3068 </w:instrText>
          </w:r>
          <w:r>
            <w:rPr>
              <w:rFonts w:eastAsia="仿宋"/>
            </w:rPr>
            <w:fldChar w:fldCharType="separate"/>
          </w:r>
          <w:r>
            <w:rPr>
              <w:bCs/>
              <w:szCs w:val="36"/>
            </w:rPr>
            <w:t>第四章 空间布局优化</w:t>
          </w:r>
          <w:r>
            <w:tab/>
          </w:r>
          <w:r>
            <w:fldChar w:fldCharType="begin"/>
          </w:r>
          <w:r>
            <w:instrText xml:space="preserve"> PAGEREF _Toc3068 \h </w:instrText>
          </w:r>
          <w:r>
            <w:fldChar w:fldCharType="separate"/>
          </w:r>
          <w:r>
            <w:t>16</w:t>
          </w:r>
          <w:r>
            <w:fldChar w:fldCharType="end"/>
          </w:r>
          <w:r>
            <w:rPr>
              <w:rFonts w:eastAsia="仿宋"/>
            </w:rPr>
            <w:fldChar w:fldCharType="end"/>
          </w:r>
        </w:p>
        <w:p w14:paraId="5BF58CBF">
          <w:pPr>
            <w:pStyle w:val="13"/>
            <w:tabs>
              <w:tab w:val="right" w:leader="dot" w:pos="8312"/>
              <w:tab w:val="clear" w:pos="8302"/>
            </w:tabs>
          </w:pPr>
          <w:r>
            <w:rPr>
              <w:rFonts w:eastAsia="仿宋"/>
            </w:rPr>
            <w:fldChar w:fldCharType="begin"/>
          </w:r>
          <w:r>
            <w:rPr>
              <w:rFonts w:eastAsia="仿宋"/>
            </w:rPr>
            <w:instrText xml:space="preserve"> HYPERLINK \l _Toc19777 </w:instrText>
          </w:r>
          <w:r>
            <w:rPr>
              <w:rFonts w:eastAsia="仿宋"/>
            </w:rPr>
            <w:fldChar w:fldCharType="separate"/>
          </w:r>
          <w:r>
            <w:rPr>
              <w:rFonts w:eastAsia="黑体"/>
            </w:rPr>
            <w:t>第一节 农业生产空间</w:t>
          </w:r>
          <w:r>
            <w:tab/>
          </w:r>
          <w:r>
            <w:fldChar w:fldCharType="begin"/>
          </w:r>
          <w:r>
            <w:instrText xml:space="preserve"> PAGEREF _Toc19777 \h </w:instrText>
          </w:r>
          <w:r>
            <w:fldChar w:fldCharType="separate"/>
          </w:r>
          <w:r>
            <w:t>16</w:t>
          </w:r>
          <w:r>
            <w:fldChar w:fldCharType="end"/>
          </w:r>
          <w:r>
            <w:rPr>
              <w:rFonts w:eastAsia="仿宋"/>
            </w:rPr>
            <w:fldChar w:fldCharType="end"/>
          </w:r>
        </w:p>
        <w:p w14:paraId="573BE8CE">
          <w:pPr>
            <w:pStyle w:val="13"/>
            <w:tabs>
              <w:tab w:val="right" w:leader="dot" w:pos="8312"/>
              <w:tab w:val="clear" w:pos="8302"/>
            </w:tabs>
          </w:pPr>
          <w:r>
            <w:rPr>
              <w:rFonts w:eastAsia="仿宋"/>
            </w:rPr>
            <w:fldChar w:fldCharType="begin"/>
          </w:r>
          <w:r>
            <w:rPr>
              <w:rFonts w:eastAsia="仿宋"/>
            </w:rPr>
            <w:instrText xml:space="preserve"> HYPERLINK \l _Toc1753 </w:instrText>
          </w:r>
          <w:r>
            <w:rPr>
              <w:rFonts w:eastAsia="仿宋"/>
            </w:rPr>
            <w:fldChar w:fldCharType="separate"/>
          </w:r>
          <w:r>
            <w:rPr>
              <w:rFonts w:eastAsia="黑体"/>
            </w:rPr>
            <w:t>第二节 生态功能空间</w:t>
          </w:r>
          <w:r>
            <w:tab/>
          </w:r>
          <w:r>
            <w:fldChar w:fldCharType="begin"/>
          </w:r>
          <w:r>
            <w:instrText xml:space="preserve"> PAGEREF _Toc1753 \h </w:instrText>
          </w:r>
          <w:r>
            <w:fldChar w:fldCharType="separate"/>
          </w:r>
          <w:r>
            <w:t>16</w:t>
          </w:r>
          <w:r>
            <w:fldChar w:fldCharType="end"/>
          </w:r>
          <w:r>
            <w:rPr>
              <w:rFonts w:eastAsia="仿宋"/>
            </w:rPr>
            <w:fldChar w:fldCharType="end"/>
          </w:r>
        </w:p>
        <w:p w14:paraId="64F6A2F8">
          <w:pPr>
            <w:pStyle w:val="13"/>
            <w:tabs>
              <w:tab w:val="right" w:leader="dot" w:pos="8312"/>
              <w:tab w:val="clear" w:pos="8302"/>
            </w:tabs>
          </w:pPr>
          <w:r>
            <w:rPr>
              <w:rFonts w:eastAsia="仿宋"/>
            </w:rPr>
            <w:fldChar w:fldCharType="begin"/>
          </w:r>
          <w:r>
            <w:rPr>
              <w:rFonts w:eastAsia="仿宋"/>
            </w:rPr>
            <w:instrText xml:space="preserve"> HYPERLINK \l _Toc32584 </w:instrText>
          </w:r>
          <w:r>
            <w:rPr>
              <w:rFonts w:eastAsia="仿宋"/>
            </w:rPr>
            <w:fldChar w:fldCharType="separate"/>
          </w:r>
          <w:r>
            <w:rPr>
              <w:rFonts w:eastAsia="黑体"/>
            </w:rPr>
            <w:t>第三节 城乡建设空间</w:t>
          </w:r>
          <w:r>
            <w:tab/>
          </w:r>
          <w:r>
            <w:fldChar w:fldCharType="begin"/>
          </w:r>
          <w:r>
            <w:instrText xml:space="preserve"> PAGEREF _Toc32584 \h </w:instrText>
          </w:r>
          <w:r>
            <w:fldChar w:fldCharType="separate"/>
          </w:r>
          <w:r>
            <w:t>21</w:t>
          </w:r>
          <w:r>
            <w:fldChar w:fldCharType="end"/>
          </w:r>
          <w:r>
            <w:rPr>
              <w:rFonts w:eastAsia="仿宋"/>
            </w:rPr>
            <w:fldChar w:fldCharType="end"/>
          </w:r>
        </w:p>
        <w:p w14:paraId="64400D99">
          <w:pPr>
            <w:pStyle w:val="13"/>
            <w:tabs>
              <w:tab w:val="right" w:leader="dot" w:pos="8312"/>
              <w:tab w:val="clear" w:pos="8302"/>
            </w:tabs>
          </w:pPr>
          <w:r>
            <w:rPr>
              <w:rFonts w:eastAsia="仿宋"/>
            </w:rPr>
            <w:fldChar w:fldCharType="begin"/>
          </w:r>
          <w:r>
            <w:rPr>
              <w:rFonts w:eastAsia="仿宋"/>
            </w:rPr>
            <w:instrText xml:space="preserve"> HYPERLINK \l _Toc3592 </w:instrText>
          </w:r>
          <w:r>
            <w:rPr>
              <w:rFonts w:eastAsia="仿宋"/>
            </w:rPr>
            <w:fldChar w:fldCharType="separate"/>
          </w:r>
          <w:r>
            <w:rPr>
              <w:rFonts w:eastAsia="黑体"/>
            </w:rPr>
            <w:t>第四节 地下空间</w:t>
          </w:r>
          <w:r>
            <w:tab/>
          </w:r>
          <w:r>
            <w:fldChar w:fldCharType="begin"/>
          </w:r>
          <w:r>
            <w:instrText xml:space="preserve"> PAGEREF _Toc3592 \h </w:instrText>
          </w:r>
          <w:r>
            <w:fldChar w:fldCharType="separate"/>
          </w:r>
          <w:r>
            <w:t>22</w:t>
          </w:r>
          <w:r>
            <w:fldChar w:fldCharType="end"/>
          </w:r>
          <w:r>
            <w:rPr>
              <w:rFonts w:eastAsia="仿宋"/>
            </w:rPr>
            <w:fldChar w:fldCharType="end"/>
          </w:r>
        </w:p>
        <w:p w14:paraId="19CDB519">
          <w:pPr>
            <w:pStyle w:val="12"/>
            <w:tabs>
              <w:tab w:val="right" w:leader="dot" w:pos="8312"/>
              <w:tab w:val="clear" w:pos="8302"/>
            </w:tabs>
          </w:pPr>
          <w:r>
            <w:rPr>
              <w:rFonts w:eastAsia="仿宋"/>
            </w:rPr>
            <w:fldChar w:fldCharType="begin"/>
          </w:r>
          <w:r>
            <w:rPr>
              <w:rFonts w:eastAsia="仿宋"/>
            </w:rPr>
            <w:instrText xml:space="preserve"> HYPERLINK \l _Toc656 </w:instrText>
          </w:r>
          <w:r>
            <w:rPr>
              <w:rFonts w:eastAsia="仿宋"/>
            </w:rPr>
            <w:fldChar w:fldCharType="separate"/>
          </w:r>
          <w:r>
            <w:rPr>
              <w:bCs/>
              <w:szCs w:val="36"/>
            </w:rPr>
            <w:t>第五章 镇政府驻地用地布局</w:t>
          </w:r>
          <w:r>
            <w:tab/>
          </w:r>
          <w:r>
            <w:fldChar w:fldCharType="begin"/>
          </w:r>
          <w:r>
            <w:instrText xml:space="preserve"> PAGEREF _Toc656 \h </w:instrText>
          </w:r>
          <w:r>
            <w:fldChar w:fldCharType="separate"/>
          </w:r>
          <w:r>
            <w:t>24</w:t>
          </w:r>
          <w:r>
            <w:fldChar w:fldCharType="end"/>
          </w:r>
          <w:r>
            <w:rPr>
              <w:rFonts w:eastAsia="仿宋"/>
            </w:rPr>
            <w:fldChar w:fldCharType="end"/>
          </w:r>
        </w:p>
        <w:p w14:paraId="19BFBDDC">
          <w:pPr>
            <w:pStyle w:val="13"/>
            <w:tabs>
              <w:tab w:val="right" w:leader="dot" w:pos="8312"/>
              <w:tab w:val="clear" w:pos="8302"/>
            </w:tabs>
          </w:pPr>
          <w:r>
            <w:rPr>
              <w:rFonts w:eastAsia="仿宋"/>
            </w:rPr>
            <w:fldChar w:fldCharType="begin"/>
          </w:r>
          <w:r>
            <w:rPr>
              <w:rFonts w:eastAsia="仿宋"/>
            </w:rPr>
            <w:instrText xml:space="preserve"> HYPERLINK \l _Toc26575 </w:instrText>
          </w:r>
          <w:r>
            <w:rPr>
              <w:rFonts w:eastAsia="仿宋"/>
            </w:rPr>
            <w:fldChar w:fldCharType="separate"/>
          </w:r>
          <w:r>
            <w:rPr>
              <w:rFonts w:eastAsia="黑体"/>
            </w:rPr>
            <w:t>第一节 用地结构和布局</w:t>
          </w:r>
          <w:r>
            <w:tab/>
          </w:r>
          <w:r>
            <w:fldChar w:fldCharType="begin"/>
          </w:r>
          <w:r>
            <w:instrText xml:space="preserve"> PAGEREF _Toc26575 \h </w:instrText>
          </w:r>
          <w:r>
            <w:fldChar w:fldCharType="separate"/>
          </w:r>
          <w:r>
            <w:t>24</w:t>
          </w:r>
          <w:r>
            <w:fldChar w:fldCharType="end"/>
          </w:r>
          <w:r>
            <w:rPr>
              <w:rFonts w:eastAsia="仿宋"/>
            </w:rPr>
            <w:fldChar w:fldCharType="end"/>
          </w:r>
        </w:p>
        <w:p w14:paraId="5B33E346">
          <w:pPr>
            <w:pStyle w:val="13"/>
            <w:tabs>
              <w:tab w:val="right" w:leader="dot" w:pos="8312"/>
              <w:tab w:val="clear" w:pos="8302"/>
            </w:tabs>
          </w:pPr>
          <w:r>
            <w:rPr>
              <w:rFonts w:eastAsia="仿宋"/>
            </w:rPr>
            <w:fldChar w:fldCharType="begin"/>
          </w:r>
          <w:r>
            <w:rPr>
              <w:rFonts w:eastAsia="仿宋"/>
            </w:rPr>
            <w:instrText xml:space="preserve"> HYPERLINK \l _Toc16375 </w:instrText>
          </w:r>
          <w:r>
            <w:rPr>
              <w:rFonts w:eastAsia="仿宋"/>
            </w:rPr>
            <w:fldChar w:fldCharType="separate"/>
          </w:r>
          <w:r>
            <w:rPr>
              <w:rFonts w:eastAsia="黑体"/>
            </w:rPr>
            <w:t>第二节 居住空间布局</w:t>
          </w:r>
          <w:r>
            <w:tab/>
          </w:r>
          <w:r>
            <w:fldChar w:fldCharType="begin"/>
          </w:r>
          <w:r>
            <w:instrText xml:space="preserve"> PAGEREF _Toc16375 \h </w:instrText>
          </w:r>
          <w:r>
            <w:fldChar w:fldCharType="separate"/>
          </w:r>
          <w:r>
            <w:t>24</w:t>
          </w:r>
          <w:r>
            <w:fldChar w:fldCharType="end"/>
          </w:r>
          <w:r>
            <w:rPr>
              <w:rFonts w:eastAsia="仿宋"/>
            </w:rPr>
            <w:fldChar w:fldCharType="end"/>
          </w:r>
        </w:p>
        <w:p w14:paraId="60275FAC">
          <w:pPr>
            <w:pStyle w:val="13"/>
            <w:tabs>
              <w:tab w:val="right" w:leader="dot" w:pos="8312"/>
              <w:tab w:val="clear" w:pos="8302"/>
            </w:tabs>
          </w:pPr>
          <w:r>
            <w:rPr>
              <w:rFonts w:eastAsia="仿宋"/>
            </w:rPr>
            <w:fldChar w:fldCharType="begin"/>
          </w:r>
          <w:r>
            <w:rPr>
              <w:rFonts w:eastAsia="仿宋"/>
            </w:rPr>
            <w:instrText xml:space="preserve"> HYPERLINK \l _Toc28293 </w:instrText>
          </w:r>
          <w:r>
            <w:rPr>
              <w:rFonts w:eastAsia="仿宋"/>
            </w:rPr>
            <w:fldChar w:fldCharType="separate"/>
          </w:r>
          <w:r>
            <w:rPr>
              <w:rFonts w:eastAsia="黑体"/>
            </w:rPr>
            <w:t>第三节 公共服务空间布局</w:t>
          </w:r>
          <w:r>
            <w:tab/>
          </w:r>
          <w:r>
            <w:fldChar w:fldCharType="begin"/>
          </w:r>
          <w:r>
            <w:instrText xml:space="preserve"> PAGEREF _Toc28293 \h </w:instrText>
          </w:r>
          <w:r>
            <w:fldChar w:fldCharType="separate"/>
          </w:r>
          <w:r>
            <w:t>24</w:t>
          </w:r>
          <w:r>
            <w:fldChar w:fldCharType="end"/>
          </w:r>
          <w:r>
            <w:rPr>
              <w:rFonts w:eastAsia="仿宋"/>
            </w:rPr>
            <w:fldChar w:fldCharType="end"/>
          </w:r>
        </w:p>
        <w:p w14:paraId="75D47879">
          <w:pPr>
            <w:pStyle w:val="13"/>
            <w:tabs>
              <w:tab w:val="right" w:leader="dot" w:pos="8312"/>
              <w:tab w:val="clear" w:pos="8302"/>
            </w:tabs>
          </w:pPr>
          <w:r>
            <w:rPr>
              <w:rFonts w:eastAsia="仿宋"/>
            </w:rPr>
            <w:fldChar w:fldCharType="begin"/>
          </w:r>
          <w:r>
            <w:rPr>
              <w:rFonts w:eastAsia="仿宋"/>
            </w:rPr>
            <w:instrText xml:space="preserve"> HYPERLINK \l _Toc4540 </w:instrText>
          </w:r>
          <w:r>
            <w:rPr>
              <w:rFonts w:eastAsia="仿宋"/>
            </w:rPr>
            <w:fldChar w:fldCharType="separate"/>
          </w:r>
          <w:r>
            <w:rPr>
              <w:rFonts w:eastAsia="黑体"/>
            </w:rPr>
            <w:t>第四节 绿地与开敞空间布局</w:t>
          </w:r>
          <w:r>
            <w:tab/>
          </w:r>
          <w:r>
            <w:fldChar w:fldCharType="begin"/>
          </w:r>
          <w:r>
            <w:instrText xml:space="preserve"> PAGEREF _Toc4540 \h </w:instrText>
          </w:r>
          <w:r>
            <w:fldChar w:fldCharType="separate"/>
          </w:r>
          <w:r>
            <w:t>25</w:t>
          </w:r>
          <w:r>
            <w:fldChar w:fldCharType="end"/>
          </w:r>
          <w:r>
            <w:rPr>
              <w:rFonts w:eastAsia="仿宋"/>
            </w:rPr>
            <w:fldChar w:fldCharType="end"/>
          </w:r>
        </w:p>
        <w:p w14:paraId="71DB9D47">
          <w:pPr>
            <w:pStyle w:val="13"/>
            <w:tabs>
              <w:tab w:val="right" w:leader="dot" w:pos="8312"/>
              <w:tab w:val="clear" w:pos="8302"/>
            </w:tabs>
          </w:pPr>
          <w:r>
            <w:rPr>
              <w:rFonts w:eastAsia="仿宋"/>
            </w:rPr>
            <w:fldChar w:fldCharType="begin"/>
          </w:r>
          <w:r>
            <w:rPr>
              <w:rFonts w:eastAsia="仿宋"/>
            </w:rPr>
            <w:instrText xml:space="preserve"> HYPERLINK \l _Toc24478 </w:instrText>
          </w:r>
          <w:r>
            <w:rPr>
              <w:rFonts w:eastAsia="仿宋"/>
            </w:rPr>
            <w:fldChar w:fldCharType="separate"/>
          </w:r>
          <w:r>
            <w:rPr>
              <w:rFonts w:eastAsia="黑体"/>
            </w:rPr>
            <w:t>第五节 “四线”管控</w:t>
          </w:r>
          <w:r>
            <w:tab/>
          </w:r>
          <w:r>
            <w:fldChar w:fldCharType="begin"/>
          </w:r>
          <w:r>
            <w:instrText xml:space="preserve"> PAGEREF _Toc24478 \h </w:instrText>
          </w:r>
          <w:r>
            <w:fldChar w:fldCharType="separate"/>
          </w:r>
          <w:r>
            <w:t>25</w:t>
          </w:r>
          <w:r>
            <w:fldChar w:fldCharType="end"/>
          </w:r>
          <w:r>
            <w:rPr>
              <w:rFonts w:eastAsia="仿宋"/>
            </w:rPr>
            <w:fldChar w:fldCharType="end"/>
          </w:r>
        </w:p>
        <w:p w14:paraId="7E5CF413">
          <w:pPr>
            <w:pStyle w:val="12"/>
            <w:tabs>
              <w:tab w:val="right" w:leader="dot" w:pos="8312"/>
              <w:tab w:val="clear" w:pos="8302"/>
            </w:tabs>
          </w:pPr>
          <w:r>
            <w:rPr>
              <w:rFonts w:eastAsia="仿宋"/>
            </w:rPr>
            <w:fldChar w:fldCharType="begin"/>
          </w:r>
          <w:r>
            <w:rPr>
              <w:rFonts w:eastAsia="仿宋"/>
            </w:rPr>
            <w:instrText xml:space="preserve"> HYPERLINK \l _Toc17109 </w:instrText>
          </w:r>
          <w:r>
            <w:rPr>
              <w:rFonts w:eastAsia="仿宋"/>
            </w:rPr>
            <w:fldChar w:fldCharType="separate"/>
          </w:r>
          <w:r>
            <w:rPr>
              <w:bCs/>
              <w:szCs w:val="36"/>
            </w:rPr>
            <w:t>第六章 基础保障体系</w:t>
          </w:r>
          <w:r>
            <w:tab/>
          </w:r>
          <w:r>
            <w:fldChar w:fldCharType="begin"/>
          </w:r>
          <w:r>
            <w:instrText xml:space="preserve"> PAGEREF _Toc17109 \h </w:instrText>
          </w:r>
          <w:r>
            <w:fldChar w:fldCharType="separate"/>
          </w:r>
          <w:r>
            <w:t>25</w:t>
          </w:r>
          <w:r>
            <w:fldChar w:fldCharType="end"/>
          </w:r>
          <w:r>
            <w:rPr>
              <w:rFonts w:eastAsia="仿宋"/>
            </w:rPr>
            <w:fldChar w:fldCharType="end"/>
          </w:r>
        </w:p>
        <w:p w14:paraId="71FB7BE7">
          <w:pPr>
            <w:pStyle w:val="13"/>
            <w:tabs>
              <w:tab w:val="right" w:leader="dot" w:pos="8312"/>
              <w:tab w:val="clear" w:pos="8302"/>
            </w:tabs>
          </w:pPr>
          <w:r>
            <w:rPr>
              <w:rFonts w:eastAsia="仿宋"/>
            </w:rPr>
            <w:fldChar w:fldCharType="begin"/>
          </w:r>
          <w:r>
            <w:rPr>
              <w:rFonts w:eastAsia="仿宋"/>
            </w:rPr>
            <w:instrText xml:space="preserve"> HYPERLINK \l _Toc6216 </w:instrText>
          </w:r>
          <w:r>
            <w:rPr>
              <w:rFonts w:eastAsia="仿宋"/>
            </w:rPr>
            <w:fldChar w:fldCharType="separate"/>
          </w:r>
          <w:r>
            <w:rPr>
              <w:rFonts w:eastAsia="黑体"/>
            </w:rPr>
            <w:t>第一节 公共服务设施</w:t>
          </w:r>
          <w:r>
            <w:tab/>
          </w:r>
          <w:r>
            <w:fldChar w:fldCharType="begin"/>
          </w:r>
          <w:r>
            <w:instrText xml:space="preserve"> PAGEREF _Toc6216 \h </w:instrText>
          </w:r>
          <w:r>
            <w:fldChar w:fldCharType="separate"/>
          </w:r>
          <w:r>
            <w:t>26</w:t>
          </w:r>
          <w:r>
            <w:fldChar w:fldCharType="end"/>
          </w:r>
          <w:r>
            <w:rPr>
              <w:rFonts w:eastAsia="仿宋"/>
            </w:rPr>
            <w:fldChar w:fldCharType="end"/>
          </w:r>
        </w:p>
        <w:p w14:paraId="078953E3">
          <w:pPr>
            <w:pStyle w:val="13"/>
            <w:tabs>
              <w:tab w:val="right" w:leader="dot" w:pos="8312"/>
              <w:tab w:val="clear" w:pos="8302"/>
            </w:tabs>
          </w:pPr>
          <w:r>
            <w:rPr>
              <w:rFonts w:eastAsia="仿宋"/>
            </w:rPr>
            <w:fldChar w:fldCharType="begin"/>
          </w:r>
          <w:r>
            <w:rPr>
              <w:rFonts w:eastAsia="仿宋"/>
            </w:rPr>
            <w:instrText xml:space="preserve"> HYPERLINK \l _Toc10649 </w:instrText>
          </w:r>
          <w:r>
            <w:rPr>
              <w:rFonts w:eastAsia="仿宋"/>
            </w:rPr>
            <w:fldChar w:fldCharType="separate"/>
          </w:r>
          <w:r>
            <w:rPr>
              <w:rFonts w:eastAsia="黑体"/>
            </w:rPr>
            <w:t>第二节 综合交通设施</w:t>
          </w:r>
          <w:r>
            <w:tab/>
          </w:r>
          <w:r>
            <w:fldChar w:fldCharType="begin"/>
          </w:r>
          <w:r>
            <w:instrText xml:space="preserve"> PAGEREF _Toc10649 \h </w:instrText>
          </w:r>
          <w:r>
            <w:fldChar w:fldCharType="separate"/>
          </w:r>
          <w:r>
            <w:t>28</w:t>
          </w:r>
          <w:r>
            <w:fldChar w:fldCharType="end"/>
          </w:r>
          <w:r>
            <w:rPr>
              <w:rFonts w:eastAsia="仿宋"/>
            </w:rPr>
            <w:fldChar w:fldCharType="end"/>
          </w:r>
        </w:p>
        <w:p w14:paraId="74E5E9B7">
          <w:pPr>
            <w:pStyle w:val="13"/>
            <w:tabs>
              <w:tab w:val="right" w:leader="dot" w:pos="8312"/>
              <w:tab w:val="clear" w:pos="8302"/>
            </w:tabs>
          </w:pPr>
          <w:r>
            <w:rPr>
              <w:rFonts w:eastAsia="仿宋"/>
            </w:rPr>
            <w:fldChar w:fldCharType="begin"/>
          </w:r>
          <w:r>
            <w:rPr>
              <w:rFonts w:eastAsia="仿宋"/>
            </w:rPr>
            <w:instrText xml:space="preserve"> HYPERLINK \l _Toc21462 </w:instrText>
          </w:r>
          <w:r>
            <w:rPr>
              <w:rFonts w:eastAsia="仿宋"/>
            </w:rPr>
            <w:fldChar w:fldCharType="separate"/>
          </w:r>
          <w:r>
            <w:rPr>
              <w:rFonts w:eastAsia="黑体"/>
            </w:rPr>
            <w:t>第三节 水利基础设施</w:t>
          </w:r>
          <w:r>
            <w:tab/>
          </w:r>
          <w:r>
            <w:fldChar w:fldCharType="begin"/>
          </w:r>
          <w:r>
            <w:instrText xml:space="preserve"> PAGEREF _Toc21462 \h </w:instrText>
          </w:r>
          <w:r>
            <w:fldChar w:fldCharType="separate"/>
          </w:r>
          <w:r>
            <w:t>30</w:t>
          </w:r>
          <w:r>
            <w:fldChar w:fldCharType="end"/>
          </w:r>
          <w:r>
            <w:rPr>
              <w:rFonts w:eastAsia="仿宋"/>
            </w:rPr>
            <w:fldChar w:fldCharType="end"/>
          </w:r>
        </w:p>
        <w:p w14:paraId="7BDB4D21">
          <w:pPr>
            <w:pStyle w:val="13"/>
            <w:tabs>
              <w:tab w:val="right" w:leader="dot" w:pos="8312"/>
              <w:tab w:val="clear" w:pos="8302"/>
            </w:tabs>
          </w:pPr>
          <w:r>
            <w:rPr>
              <w:rFonts w:eastAsia="仿宋"/>
            </w:rPr>
            <w:fldChar w:fldCharType="begin"/>
          </w:r>
          <w:r>
            <w:rPr>
              <w:rFonts w:eastAsia="仿宋"/>
            </w:rPr>
            <w:instrText xml:space="preserve"> HYPERLINK \l _Toc16643 </w:instrText>
          </w:r>
          <w:r>
            <w:rPr>
              <w:rFonts w:eastAsia="仿宋"/>
            </w:rPr>
            <w:fldChar w:fldCharType="separate"/>
          </w:r>
          <w:r>
            <w:rPr>
              <w:rFonts w:eastAsia="黑体"/>
            </w:rPr>
            <w:t>第四节 市政基础设施</w:t>
          </w:r>
          <w:r>
            <w:tab/>
          </w:r>
          <w:r>
            <w:fldChar w:fldCharType="begin"/>
          </w:r>
          <w:r>
            <w:instrText xml:space="preserve"> PAGEREF _Toc16643 \h </w:instrText>
          </w:r>
          <w:r>
            <w:fldChar w:fldCharType="separate"/>
          </w:r>
          <w:r>
            <w:t>31</w:t>
          </w:r>
          <w:r>
            <w:fldChar w:fldCharType="end"/>
          </w:r>
          <w:r>
            <w:rPr>
              <w:rFonts w:eastAsia="仿宋"/>
            </w:rPr>
            <w:fldChar w:fldCharType="end"/>
          </w:r>
        </w:p>
        <w:p w14:paraId="146CABC8">
          <w:pPr>
            <w:pStyle w:val="13"/>
            <w:tabs>
              <w:tab w:val="right" w:leader="dot" w:pos="8312"/>
              <w:tab w:val="clear" w:pos="8302"/>
            </w:tabs>
          </w:pPr>
          <w:r>
            <w:rPr>
              <w:rFonts w:eastAsia="仿宋"/>
            </w:rPr>
            <w:fldChar w:fldCharType="begin"/>
          </w:r>
          <w:r>
            <w:rPr>
              <w:rFonts w:eastAsia="仿宋"/>
            </w:rPr>
            <w:instrText xml:space="preserve"> HYPERLINK \l _Toc25218 </w:instrText>
          </w:r>
          <w:r>
            <w:rPr>
              <w:rFonts w:eastAsia="仿宋"/>
            </w:rPr>
            <w:fldChar w:fldCharType="separate"/>
          </w:r>
          <w:r>
            <w:rPr>
              <w:rFonts w:eastAsia="黑体"/>
            </w:rPr>
            <w:t>第五节 综合防灾减灾设施</w:t>
          </w:r>
          <w:r>
            <w:tab/>
          </w:r>
          <w:r>
            <w:fldChar w:fldCharType="begin"/>
          </w:r>
          <w:r>
            <w:instrText xml:space="preserve"> PAGEREF _Toc25218 \h </w:instrText>
          </w:r>
          <w:r>
            <w:fldChar w:fldCharType="separate"/>
          </w:r>
          <w:r>
            <w:t>33</w:t>
          </w:r>
          <w:r>
            <w:fldChar w:fldCharType="end"/>
          </w:r>
          <w:r>
            <w:rPr>
              <w:rFonts w:eastAsia="仿宋"/>
            </w:rPr>
            <w:fldChar w:fldCharType="end"/>
          </w:r>
        </w:p>
        <w:p w14:paraId="047FC855">
          <w:pPr>
            <w:pStyle w:val="12"/>
            <w:tabs>
              <w:tab w:val="right" w:leader="dot" w:pos="8312"/>
              <w:tab w:val="clear" w:pos="8302"/>
            </w:tabs>
          </w:pPr>
          <w:r>
            <w:rPr>
              <w:rFonts w:eastAsia="仿宋"/>
            </w:rPr>
            <w:fldChar w:fldCharType="begin"/>
          </w:r>
          <w:r>
            <w:rPr>
              <w:rFonts w:eastAsia="仿宋"/>
            </w:rPr>
            <w:instrText xml:space="preserve"> HYPERLINK \l _Toc31970 </w:instrText>
          </w:r>
          <w:r>
            <w:rPr>
              <w:rFonts w:eastAsia="仿宋"/>
            </w:rPr>
            <w:fldChar w:fldCharType="separate"/>
          </w:r>
          <w:r>
            <w:rPr>
              <w:bCs/>
              <w:szCs w:val="36"/>
            </w:rPr>
            <w:t>第七章 历史文化与地方特色风貌</w:t>
          </w:r>
          <w:r>
            <w:tab/>
          </w:r>
          <w:r>
            <w:fldChar w:fldCharType="begin"/>
          </w:r>
          <w:r>
            <w:instrText xml:space="preserve"> PAGEREF _Toc31970 \h </w:instrText>
          </w:r>
          <w:r>
            <w:fldChar w:fldCharType="separate"/>
          </w:r>
          <w:r>
            <w:t>34</w:t>
          </w:r>
          <w:r>
            <w:fldChar w:fldCharType="end"/>
          </w:r>
          <w:r>
            <w:rPr>
              <w:rFonts w:eastAsia="仿宋"/>
            </w:rPr>
            <w:fldChar w:fldCharType="end"/>
          </w:r>
        </w:p>
        <w:p w14:paraId="009B9398">
          <w:pPr>
            <w:pStyle w:val="13"/>
            <w:tabs>
              <w:tab w:val="right" w:leader="dot" w:pos="8312"/>
              <w:tab w:val="clear" w:pos="8302"/>
            </w:tabs>
          </w:pPr>
          <w:r>
            <w:rPr>
              <w:rFonts w:eastAsia="仿宋"/>
            </w:rPr>
            <w:fldChar w:fldCharType="begin"/>
          </w:r>
          <w:r>
            <w:rPr>
              <w:rFonts w:eastAsia="仿宋"/>
            </w:rPr>
            <w:instrText xml:space="preserve"> HYPERLINK \l _Toc17238 </w:instrText>
          </w:r>
          <w:r>
            <w:rPr>
              <w:rFonts w:eastAsia="仿宋"/>
            </w:rPr>
            <w:fldChar w:fldCharType="separate"/>
          </w:r>
          <w:r>
            <w:rPr>
              <w:rFonts w:eastAsia="黑体"/>
            </w:rPr>
            <w:t>第一节 历史文化保护</w:t>
          </w:r>
          <w:r>
            <w:tab/>
          </w:r>
          <w:r>
            <w:fldChar w:fldCharType="begin"/>
          </w:r>
          <w:r>
            <w:instrText xml:space="preserve"> PAGEREF _Toc17238 \h </w:instrText>
          </w:r>
          <w:r>
            <w:fldChar w:fldCharType="separate"/>
          </w:r>
          <w:r>
            <w:t>35</w:t>
          </w:r>
          <w:r>
            <w:fldChar w:fldCharType="end"/>
          </w:r>
          <w:r>
            <w:rPr>
              <w:rFonts w:eastAsia="仿宋"/>
            </w:rPr>
            <w:fldChar w:fldCharType="end"/>
          </w:r>
        </w:p>
        <w:p w14:paraId="59DBD6F1">
          <w:pPr>
            <w:pStyle w:val="13"/>
            <w:tabs>
              <w:tab w:val="right" w:leader="dot" w:pos="8312"/>
              <w:tab w:val="clear" w:pos="8302"/>
            </w:tabs>
          </w:pPr>
          <w:r>
            <w:rPr>
              <w:rFonts w:eastAsia="仿宋"/>
            </w:rPr>
            <w:fldChar w:fldCharType="begin"/>
          </w:r>
          <w:r>
            <w:rPr>
              <w:rFonts w:eastAsia="仿宋"/>
            </w:rPr>
            <w:instrText xml:space="preserve"> HYPERLINK \l _Toc14510 </w:instrText>
          </w:r>
          <w:r>
            <w:rPr>
              <w:rFonts w:eastAsia="仿宋"/>
            </w:rPr>
            <w:fldChar w:fldCharType="separate"/>
          </w:r>
          <w:r>
            <w:rPr>
              <w:rFonts w:eastAsia="黑体"/>
            </w:rPr>
            <w:t>第二节 地方特色风貌</w:t>
          </w:r>
          <w:r>
            <w:tab/>
          </w:r>
          <w:r>
            <w:fldChar w:fldCharType="begin"/>
          </w:r>
          <w:r>
            <w:instrText xml:space="preserve"> PAGEREF _Toc14510 \h </w:instrText>
          </w:r>
          <w:r>
            <w:fldChar w:fldCharType="separate"/>
          </w:r>
          <w:r>
            <w:t>35</w:t>
          </w:r>
          <w:r>
            <w:fldChar w:fldCharType="end"/>
          </w:r>
          <w:r>
            <w:rPr>
              <w:rFonts w:eastAsia="仿宋"/>
            </w:rPr>
            <w:fldChar w:fldCharType="end"/>
          </w:r>
        </w:p>
        <w:p w14:paraId="1F552AF0">
          <w:pPr>
            <w:pStyle w:val="12"/>
            <w:tabs>
              <w:tab w:val="right" w:leader="dot" w:pos="8312"/>
              <w:tab w:val="clear" w:pos="8302"/>
            </w:tabs>
          </w:pPr>
          <w:r>
            <w:rPr>
              <w:rFonts w:eastAsia="仿宋"/>
            </w:rPr>
            <w:fldChar w:fldCharType="begin"/>
          </w:r>
          <w:r>
            <w:rPr>
              <w:rFonts w:eastAsia="仿宋"/>
            </w:rPr>
            <w:instrText xml:space="preserve"> HYPERLINK \l _Toc8759 </w:instrText>
          </w:r>
          <w:r>
            <w:rPr>
              <w:rFonts w:eastAsia="仿宋"/>
            </w:rPr>
            <w:fldChar w:fldCharType="separate"/>
          </w:r>
          <w:r>
            <w:rPr>
              <w:bCs/>
              <w:szCs w:val="36"/>
            </w:rPr>
            <w:t>第八章 生态修复与国土综合整治</w:t>
          </w:r>
          <w:r>
            <w:tab/>
          </w:r>
          <w:r>
            <w:fldChar w:fldCharType="begin"/>
          </w:r>
          <w:r>
            <w:instrText xml:space="preserve"> PAGEREF _Toc8759 \h </w:instrText>
          </w:r>
          <w:r>
            <w:fldChar w:fldCharType="separate"/>
          </w:r>
          <w:r>
            <w:t>39</w:t>
          </w:r>
          <w:r>
            <w:fldChar w:fldCharType="end"/>
          </w:r>
          <w:r>
            <w:rPr>
              <w:rFonts w:eastAsia="仿宋"/>
            </w:rPr>
            <w:fldChar w:fldCharType="end"/>
          </w:r>
        </w:p>
        <w:p w14:paraId="591BAAAC">
          <w:pPr>
            <w:pStyle w:val="13"/>
            <w:tabs>
              <w:tab w:val="right" w:leader="dot" w:pos="8312"/>
              <w:tab w:val="clear" w:pos="8302"/>
            </w:tabs>
          </w:pPr>
          <w:r>
            <w:rPr>
              <w:rFonts w:eastAsia="仿宋"/>
            </w:rPr>
            <w:fldChar w:fldCharType="begin"/>
          </w:r>
          <w:r>
            <w:rPr>
              <w:rFonts w:eastAsia="仿宋"/>
            </w:rPr>
            <w:instrText xml:space="preserve"> HYPERLINK \l _Toc24027 </w:instrText>
          </w:r>
          <w:r>
            <w:rPr>
              <w:rFonts w:eastAsia="仿宋"/>
            </w:rPr>
            <w:fldChar w:fldCharType="separate"/>
          </w:r>
          <w:r>
            <w:rPr>
              <w:rFonts w:eastAsia="黑体"/>
            </w:rPr>
            <w:t>第一节 生态修复</w:t>
          </w:r>
          <w:r>
            <w:tab/>
          </w:r>
          <w:r>
            <w:fldChar w:fldCharType="begin"/>
          </w:r>
          <w:r>
            <w:instrText xml:space="preserve"> PAGEREF _Toc24027 \h </w:instrText>
          </w:r>
          <w:r>
            <w:fldChar w:fldCharType="separate"/>
          </w:r>
          <w:r>
            <w:t>40</w:t>
          </w:r>
          <w:r>
            <w:fldChar w:fldCharType="end"/>
          </w:r>
          <w:r>
            <w:rPr>
              <w:rFonts w:eastAsia="仿宋"/>
            </w:rPr>
            <w:fldChar w:fldCharType="end"/>
          </w:r>
        </w:p>
        <w:p w14:paraId="55456B67">
          <w:pPr>
            <w:pStyle w:val="13"/>
            <w:tabs>
              <w:tab w:val="right" w:leader="dot" w:pos="8312"/>
              <w:tab w:val="clear" w:pos="8302"/>
            </w:tabs>
          </w:pPr>
          <w:r>
            <w:rPr>
              <w:rFonts w:eastAsia="仿宋"/>
            </w:rPr>
            <w:fldChar w:fldCharType="begin"/>
          </w:r>
          <w:r>
            <w:rPr>
              <w:rFonts w:eastAsia="仿宋"/>
            </w:rPr>
            <w:instrText xml:space="preserve"> HYPERLINK \l _Toc869 </w:instrText>
          </w:r>
          <w:r>
            <w:rPr>
              <w:rFonts w:eastAsia="仿宋"/>
            </w:rPr>
            <w:fldChar w:fldCharType="separate"/>
          </w:r>
          <w:r>
            <w:rPr>
              <w:rFonts w:eastAsia="黑体"/>
            </w:rPr>
            <w:t>第二节 国土综合整治</w:t>
          </w:r>
          <w:r>
            <w:tab/>
          </w:r>
          <w:r>
            <w:fldChar w:fldCharType="begin"/>
          </w:r>
          <w:r>
            <w:instrText xml:space="preserve"> PAGEREF _Toc869 \h </w:instrText>
          </w:r>
          <w:r>
            <w:fldChar w:fldCharType="separate"/>
          </w:r>
          <w:r>
            <w:t>41</w:t>
          </w:r>
          <w:r>
            <w:fldChar w:fldCharType="end"/>
          </w:r>
          <w:r>
            <w:rPr>
              <w:rFonts w:eastAsia="仿宋"/>
            </w:rPr>
            <w:fldChar w:fldCharType="end"/>
          </w:r>
        </w:p>
        <w:p w14:paraId="43FD55E7">
          <w:pPr>
            <w:pStyle w:val="12"/>
            <w:tabs>
              <w:tab w:val="right" w:leader="dot" w:pos="8312"/>
              <w:tab w:val="clear" w:pos="8302"/>
            </w:tabs>
          </w:pPr>
          <w:r>
            <w:rPr>
              <w:rFonts w:eastAsia="仿宋"/>
            </w:rPr>
            <w:fldChar w:fldCharType="begin"/>
          </w:r>
          <w:r>
            <w:rPr>
              <w:rFonts w:eastAsia="仿宋"/>
            </w:rPr>
            <w:instrText xml:space="preserve"> HYPERLINK \l _Toc1498 </w:instrText>
          </w:r>
          <w:r>
            <w:rPr>
              <w:rFonts w:eastAsia="仿宋"/>
            </w:rPr>
            <w:fldChar w:fldCharType="separate"/>
          </w:r>
          <w:r>
            <w:rPr>
              <w:bCs/>
              <w:szCs w:val="36"/>
            </w:rPr>
            <w:t>第九章 规划传导与实施</w:t>
          </w:r>
          <w:r>
            <w:tab/>
          </w:r>
          <w:r>
            <w:fldChar w:fldCharType="begin"/>
          </w:r>
          <w:r>
            <w:instrText xml:space="preserve"> PAGEREF _Toc1498 \h </w:instrText>
          </w:r>
          <w:r>
            <w:fldChar w:fldCharType="separate"/>
          </w:r>
          <w:r>
            <w:t>42</w:t>
          </w:r>
          <w:r>
            <w:fldChar w:fldCharType="end"/>
          </w:r>
          <w:r>
            <w:rPr>
              <w:rFonts w:eastAsia="仿宋"/>
            </w:rPr>
            <w:fldChar w:fldCharType="end"/>
          </w:r>
        </w:p>
        <w:p w14:paraId="094F4910">
          <w:pPr>
            <w:pStyle w:val="13"/>
            <w:tabs>
              <w:tab w:val="right" w:leader="dot" w:pos="8312"/>
              <w:tab w:val="clear" w:pos="8302"/>
            </w:tabs>
          </w:pPr>
          <w:r>
            <w:rPr>
              <w:rFonts w:eastAsia="仿宋"/>
            </w:rPr>
            <w:fldChar w:fldCharType="begin"/>
          </w:r>
          <w:r>
            <w:rPr>
              <w:rFonts w:eastAsia="仿宋"/>
            </w:rPr>
            <w:instrText xml:space="preserve"> HYPERLINK \l _Toc28658 </w:instrText>
          </w:r>
          <w:r>
            <w:rPr>
              <w:rFonts w:eastAsia="仿宋"/>
            </w:rPr>
            <w:fldChar w:fldCharType="separate"/>
          </w:r>
          <w:r>
            <w:rPr>
              <w:rFonts w:eastAsia="黑体"/>
            </w:rPr>
            <w:t>第一节 规划传导与管控</w:t>
          </w:r>
          <w:r>
            <w:tab/>
          </w:r>
          <w:r>
            <w:fldChar w:fldCharType="begin"/>
          </w:r>
          <w:r>
            <w:instrText xml:space="preserve"> PAGEREF _Toc28658 \h </w:instrText>
          </w:r>
          <w:r>
            <w:fldChar w:fldCharType="separate"/>
          </w:r>
          <w:r>
            <w:t>42</w:t>
          </w:r>
          <w:r>
            <w:fldChar w:fldCharType="end"/>
          </w:r>
          <w:r>
            <w:rPr>
              <w:rFonts w:eastAsia="仿宋"/>
            </w:rPr>
            <w:fldChar w:fldCharType="end"/>
          </w:r>
        </w:p>
        <w:p w14:paraId="6EB6FCFE">
          <w:pPr>
            <w:pStyle w:val="13"/>
            <w:tabs>
              <w:tab w:val="right" w:leader="dot" w:pos="8312"/>
              <w:tab w:val="clear" w:pos="8302"/>
            </w:tabs>
          </w:pPr>
          <w:r>
            <w:rPr>
              <w:rFonts w:eastAsia="仿宋"/>
            </w:rPr>
            <w:fldChar w:fldCharType="begin"/>
          </w:r>
          <w:r>
            <w:rPr>
              <w:rFonts w:eastAsia="仿宋"/>
            </w:rPr>
            <w:instrText xml:space="preserve"> HYPERLINK \l _Toc15668 </w:instrText>
          </w:r>
          <w:r>
            <w:rPr>
              <w:rFonts w:eastAsia="仿宋"/>
            </w:rPr>
            <w:fldChar w:fldCharType="separate"/>
          </w:r>
          <w:r>
            <w:rPr>
              <w:rFonts w:eastAsia="黑体"/>
            </w:rPr>
            <w:t>第二节 规划实施</w:t>
          </w:r>
          <w:r>
            <w:tab/>
          </w:r>
          <w:r>
            <w:fldChar w:fldCharType="begin"/>
          </w:r>
          <w:r>
            <w:instrText xml:space="preserve"> PAGEREF _Toc15668 \h </w:instrText>
          </w:r>
          <w:r>
            <w:fldChar w:fldCharType="separate"/>
          </w:r>
          <w:r>
            <w:t>43</w:t>
          </w:r>
          <w:r>
            <w:fldChar w:fldCharType="end"/>
          </w:r>
          <w:r>
            <w:rPr>
              <w:rFonts w:eastAsia="仿宋"/>
            </w:rPr>
            <w:fldChar w:fldCharType="end"/>
          </w:r>
        </w:p>
        <w:p w14:paraId="38D861C7">
          <w:pPr>
            <w:pStyle w:val="12"/>
            <w:tabs>
              <w:tab w:val="right" w:leader="dot" w:pos="8312"/>
              <w:tab w:val="clear" w:pos="8302"/>
            </w:tabs>
          </w:pPr>
          <w:r>
            <w:rPr>
              <w:rFonts w:eastAsia="仿宋"/>
            </w:rPr>
            <w:fldChar w:fldCharType="begin"/>
          </w:r>
          <w:r>
            <w:rPr>
              <w:rFonts w:eastAsia="仿宋"/>
            </w:rPr>
            <w:instrText xml:space="preserve"> HYPERLINK \l _Toc21246 </w:instrText>
          </w:r>
          <w:r>
            <w:rPr>
              <w:rFonts w:eastAsia="仿宋"/>
            </w:rPr>
            <w:fldChar w:fldCharType="separate"/>
          </w:r>
          <w:r>
            <w:rPr>
              <w:bCs/>
              <w:szCs w:val="36"/>
            </w:rPr>
            <w:t>第十章 村庄“通则式”规划管理规定</w:t>
          </w:r>
          <w:r>
            <w:tab/>
          </w:r>
          <w:r>
            <w:fldChar w:fldCharType="begin"/>
          </w:r>
          <w:r>
            <w:instrText xml:space="preserve"> PAGEREF _Toc21246 \h </w:instrText>
          </w:r>
          <w:r>
            <w:fldChar w:fldCharType="separate"/>
          </w:r>
          <w:r>
            <w:t>46</w:t>
          </w:r>
          <w:r>
            <w:fldChar w:fldCharType="end"/>
          </w:r>
          <w:r>
            <w:rPr>
              <w:rFonts w:eastAsia="仿宋"/>
            </w:rPr>
            <w:fldChar w:fldCharType="end"/>
          </w:r>
        </w:p>
        <w:p w14:paraId="4C227538">
          <w:pPr>
            <w:tabs>
              <w:tab w:val="right" w:leader="dot" w:pos="8306"/>
            </w:tabs>
            <w:ind w:left="1280" w:leftChars="200" w:hanging="640" w:hangingChars="200"/>
            <w:jc w:val="both"/>
          </w:pPr>
          <w:r>
            <w:rPr>
              <w:rFonts w:eastAsia="仿宋"/>
            </w:rPr>
            <w:fldChar w:fldCharType="end"/>
          </w:r>
        </w:p>
      </w:sdtContent>
    </w:sdt>
    <w:p w14:paraId="5CD5839C">
      <w:r>
        <w:br w:type="page"/>
      </w:r>
    </w:p>
    <w:p w14:paraId="3FCF937B">
      <w:pPr>
        <w:keepNext/>
        <w:spacing w:before="156" w:beforeLines="50" w:after="156" w:afterLines="50"/>
        <w:rPr>
          <w:bCs/>
          <w:sz w:val="36"/>
          <w:szCs w:val="36"/>
        </w:rPr>
        <w:sectPr>
          <w:footerReference r:id="rId7" w:type="default"/>
          <w:pgSz w:w="11906" w:h="16838"/>
          <w:pgMar w:top="1440" w:right="1797" w:bottom="1440" w:left="1797" w:header="851" w:footer="992" w:gutter="0"/>
          <w:pgNumType w:fmt="lowerRoman" w:start="1"/>
          <w:cols w:space="0" w:num="1"/>
          <w:docGrid w:type="lines" w:linePitch="312" w:charSpace="0"/>
        </w:sectPr>
      </w:pPr>
    </w:p>
    <w:p w14:paraId="6C1F752C">
      <w:pPr>
        <w:keepNext/>
        <w:spacing w:before="156" w:beforeLines="50" w:after="156" w:afterLines="50"/>
        <w:outlineLvl w:val="0"/>
        <w:rPr>
          <w:bCs/>
          <w:sz w:val="36"/>
          <w:szCs w:val="36"/>
        </w:rPr>
      </w:pPr>
      <w:bookmarkStart w:id="24" w:name="_Toc8767"/>
      <w:r>
        <w:rPr>
          <w:bCs/>
          <w:sz w:val="36"/>
          <w:szCs w:val="36"/>
        </w:rPr>
        <w:t>第一章 规划总则</w:t>
      </w:r>
      <w:bookmarkEnd w:id="24"/>
    </w:p>
    <w:p w14:paraId="59D2BBCC">
      <w:pPr>
        <w:keepNext/>
        <w:numPr>
          <w:ilvl w:val="0"/>
          <w:numId w:val="1"/>
        </w:numPr>
        <w:spacing w:before="156" w:beforeLines="50" w:after="156" w:afterLines="50"/>
        <w:jc w:val="both"/>
        <w:outlineLvl w:val="2"/>
        <w:rPr>
          <w:rFonts w:eastAsia="楷体_GB2312"/>
          <w:bCs/>
          <w:kern w:val="0"/>
        </w:rPr>
      </w:pPr>
      <w:bookmarkStart w:id="25" w:name="_Toc26733"/>
      <w:r>
        <w:rPr>
          <w:rFonts w:eastAsia="楷体_GB2312"/>
          <w:bCs/>
          <w:kern w:val="0"/>
        </w:rPr>
        <w:t>规划目的</w:t>
      </w:r>
      <w:bookmarkEnd w:id="25"/>
      <w:bookmarkStart w:id="86" w:name="_GoBack"/>
      <w:bookmarkEnd w:id="86"/>
    </w:p>
    <w:p w14:paraId="0FCB50BF">
      <w:pPr>
        <w:ind w:firstLine="640" w:firstLineChars="200"/>
        <w:jc w:val="both"/>
        <w:rPr>
          <w:rFonts w:eastAsia="仿宋_GB2312"/>
        </w:rPr>
      </w:pPr>
      <w:r>
        <w:rPr>
          <w:rFonts w:eastAsia="仿宋_GB2312"/>
        </w:rPr>
        <w:t>为加快推进乡镇国土空间总体规划和村庄规划编制，深入镇村国土空间总体规划的统筹编制，更好地服务乡村振兴战略，根据《中共中央</w:t>
      </w:r>
      <w:r>
        <w:rPr>
          <w:rFonts w:hint="eastAsia" w:eastAsia="仿宋_GB2312"/>
        </w:rPr>
        <w:t>、</w:t>
      </w:r>
      <w:r>
        <w:rPr>
          <w:rFonts w:eastAsia="仿宋_GB2312"/>
        </w:rPr>
        <w:t>国务院关于建立国土空间规划体系并监督实施的若干意见》（中发</w:t>
      </w:r>
      <w:r>
        <w:rPr>
          <w:rFonts w:hint="eastAsia" w:eastAsia="仿宋_GB2312"/>
        </w:rPr>
        <w:t>〔2019〕</w:t>
      </w:r>
      <w:r>
        <w:rPr>
          <w:rFonts w:eastAsia="仿宋_GB2312"/>
        </w:rPr>
        <w:t>18号）、《自然资源部关于全面开展国土空间规划工作的通知》（自然资发</w:t>
      </w:r>
      <w:r>
        <w:rPr>
          <w:rFonts w:hint="eastAsia" w:eastAsia="仿宋_GB2312"/>
        </w:rPr>
        <w:t>〔2019〕</w:t>
      </w:r>
      <w:r>
        <w:rPr>
          <w:rFonts w:eastAsia="仿宋_GB2312"/>
        </w:rPr>
        <w:t>87号）、《中共黑龙江省委黑龙江省人民政府关于建立全省国土空间规划体系并监督实施的意见》（2020年4月17日）等文件要求，横头山镇人民政府组织编制了《桦川县横头山镇国土空间总体规划（2021</w:t>
      </w:r>
      <w:r>
        <w:rPr>
          <w:rFonts w:hint="eastAsia" w:eastAsia="仿宋_GB2312"/>
        </w:rPr>
        <w:t>—</w:t>
      </w:r>
      <w:r>
        <w:rPr>
          <w:rFonts w:eastAsia="仿宋_GB2312"/>
        </w:rPr>
        <w:t>2035年）》（以下简称《规划》）。</w:t>
      </w:r>
    </w:p>
    <w:p w14:paraId="672C2091">
      <w:pPr>
        <w:keepNext/>
        <w:numPr>
          <w:ilvl w:val="0"/>
          <w:numId w:val="1"/>
        </w:numPr>
        <w:spacing w:before="156" w:beforeLines="50" w:after="156" w:afterLines="50"/>
        <w:jc w:val="both"/>
        <w:outlineLvl w:val="2"/>
        <w:rPr>
          <w:rFonts w:eastAsia="楷体_GB2312"/>
          <w:bCs/>
          <w:kern w:val="0"/>
        </w:rPr>
      </w:pPr>
      <w:r>
        <w:rPr>
          <w:rFonts w:eastAsia="楷体_GB2312"/>
          <w:bCs/>
          <w:kern w:val="0"/>
        </w:rPr>
        <w:t>规划定位</w:t>
      </w:r>
    </w:p>
    <w:p w14:paraId="4BCBC28C">
      <w:pPr>
        <w:ind w:firstLine="640" w:firstLineChars="200"/>
        <w:jc w:val="both"/>
      </w:pPr>
      <w:r>
        <w:rPr>
          <w:rFonts w:eastAsia="仿宋_GB2312"/>
        </w:rPr>
        <w:t>《规划》是对市级、县级国土空间总体规划要求的细化落实，是对镇域国土空间保护开发</w:t>
      </w:r>
      <w:r>
        <w:rPr>
          <w:rFonts w:hint="eastAsia" w:eastAsia="仿宋_GB2312"/>
        </w:rPr>
        <w:t>做</w:t>
      </w:r>
      <w:r>
        <w:rPr>
          <w:rFonts w:eastAsia="仿宋_GB2312"/>
        </w:rPr>
        <w:t>出的具体安排，是乡镇进行空间治理的工具，是编制城镇开发边界内的详细规划和城镇开发边界外的村庄规划、实施国土空间用途管制的基本依据。</w:t>
      </w:r>
    </w:p>
    <w:p w14:paraId="43C14B9D">
      <w:pPr>
        <w:keepNext/>
        <w:numPr>
          <w:ilvl w:val="0"/>
          <w:numId w:val="1"/>
        </w:numPr>
        <w:spacing w:before="156" w:beforeLines="50" w:after="156" w:afterLines="50"/>
        <w:jc w:val="both"/>
        <w:outlineLvl w:val="2"/>
        <w:rPr>
          <w:rFonts w:eastAsia="楷体_GB2312"/>
          <w:bCs/>
          <w:kern w:val="0"/>
        </w:rPr>
      </w:pPr>
      <w:bookmarkStart w:id="26" w:name="_Toc25248"/>
      <w:r>
        <w:rPr>
          <w:rFonts w:eastAsia="楷体_GB2312"/>
          <w:bCs/>
          <w:kern w:val="0"/>
        </w:rPr>
        <w:t>指导思想</w:t>
      </w:r>
      <w:bookmarkEnd w:id="26"/>
    </w:p>
    <w:p w14:paraId="4031D692">
      <w:pPr>
        <w:ind w:firstLine="640" w:firstLineChars="200"/>
        <w:jc w:val="both"/>
        <w:rPr>
          <w:rFonts w:eastAsia="仿宋_GB2312"/>
        </w:rPr>
      </w:pPr>
      <w:r>
        <w:rPr>
          <w:rFonts w:eastAsia="仿宋_GB2312"/>
        </w:rPr>
        <w:t>以习近平新时代中国特色社会主义思想为总体指导，全面贯彻党的二十大精神，统筹推进“五位一体”总体布局，协调推进“四个全面”战略布局，坚决维护国家“五大安全”，坚持以人民为中心的发展思想，按照高质量发展的要求，牢固树立创新、协调、绿色、开放、共享的新发展理念。注重长远发展，注重减量集约，注重生态保护，注重多规合一。贯彻生态文明理念，坚持以人民为中心，围绕满足人民日益增长的美好生活需要，顺应新时代国土空间治理要求，构建以国土空间规划为基础、统一用途管制为手段的国土空间开发保护制度，结合实际，充分利用乡镇现有基础资源条件，突出当地特色，把握各要素发展的客观规律，落实佳木斯市“一核引领、两区协同、轴带联动”和桦川县“狠抓现代农业质效提升、推动发展绿色生态产业”的总体要求，科学布局生产空间、生活空间、生态空间。以提高人民生活水平为根本出发点，以提高乡镇在县域城镇体系中的地位为目标，以实现人地和谐、生态宜居为宗旨，实现基层国土空间总体规划的战略性、全局性与规划方案实施可操作性的有机统一，为全面实现乡村振兴提供科学支撑。</w:t>
      </w:r>
    </w:p>
    <w:p w14:paraId="33D41AFF">
      <w:pPr>
        <w:keepNext/>
        <w:numPr>
          <w:ilvl w:val="0"/>
          <w:numId w:val="1"/>
        </w:numPr>
        <w:spacing w:before="156" w:beforeLines="50" w:after="156" w:afterLines="50"/>
        <w:jc w:val="both"/>
        <w:outlineLvl w:val="2"/>
        <w:rPr>
          <w:rFonts w:eastAsia="楷体_GB2312"/>
          <w:bCs/>
          <w:kern w:val="0"/>
        </w:rPr>
      </w:pPr>
      <w:bookmarkStart w:id="27" w:name="_Toc5766"/>
      <w:r>
        <w:rPr>
          <w:rFonts w:eastAsia="楷体_GB2312"/>
          <w:bCs/>
          <w:kern w:val="0"/>
        </w:rPr>
        <w:t>规划原则</w:t>
      </w:r>
      <w:bookmarkEnd w:id="27"/>
    </w:p>
    <w:p w14:paraId="15118A16">
      <w:pPr>
        <w:ind w:firstLine="640" w:firstLineChars="200"/>
        <w:jc w:val="both"/>
        <w:rPr>
          <w:rFonts w:eastAsia="仿宋_GB2312"/>
        </w:rPr>
      </w:pPr>
      <w:r>
        <w:rPr>
          <w:rFonts w:eastAsia="仿宋_GB2312"/>
        </w:rPr>
        <w:t>坚持安全底线，绿色发展。</w:t>
      </w:r>
    </w:p>
    <w:p w14:paraId="5D862DBD">
      <w:pPr>
        <w:ind w:firstLine="640" w:firstLineChars="200"/>
        <w:jc w:val="both"/>
        <w:rPr>
          <w:rFonts w:eastAsia="仿宋_GB2312"/>
        </w:rPr>
      </w:pPr>
      <w:r>
        <w:rPr>
          <w:rFonts w:eastAsia="仿宋_GB2312"/>
        </w:rPr>
        <w:t>坚持以人为本，品质提升。</w:t>
      </w:r>
    </w:p>
    <w:p w14:paraId="6FA6124D">
      <w:pPr>
        <w:ind w:firstLine="640" w:firstLineChars="200"/>
        <w:jc w:val="both"/>
        <w:rPr>
          <w:rFonts w:eastAsia="仿宋_GB2312"/>
        </w:rPr>
      </w:pPr>
      <w:r>
        <w:rPr>
          <w:rFonts w:eastAsia="仿宋_GB2312"/>
        </w:rPr>
        <w:t>坚持全域管控，适度集约。</w:t>
      </w:r>
    </w:p>
    <w:p w14:paraId="1BDCEB42">
      <w:pPr>
        <w:ind w:firstLine="640" w:firstLineChars="200"/>
        <w:jc w:val="both"/>
        <w:rPr>
          <w:rFonts w:eastAsia="仿宋_GB2312"/>
        </w:rPr>
      </w:pPr>
      <w:r>
        <w:rPr>
          <w:rFonts w:eastAsia="仿宋_GB2312"/>
        </w:rPr>
        <w:t>坚持承上启下，体现特色。</w:t>
      </w:r>
    </w:p>
    <w:p w14:paraId="449A4D1A">
      <w:pPr>
        <w:ind w:firstLine="640" w:firstLineChars="200"/>
        <w:jc w:val="both"/>
        <w:rPr>
          <w:rFonts w:eastAsia="仿宋_GB2312"/>
        </w:rPr>
      </w:pPr>
      <w:r>
        <w:rPr>
          <w:rFonts w:eastAsia="仿宋_GB2312"/>
        </w:rPr>
        <w:t>坚持侧重实施，突出近期。</w:t>
      </w:r>
    </w:p>
    <w:p w14:paraId="4FD32A67">
      <w:pPr>
        <w:ind w:firstLine="640" w:firstLineChars="200"/>
        <w:jc w:val="both"/>
        <w:rPr>
          <w:rFonts w:eastAsia="仿宋_GB2312"/>
        </w:rPr>
      </w:pPr>
      <w:r>
        <w:rPr>
          <w:rFonts w:eastAsia="仿宋_GB2312"/>
        </w:rPr>
        <w:t>坚持公众参与，开放共享。</w:t>
      </w:r>
    </w:p>
    <w:p w14:paraId="5492CF43">
      <w:pPr>
        <w:keepNext/>
        <w:numPr>
          <w:ilvl w:val="0"/>
          <w:numId w:val="1"/>
        </w:numPr>
        <w:spacing w:before="156" w:beforeLines="50" w:after="156" w:afterLines="50"/>
        <w:jc w:val="both"/>
        <w:outlineLvl w:val="2"/>
        <w:rPr>
          <w:rFonts w:eastAsia="楷体_GB2312"/>
          <w:bCs/>
          <w:kern w:val="0"/>
        </w:rPr>
      </w:pPr>
      <w:bookmarkStart w:id="28" w:name="_Toc28998"/>
      <w:r>
        <w:rPr>
          <w:rFonts w:eastAsia="楷体_GB2312"/>
          <w:bCs/>
          <w:kern w:val="0"/>
        </w:rPr>
        <w:t>规划依据</w:t>
      </w:r>
      <w:bookmarkEnd w:id="28"/>
    </w:p>
    <w:p w14:paraId="63DC5C84">
      <w:pPr>
        <w:ind w:firstLine="640" w:firstLineChars="200"/>
        <w:jc w:val="left"/>
        <w:rPr>
          <w:rFonts w:eastAsia="仿宋_GB2312"/>
        </w:rPr>
      </w:pPr>
      <w:r>
        <w:rPr>
          <w:rFonts w:eastAsia="仿宋_GB2312"/>
        </w:rPr>
        <w:t>（1）《中华人民共和国城乡规划法》（2019年修订）；</w:t>
      </w:r>
    </w:p>
    <w:p w14:paraId="41E65FBA">
      <w:pPr>
        <w:ind w:firstLine="640" w:firstLineChars="200"/>
        <w:jc w:val="left"/>
        <w:rPr>
          <w:rFonts w:eastAsia="仿宋_GB2312"/>
        </w:rPr>
      </w:pPr>
      <w:r>
        <w:rPr>
          <w:rFonts w:eastAsia="仿宋_GB2312"/>
        </w:rPr>
        <w:t>（2）《中华人民共和国土地管理法》（2019年修订）；</w:t>
      </w:r>
    </w:p>
    <w:p w14:paraId="1EB83FE2">
      <w:pPr>
        <w:ind w:firstLine="640" w:firstLineChars="200"/>
        <w:jc w:val="left"/>
        <w:rPr>
          <w:rFonts w:eastAsia="仿宋_GB2312"/>
        </w:rPr>
      </w:pPr>
      <w:r>
        <w:rPr>
          <w:rFonts w:eastAsia="仿宋_GB2312"/>
        </w:rPr>
        <w:t>（3）《中华人民共和国森林法》（2019年修订）；</w:t>
      </w:r>
    </w:p>
    <w:p w14:paraId="0AFC2EC4">
      <w:pPr>
        <w:ind w:firstLine="640" w:firstLineChars="200"/>
        <w:jc w:val="left"/>
        <w:rPr>
          <w:rFonts w:eastAsia="仿宋_GB2312"/>
        </w:rPr>
      </w:pPr>
      <w:r>
        <w:rPr>
          <w:rFonts w:eastAsia="仿宋_GB2312"/>
        </w:rPr>
        <w:t>（4）《中华人民共和国草原法》（2021年修订）；</w:t>
      </w:r>
    </w:p>
    <w:p w14:paraId="506747D9">
      <w:pPr>
        <w:ind w:firstLine="640" w:firstLineChars="200"/>
        <w:jc w:val="left"/>
        <w:rPr>
          <w:rFonts w:eastAsia="仿宋_GB2312"/>
        </w:rPr>
      </w:pPr>
      <w:r>
        <w:rPr>
          <w:rFonts w:eastAsia="仿宋_GB2312"/>
        </w:rPr>
        <w:t>（5）《中华人民共和国湿地保护法》（2022年6月）；</w:t>
      </w:r>
    </w:p>
    <w:p w14:paraId="1313C3C4">
      <w:pPr>
        <w:ind w:firstLine="640" w:firstLineChars="200"/>
        <w:jc w:val="left"/>
      </w:pPr>
      <w:r>
        <w:rPr>
          <w:rFonts w:eastAsia="仿宋_GB2312"/>
        </w:rPr>
        <w:t>（6）《中华人民共和国自然保护区条例》（2017年修订）；</w:t>
      </w:r>
    </w:p>
    <w:p w14:paraId="64785E55">
      <w:pPr>
        <w:ind w:firstLine="640" w:firstLineChars="200"/>
        <w:jc w:val="left"/>
        <w:rPr>
          <w:rFonts w:eastAsia="仿宋_GB2312"/>
        </w:rPr>
      </w:pPr>
      <w:r>
        <w:rPr>
          <w:rFonts w:eastAsia="仿宋_GB2312"/>
        </w:rPr>
        <w:t>（7）《中华人民共和国土地管理法实施条例》（2021年修订）；</w:t>
      </w:r>
    </w:p>
    <w:p w14:paraId="0DFF4876">
      <w:pPr>
        <w:ind w:firstLine="640" w:firstLineChars="200"/>
        <w:jc w:val="left"/>
        <w:rPr>
          <w:rFonts w:eastAsia="仿宋_GB2312"/>
        </w:rPr>
      </w:pPr>
      <w:r>
        <w:rPr>
          <w:rFonts w:eastAsia="仿宋_GB2312"/>
        </w:rPr>
        <w:t>（8）《黑龙江省黑土地保护利用条例》（2024年修订）；</w:t>
      </w:r>
    </w:p>
    <w:p w14:paraId="217CF732">
      <w:pPr>
        <w:ind w:firstLine="640" w:firstLineChars="200"/>
        <w:jc w:val="left"/>
        <w:rPr>
          <w:rFonts w:eastAsia="仿宋_GB2312"/>
        </w:rPr>
      </w:pPr>
      <w:r>
        <w:rPr>
          <w:rFonts w:eastAsia="仿宋_GB2312"/>
        </w:rPr>
        <w:t>（9）《中共中央 国务院关于建立国土空间规划体系并监督实施的若干意见》（中发〔2019〕18号）；</w:t>
      </w:r>
    </w:p>
    <w:p w14:paraId="4FAAB208">
      <w:pPr>
        <w:ind w:firstLine="640" w:firstLineChars="200"/>
        <w:jc w:val="left"/>
        <w:rPr>
          <w:rFonts w:eastAsia="仿宋_GB2312"/>
        </w:rPr>
      </w:pPr>
      <w:r>
        <w:rPr>
          <w:rFonts w:eastAsia="仿宋_GB2312"/>
        </w:rPr>
        <w:t>（10）《中共中央办公厅 国务院办公厅</w:t>
      </w:r>
      <w:r>
        <w:rPr>
          <w:rFonts w:hint="eastAsia" w:eastAsia="仿宋_GB2312"/>
        </w:rPr>
        <w:t>〈</w:t>
      </w:r>
      <w:r>
        <w:rPr>
          <w:rFonts w:eastAsia="仿宋_GB2312"/>
        </w:rPr>
        <w:t>关于在国土空间规划中统筹划定落实三条控制线的指导意见</w:t>
      </w:r>
      <w:r>
        <w:rPr>
          <w:rFonts w:hint="eastAsia" w:eastAsia="仿宋_GB2312"/>
        </w:rPr>
        <w:t>〉</w:t>
      </w:r>
      <w:r>
        <w:rPr>
          <w:rFonts w:eastAsia="仿宋_GB2312"/>
        </w:rPr>
        <w:t>的通知》（厅字〔2019〕48号）；</w:t>
      </w:r>
    </w:p>
    <w:p w14:paraId="2903AF21">
      <w:pPr>
        <w:ind w:firstLine="640" w:firstLineChars="200"/>
        <w:jc w:val="left"/>
        <w:rPr>
          <w:rFonts w:eastAsia="仿宋_GB2312"/>
        </w:rPr>
      </w:pPr>
      <w:r>
        <w:rPr>
          <w:rFonts w:eastAsia="仿宋_GB2312"/>
        </w:rPr>
        <w:t>（11）《自然资源部 生态环境部 国家林业和草原局关于加强生态保护红线管理的通知（试行）》（自然资发〔2019〕42号）；</w:t>
      </w:r>
    </w:p>
    <w:p w14:paraId="16DAC8D6">
      <w:pPr>
        <w:ind w:firstLine="640" w:firstLineChars="200"/>
        <w:jc w:val="left"/>
        <w:rPr>
          <w:rFonts w:eastAsia="仿宋_GB2312"/>
        </w:rPr>
      </w:pPr>
      <w:r>
        <w:rPr>
          <w:rFonts w:eastAsia="仿宋_GB2312"/>
        </w:rPr>
        <w:t>（12）《中共中央办公厅 国务院办公厅印发</w:t>
      </w:r>
      <w:r>
        <w:rPr>
          <w:rFonts w:hint="eastAsia" w:eastAsia="仿宋_GB2312"/>
        </w:rPr>
        <w:t>〈</w:t>
      </w:r>
      <w:r>
        <w:rPr>
          <w:rFonts w:eastAsia="仿宋_GB2312"/>
        </w:rPr>
        <w:t>关于建立以国家公园为主体的自然保护地体系的指导意见</w:t>
      </w:r>
      <w:r>
        <w:rPr>
          <w:rFonts w:hint="eastAsia" w:eastAsia="仿宋_GB2312"/>
        </w:rPr>
        <w:t>〉</w:t>
      </w:r>
      <w:r>
        <w:rPr>
          <w:rFonts w:eastAsia="仿宋_GB2312"/>
        </w:rPr>
        <w:t>的通知》（中办发〔2019〕42号）；</w:t>
      </w:r>
    </w:p>
    <w:p w14:paraId="5D3C03DC">
      <w:pPr>
        <w:ind w:firstLine="640" w:firstLineChars="200"/>
        <w:jc w:val="left"/>
        <w:rPr>
          <w:rFonts w:eastAsia="仿宋_GB2312"/>
        </w:rPr>
      </w:pPr>
      <w:r>
        <w:rPr>
          <w:rFonts w:eastAsia="仿宋_GB2312"/>
        </w:rPr>
        <w:t>（13）《自然资源部关于全面开展国土空间规划工作的通知》（自然资源发〔2019〕87号）；</w:t>
      </w:r>
    </w:p>
    <w:p w14:paraId="3EED9337">
      <w:pPr>
        <w:ind w:firstLine="640" w:firstLineChars="200"/>
        <w:jc w:val="left"/>
        <w:rPr>
          <w:rFonts w:eastAsia="仿宋_GB2312"/>
        </w:rPr>
      </w:pPr>
      <w:r>
        <w:rPr>
          <w:rFonts w:eastAsia="仿宋_GB2312"/>
        </w:rPr>
        <w:t>（14）《自然资源部办公厅关于加强村庄规划促进乡村振兴的通知》（自然资办发〔2019〕35号）；</w:t>
      </w:r>
    </w:p>
    <w:p w14:paraId="3E6139AA">
      <w:pPr>
        <w:ind w:firstLine="640" w:firstLineChars="200"/>
        <w:jc w:val="left"/>
        <w:rPr>
          <w:rFonts w:eastAsia="仿宋_GB2312"/>
        </w:rPr>
      </w:pPr>
      <w:r>
        <w:rPr>
          <w:rFonts w:eastAsia="仿宋_GB2312"/>
        </w:rPr>
        <w:t>（15）《自然资源部 农业农村部关于加强和改进永久基本农田保护工作的通知》（自然资规〔2019〕1号）；</w:t>
      </w:r>
    </w:p>
    <w:p w14:paraId="280B50B2">
      <w:pPr>
        <w:ind w:firstLine="640" w:firstLineChars="200"/>
        <w:jc w:val="left"/>
        <w:rPr>
          <w:rFonts w:eastAsia="仿宋_GB2312"/>
        </w:rPr>
      </w:pPr>
      <w:r>
        <w:rPr>
          <w:rFonts w:eastAsia="仿宋_GB2312"/>
        </w:rPr>
        <w:t>（16）《自然资源部中央农村工作领导小组办公室关于学习运用“千万工程”经验提高村庄规划编制质量和实施时效的通知》（自然资发〔2024〕1号）；</w:t>
      </w:r>
    </w:p>
    <w:p w14:paraId="04D0393E">
      <w:pPr>
        <w:ind w:firstLine="640" w:firstLineChars="200"/>
        <w:jc w:val="left"/>
        <w:rPr>
          <w:rFonts w:eastAsia="仿宋_GB2312"/>
        </w:rPr>
      </w:pPr>
      <w:r>
        <w:rPr>
          <w:rFonts w:eastAsia="仿宋_GB2312"/>
        </w:rPr>
        <w:t>（17）《中共黑龙江省委 黑龙江省人民政府关于建立全省国土空间规划体系并监督实施的意见》（黑发〔2020〕5号）；</w:t>
      </w:r>
    </w:p>
    <w:p w14:paraId="20B4FF08">
      <w:pPr>
        <w:ind w:firstLine="640" w:firstLineChars="200"/>
        <w:jc w:val="left"/>
        <w:rPr>
          <w:rFonts w:eastAsia="仿宋_GB2312"/>
        </w:rPr>
      </w:pPr>
      <w:r>
        <w:rPr>
          <w:rFonts w:eastAsia="仿宋_GB2312"/>
        </w:rPr>
        <w:t>（18）《中共黑龙江省委办公厅 黑龙江省人民政府办公厅印发</w:t>
      </w:r>
      <w:r>
        <w:rPr>
          <w:rFonts w:hint="eastAsia" w:eastAsia="仿宋_GB2312"/>
        </w:rPr>
        <w:t>〈</w:t>
      </w:r>
      <w:r>
        <w:rPr>
          <w:rFonts w:eastAsia="仿宋_GB2312"/>
        </w:rPr>
        <w:t>关于在全省国土空间规划中统筹划定落实三条控制线的实施意见</w:t>
      </w:r>
      <w:r>
        <w:rPr>
          <w:rFonts w:hint="eastAsia" w:eastAsia="仿宋_GB2312"/>
        </w:rPr>
        <w:t>〉</w:t>
      </w:r>
      <w:r>
        <w:rPr>
          <w:rFonts w:eastAsia="仿宋_GB2312"/>
        </w:rPr>
        <w:t>的通知》；</w:t>
      </w:r>
    </w:p>
    <w:p w14:paraId="520D4245">
      <w:pPr>
        <w:ind w:firstLine="640" w:firstLineChars="200"/>
        <w:jc w:val="left"/>
        <w:rPr>
          <w:rFonts w:eastAsia="仿宋_GB2312"/>
        </w:rPr>
      </w:pPr>
      <w:r>
        <w:rPr>
          <w:rFonts w:eastAsia="仿宋_GB2312"/>
        </w:rPr>
        <w:t>（19）《黑龙江省自然资源厅关于全面开展全省国土空间规划工作的通知》（黑自然资函〔2019〕291号）；</w:t>
      </w:r>
    </w:p>
    <w:p w14:paraId="3B0DEE51">
      <w:pPr>
        <w:ind w:firstLine="640" w:firstLineChars="200"/>
        <w:jc w:val="left"/>
        <w:rPr>
          <w:rFonts w:eastAsia="仿宋_GB2312"/>
        </w:rPr>
      </w:pPr>
      <w:r>
        <w:rPr>
          <w:rFonts w:eastAsia="仿宋_GB2312"/>
        </w:rPr>
        <w:t>（20）《黑龙江省自然资源厅关于印发〈黑龙江省市县级国土空间总体规划成果审查报批工作办法（试行）〉的通知》（黑自然资发〔2023〕5号）；</w:t>
      </w:r>
    </w:p>
    <w:p w14:paraId="5217E5C3">
      <w:pPr>
        <w:ind w:firstLine="640" w:firstLineChars="200"/>
        <w:jc w:val="left"/>
        <w:rPr>
          <w:rFonts w:eastAsia="仿宋_GB2312"/>
        </w:rPr>
      </w:pPr>
      <w:r>
        <w:rPr>
          <w:rFonts w:eastAsia="仿宋_GB2312"/>
        </w:rPr>
        <w:t>（21）《国土空间调查、规划、用途管制用地用海分类指南》（自然资发〔2023〕234号）；</w:t>
      </w:r>
    </w:p>
    <w:p w14:paraId="02072ED9">
      <w:pPr>
        <w:ind w:firstLine="640" w:firstLineChars="200"/>
        <w:jc w:val="left"/>
        <w:rPr>
          <w:rFonts w:eastAsia="仿宋_GB2312"/>
        </w:rPr>
      </w:pPr>
      <w:r>
        <w:rPr>
          <w:rFonts w:eastAsia="仿宋_GB2312"/>
        </w:rPr>
        <w:t>（22）《省级国土空间规划编制技术规程（GB/T43214</w:t>
      </w:r>
      <w:r>
        <w:rPr>
          <w:rFonts w:hint="eastAsia" w:eastAsia="仿宋_GB2312"/>
        </w:rPr>
        <w:t>—</w:t>
      </w:r>
      <w:r>
        <w:rPr>
          <w:rFonts w:eastAsia="仿宋_GB2312"/>
        </w:rPr>
        <w:t>2023）》；</w:t>
      </w:r>
    </w:p>
    <w:p w14:paraId="3FFDE4FE">
      <w:pPr>
        <w:ind w:firstLine="640" w:firstLineChars="200"/>
        <w:jc w:val="left"/>
        <w:rPr>
          <w:rFonts w:eastAsia="仿宋_GB2312"/>
        </w:rPr>
      </w:pPr>
      <w:r>
        <w:rPr>
          <w:rFonts w:eastAsia="仿宋_GB2312"/>
        </w:rPr>
        <w:t>（23）《市级国土空间规划编制指南（试行）》；</w:t>
      </w:r>
    </w:p>
    <w:p w14:paraId="0EEF5DE4">
      <w:pPr>
        <w:ind w:firstLine="640" w:firstLineChars="200"/>
        <w:jc w:val="left"/>
        <w:rPr>
          <w:rFonts w:eastAsia="仿宋_GB2312"/>
        </w:rPr>
      </w:pPr>
      <w:r>
        <w:rPr>
          <w:rFonts w:eastAsia="仿宋_GB2312"/>
        </w:rPr>
        <w:t>（24）《黑龙江省县级国土空间总体规划编制指南</w:t>
      </w:r>
      <w:bookmarkStart w:id="29" w:name="_Toc2735"/>
      <w:bookmarkStart w:id="30" w:name="_Toc25334595"/>
      <w:bookmarkStart w:id="31" w:name="_Toc19177"/>
      <w:bookmarkStart w:id="32" w:name="_Toc470783041"/>
      <w:bookmarkStart w:id="33" w:name="_Toc470795965"/>
      <w:bookmarkStart w:id="34" w:name="_Toc24550754"/>
      <w:bookmarkStart w:id="35" w:name="_Toc25333591"/>
      <w:bookmarkStart w:id="36" w:name="_Toc24478972"/>
      <w:bookmarkStart w:id="37" w:name="_Toc23855780"/>
      <w:bookmarkStart w:id="38" w:name="_Toc481936462"/>
      <w:bookmarkStart w:id="39" w:name="_Toc24476477"/>
      <w:bookmarkStart w:id="40" w:name="_Toc22804"/>
      <w:r>
        <w:rPr>
          <w:rFonts w:eastAsia="仿宋_GB2312"/>
        </w:rPr>
        <w:t>（试行）</w:t>
      </w:r>
      <w:bookmarkEnd w:id="29"/>
      <w:bookmarkEnd w:id="30"/>
      <w:bookmarkEnd w:id="31"/>
      <w:bookmarkEnd w:id="32"/>
      <w:bookmarkEnd w:id="33"/>
      <w:bookmarkEnd w:id="34"/>
      <w:bookmarkEnd w:id="35"/>
      <w:bookmarkEnd w:id="36"/>
      <w:bookmarkEnd w:id="37"/>
      <w:bookmarkEnd w:id="38"/>
      <w:bookmarkEnd w:id="39"/>
      <w:bookmarkEnd w:id="40"/>
      <w:r>
        <w:rPr>
          <w:rFonts w:eastAsia="仿宋_GB2312"/>
        </w:rPr>
        <w:t>》；</w:t>
      </w:r>
    </w:p>
    <w:p w14:paraId="0AD31FAC">
      <w:pPr>
        <w:ind w:firstLine="640" w:firstLineChars="200"/>
        <w:jc w:val="left"/>
        <w:rPr>
          <w:rFonts w:eastAsia="仿宋_GB2312"/>
        </w:rPr>
      </w:pPr>
      <w:r>
        <w:rPr>
          <w:rFonts w:eastAsia="仿宋_GB2312"/>
        </w:rPr>
        <w:t>（25）《乡镇级国土空间规划数据库规范（试行）》；</w:t>
      </w:r>
    </w:p>
    <w:p w14:paraId="3EDFCB2E">
      <w:pPr>
        <w:ind w:firstLine="640" w:firstLineChars="200"/>
        <w:jc w:val="left"/>
        <w:rPr>
          <w:rFonts w:eastAsia="仿宋_GB2312"/>
        </w:rPr>
      </w:pPr>
      <w:r>
        <w:rPr>
          <w:rFonts w:eastAsia="仿宋_GB2312"/>
        </w:rPr>
        <w:t>（26）《黑龙江省乡镇级国土空间总体规划编制指南（试行）》；</w:t>
      </w:r>
    </w:p>
    <w:p w14:paraId="4414A7D1">
      <w:pPr>
        <w:ind w:firstLine="640" w:firstLineChars="200"/>
        <w:jc w:val="left"/>
        <w:rPr>
          <w:rFonts w:eastAsia="仿宋_GB2312"/>
        </w:rPr>
      </w:pPr>
      <w:r>
        <w:rPr>
          <w:rFonts w:eastAsia="仿宋_GB2312"/>
        </w:rPr>
        <w:t>（27）《黑龙江省村庄规划编制技术指引（试行）》；</w:t>
      </w:r>
    </w:p>
    <w:p w14:paraId="42B031BC">
      <w:pPr>
        <w:ind w:firstLine="640" w:firstLineChars="200"/>
        <w:jc w:val="left"/>
      </w:pPr>
      <w:r>
        <w:rPr>
          <w:rFonts w:eastAsia="仿宋_GB2312"/>
        </w:rPr>
        <w:t>（28）《佳木斯市国土空间总体规划（2021</w:t>
      </w:r>
      <w:r>
        <w:rPr>
          <w:rFonts w:hint="eastAsia" w:eastAsia="仿宋_GB2312"/>
        </w:rPr>
        <w:t>—</w:t>
      </w:r>
      <w:r>
        <w:rPr>
          <w:rFonts w:eastAsia="仿宋_GB2312"/>
        </w:rPr>
        <w:t>2035年）》；</w:t>
      </w:r>
    </w:p>
    <w:p w14:paraId="543E47A7">
      <w:pPr>
        <w:ind w:firstLine="640" w:firstLineChars="200"/>
        <w:jc w:val="left"/>
        <w:rPr>
          <w:rFonts w:eastAsia="仿宋_GB2312"/>
        </w:rPr>
      </w:pPr>
      <w:r>
        <w:rPr>
          <w:rFonts w:eastAsia="仿宋_GB2312"/>
        </w:rPr>
        <w:t>（29）《桦川县国土空间总体规划（2021</w:t>
      </w:r>
      <w:r>
        <w:rPr>
          <w:rFonts w:hint="eastAsia" w:eastAsia="仿宋_GB2312"/>
        </w:rPr>
        <w:t>—</w:t>
      </w:r>
      <w:r>
        <w:rPr>
          <w:rFonts w:eastAsia="仿宋_GB2312"/>
        </w:rPr>
        <w:t>2035年）》；</w:t>
      </w:r>
    </w:p>
    <w:p w14:paraId="75DB169A">
      <w:pPr>
        <w:ind w:firstLine="640" w:firstLineChars="200"/>
        <w:jc w:val="left"/>
        <w:rPr>
          <w:rFonts w:eastAsia="仿宋_GB2312"/>
        </w:rPr>
      </w:pPr>
      <w:r>
        <w:rPr>
          <w:rFonts w:eastAsia="仿宋_GB2312"/>
        </w:rPr>
        <w:t>（30）《桦川县国民经济和社会发展第十四个五年规划和2035年远景目标纲要》；</w:t>
      </w:r>
    </w:p>
    <w:p w14:paraId="4EC49BFF">
      <w:pPr>
        <w:ind w:firstLine="640" w:firstLineChars="200"/>
        <w:jc w:val="left"/>
        <w:rPr>
          <w:rFonts w:eastAsia="仿宋_GB2312"/>
        </w:rPr>
      </w:pPr>
      <w:bookmarkStart w:id="41" w:name="_Toc23837"/>
      <w:r>
        <w:rPr>
          <w:rFonts w:eastAsia="仿宋_GB2312"/>
        </w:rPr>
        <w:t>（31）国家、省、行业主管部门颁布的其他相关文件及标准规范。</w:t>
      </w:r>
      <w:bookmarkEnd w:id="41"/>
    </w:p>
    <w:p w14:paraId="63890280">
      <w:pPr>
        <w:keepNext/>
        <w:numPr>
          <w:ilvl w:val="0"/>
          <w:numId w:val="1"/>
        </w:numPr>
        <w:spacing w:before="156" w:beforeLines="50" w:after="156" w:afterLines="50"/>
        <w:jc w:val="both"/>
        <w:outlineLvl w:val="2"/>
        <w:rPr>
          <w:rFonts w:eastAsia="楷体_GB2312"/>
          <w:bCs/>
          <w:kern w:val="0"/>
        </w:rPr>
      </w:pPr>
      <w:bookmarkStart w:id="42" w:name="_Toc9179"/>
      <w:r>
        <w:rPr>
          <w:rFonts w:eastAsia="楷体_GB2312"/>
          <w:bCs/>
          <w:kern w:val="0"/>
        </w:rPr>
        <w:t>规划范围</w:t>
      </w:r>
      <w:bookmarkEnd w:id="42"/>
    </w:p>
    <w:p w14:paraId="5166E231">
      <w:pPr>
        <w:ind w:firstLine="640" w:firstLineChars="200"/>
        <w:jc w:val="both"/>
        <w:rPr>
          <w:rFonts w:eastAsia="仿宋_GB2312"/>
        </w:rPr>
      </w:pPr>
      <w:r>
        <w:rPr>
          <w:rFonts w:eastAsia="仿宋_GB2312"/>
        </w:rPr>
        <w:t>本次规划分两个层次，包括镇域和镇政府驻地规划，其空间范围如下：</w:t>
      </w:r>
    </w:p>
    <w:p w14:paraId="7ABA9977">
      <w:pPr>
        <w:ind w:firstLine="640" w:firstLineChars="200"/>
        <w:jc w:val="both"/>
        <w:rPr>
          <w:rFonts w:eastAsia="仿宋_GB2312"/>
        </w:rPr>
      </w:pPr>
      <w:r>
        <w:rPr>
          <w:rFonts w:eastAsia="仿宋_GB2312"/>
        </w:rPr>
        <w:t>镇域为桦川县横头山镇行政辖区范围内全部国土空间，包括10个行政村和4个县属驻镇农林牧场。</w:t>
      </w:r>
    </w:p>
    <w:p w14:paraId="42A4BEE2">
      <w:pPr>
        <w:ind w:firstLine="640" w:firstLineChars="200"/>
        <w:jc w:val="both"/>
        <w:rPr>
          <w:rFonts w:eastAsia="仿宋_GB2312"/>
        </w:rPr>
      </w:pPr>
      <w:r>
        <w:rPr>
          <w:rFonts w:eastAsia="仿宋_GB2312"/>
        </w:rPr>
        <w:t>镇政府驻地规划范围为镇政府驻地集中连片的城镇建成区。</w:t>
      </w:r>
    </w:p>
    <w:p w14:paraId="64D66126">
      <w:pPr>
        <w:keepNext/>
        <w:numPr>
          <w:ilvl w:val="0"/>
          <w:numId w:val="1"/>
        </w:numPr>
        <w:spacing w:before="156" w:beforeLines="50" w:after="156" w:afterLines="50"/>
        <w:jc w:val="both"/>
        <w:outlineLvl w:val="2"/>
        <w:rPr>
          <w:rFonts w:eastAsia="楷体_GB2312"/>
          <w:bCs/>
          <w:kern w:val="0"/>
        </w:rPr>
      </w:pPr>
      <w:bookmarkStart w:id="43" w:name="_Toc4368"/>
      <w:r>
        <w:rPr>
          <w:rFonts w:eastAsia="楷体_GB2312"/>
          <w:bCs/>
          <w:kern w:val="0"/>
        </w:rPr>
        <w:t>规划期限</w:t>
      </w:r>
      <w:bookmarkEnd w:id="43"/>
    </w:p>
    <w:p w14:paraId="10E25FA2">
      <w:pPr>
        <w:ind w:firstLine="640" w:firstLineChars="200"/>
        <w:jc w:val="both"/>
        <w:rPr>
          <w:rFonts w:eastAsia="仿宋_GB2312"/>
        </w:rPr>
      </w:pPr>
      <w:r>
        <w:rPr>
          <w:rFonts w:eastAsia="仿宋_GB2312"/>
        </w:rPr>
        <w:t>本次规划的期限为2021</w:t>
      </w:r>
      <w:r>
        <w:rPr>
          <w:rFonts w:hint="eastAsia" w:eastAsia="仿宋_GB2312"/>
        </w:rPr>
        <w:t>—</w:t>
      </w:r>
      <w:r>
        <w:rPr>
          <w:rFonts w:eastAsia="仿宋_GB2312"/>
        </w:rPr>
        <w:t>2035年，基期年为2020年，其中</w:t>
      </w:r>
      <w:r>
        <w:rPr>
          <w:rFonts w:hint="eastAsia" w:eastAsia="仿宋_GB2312"/>
        </w:rPr>
        <w:t>：</w:t>
      </w:r>
    </w:p>
    <w:p w14:paraId="4618D49E">
      <w:pPr>
        <w:ind w:firstLine="640" w:firstLineChars="200"/>
        <w:jc w:val="both"/>
        <w:rPr>
          <w:rFonts w:eastAsia="仿宋_GB2312"/>
        </w:rPr>
      </w:pPr>
      <w:r>
        <w:rPr>
          <w:rFonts w:eastAsia="仿宋_GB2312"/>
        </w:rPr>
        <w:t>近期规划期限为2021</w:t>
      </w:r>
      <w:r>
        <w:rPr>
          <w:rFonts w:hint="eastAsia" w:eastAsia="仿宋_GB2312"/>
        </w:rPr>
        <w:t>—</w:t>
      </w:r>
      <w:r>
        <w:rPr>
          <w:rFonts w:eastAsia="仿宋_GB2312"/>
        </w:rPr>
        <w:t>2025年；</w:t>
      </w:r>
    </w:p>
    <w:p w14:paraId="18B85C70">
      <w:pPr>
        <w:ind w:firstLine="640" w:firstLineChars="200"/>
        <w:jc w:val="both"/>
        <w:rPr>
          <w:rFonts w:eastAsia="仿宋_GB2312"/>
        </w:rPr>
      </w:pPr>
      <w:r>
        <w:rPr>
          <w:rFonts w:eastAsia="仿宋_GB2312"/>
        </w:rPr>
        <w:t>远期规划期限为2026</w:t>
      </w:r>
      <w:r>
        <w:rPr>
          <w:rFonts w:hint="eastAsia" w:eastAsia="仿宋_GB2312"/>
        </w:rPr>
        <w:t>—</w:t>
      </w:r>
      <w:r>
        <w:rPr>
          <w:rFonts w:eastAsia="仿宋_GB2312"/>
        </w:rPr>
        <w:t>2035年。</w:t>
      </w:r>
    </w:p>
    <w:p w14:paraId="02624E1B">
      <w:pPr>
        <w:keepNext/>
        <w:numPr>
          <w:ilvl w:val="0"/>
          <w:numId w:val="1"/>
        </w:numPr>
        <w:spacing w:before="156" w:beforeLines="50" w:after="156" w:afterLines="50"/>
        <w:jc w:val="both"/>
        <w:outlineLvl w:val="2"/>
        <w:rPr>
          <w:rFonts w:eastAsia="楷体_GB2312"/>
          <w:bCs/>
          <w:kern w:val="0"/>
        </w:rPr>
      </w:pPr>
      <w:bookmarkStart w:id="44" w:name="_Toc4682"/>
      <w:r>
        <w:rPr>
          <w:rFonts w:eastAsia="楷体_GB2312"/>
          <w:bCs/>
          <w:kern w:val="0"/>
        </w:rPr>
        <w:t>强制性内容</w:t>
      </w:r>
      <w:bookmarkEnd w:id="44"/>
    </w:p>
    <w:p w14:paraId="0E977378">
      <w:pPr>
        <w:ind w:firstLine="640" w:firstLineChars="200"/>
        <w:jc w:val="both"/>
        <w:rPr>
          <w:rFonts w:eastAsia="仿宋_GB2312"/>
        </w:rPr>
      </w:pPr>
      <w:r>
        <w:rPr>
          <w:rFonts w:eastAsia="仿宋_GB2312"/>
        </w:rPr>
        <w:t>文本中“</w:t>
      </w:r>
      <w:r>
        <w:rPr>
          <w:rFonts w:eastAsia="仿宋_GB2312"/>
          <w:u w:val="single"/>
        </w:rPr>
        <w:t>下划线</w:t>
      </w:r>
      <w:r>
        <w:rPr>
          <w:rFonts w:eastAsia="仿宋_GB2312"/>
        </w:rPr>
        <w:t>”条文为本规划强制性内容，必须严格执行。未经法定程序严禁修改。</w:t>
      </w:r>
    </w:p>
    <w:p w14:paraId="4BC7E8C1">
      <w:r>
        <w:br w:type="page"/>
      </w:r>
    </w:p>
    <w:p w14:paraId="41E4410B">
      <w:pPr>
        <w:keepNext/>
        <w:spacing w:before="156" w:beforeLines="50" w:after="156" w:afterLines="50"/>
        <w:outlineLvl w:val="0"/>
        <w:rPr>
          <w:bCs/>
          <w:sz w:val="36"/>
          <w:szCs w:val="36"/>
        </w:rPr>
      </w:pPr>
      <w:bookmarkStart w:id="45" w:name="_Toc29987"/>
      <w:r>
        <w:rPr>
          <w:bCs/>
          <w:sz w:val="36"/>
          <w:szCs w:val="36"/>
        </w:rPr>
        <w:t>第二章 目标定位与空间策略</w:t>
      </w:r>
      <w:bookmarkEnd w:id="45"/>
    </w:p>
    <w:p w14:paraId="2E180191">
      <w:pPr>
        <w:keepNext/>
        <w:spacing w:before="156" w:beforeLines="50" w:after="156" w:afterLines="50"/>
        <w:outlineLvl w:val="1"/>
        <w:rPr>
          <w:rFonts w:eastAsia="黑体"/>
        </w:rPr>
      </w:pPr>
      <w:bookmarkStart w:id="46" w:name="_Toc19829"/>
      <w:r>
        <w:rPr>
          <w:rFonts w:eastAsia="黑体"/>
        </w:rPr>
        <w:t>第一节 规划定位</w:t>
      </w:r>
      <w:bookmarkEnd w:id="46"/>
    </w:p>
    <w:p w14:paraId="432F4483">
      <w:pPr>
        <w:keepNext/>
        <w:numPr>
          <w:ilvl w:val="0"/>
          <w:numId w:val="1"/>
        </w:numPr>
        <w:spacing w:before="156" w:beforeLines="50" w:after="156" w:afterLines="50"/>
        <w:jc w:val="both"/>
        <w:outlineLvl w:val="2"/>
        <w:rPr>
          <w:rFonts w:eastAsia="楷体_GB2312"/>
          <w:bCs/>
          <w:kern w:val="0"/>
        </w:rPr>
      </w:pPr>
      <w:r>
        <w:rPr>
          <w:rFonts w:hint="eastAsia" w:eastAsia="楷体_GB2312"/>
          <w:bCs/>
          <w:kern w:val="0"/>
        </w:rPr>
        <w:t xml:space="preserve"> </w:t>
      </w:r>
      <w:r>
        <w:rPr>
          <w:rFonts w:eastAsia="楷体_GB2312"/>
          <w:bCs/>
          <w:kern w:val="0"/>
        </w:rPr>
        <w:t>发展定位</w:t>
      </w:r>
    </w:p>
    <w:p w14:paraId="02411D48">
      <w:pPr>
        <w:ind w:firstLine="640" w:firstLineChars="200"/>
        <w:jc w:val="both"/>
        <w:rPr>
          <w:rFonts w:eastAsia="仿宋_GB2312"/>
        </w:rPr>
      </w:pPr>
      <w:r>
        <w:rPr>
          <w:rFonts w:hint="eastAsia" w:eastAsia="仿宋_GB2312"/>
        </w:rPr>
        <w:t>落实上位规划，横头山镇发展定位为：</w:t>
      </w:r>
      <w:r>
        <w:rPr>
          <w:rFonts w:eastAsia="仿宋_GB2312"/>
        </w:rPr>
        <w:t>以农林产品加工、森林休闲生态旅游观光为主导的工旅型重点城镇。</w:t>
      </w:r>
    </w:p>
    <w:p w14:paraId="35229275">
      <w:pPr>
        <w:keepNext/>
        <w:numPr>
          <w:ilvl w:val="0"/>
          <w:numId w:val="1"/>
        </w:numPr>
        <w:spacing w:before="156" w:beforeLines="50" w:after="156" w:afterLines="50"/>
        <w:jc w:val="both"/>
        <w:outlineLvl w:val="2"/>
        <w:rPr>
          <w:rFonts w:eastAsia="楷体_GB2312"/>
          <w:bCs/>
          <w:kern w:val="0"/>
        </w:rPr>
      </w:pPr>
      <w:r>
        <w:rPr>
          <w:rFonts w:eastAsia="楷体_GB2312"/>
          <w:bCs/>
          <w:kern w:val="0"/>
        </w:rPr>
        <w:t>城镇职能</w:t>
      </w:r>
    </w:p>
    <w:p w14:paraId="6C00FE57">
      <w:pPr>
        <w:ind w:firstLine="640" w:firstLineChars="200"/>
        <w:jc w:val="both"/>
        <w:rPr>
          <w:rFonts w:eastAsia="仿宋_GB2312"/>
        </w:rPr>
      </w:pPr>
      <w:r>
        <w:rPr>
          <w:rFonts w:hint="eastAsia" w:eastAsia="仿宋_GB2312"/>
        </w:rPr>
        <w:t>横头山镇职能定位为：</w:t>
      </w:r>
      <w:r>
        <w:rPr>
          <w:rFonts w:eastAsia="仿宋_GB2312"/>
        </w:rPr>
        <w:t>桦川南部门户；特色种养基地；乡村生态旅游目的地；农副产品生产加工示范基地。</w:t>
      </w:r>
    </w:p>
    <w:p w14:paraId="4C60283C">
      <w:pPr>
        <w:keepNext/>
        <w:spacing w:before="156" w:beforeLines="50" w:after="156" w:afterLines="50"/>
        <w:outlineLvl w:val="1"/>
        <w:rPr>
          <w:rFonts w:eastAsia="黑体"/>
        </w:rPr>
      </w:pPr>
      <w:bookmarkStart w:id="47" w:name="_Toc30195"/>
      <w:r>
        <w:rPr>
          <w:rFonts w:eastAsia="黑体"/>
        </w:rPr>
        <w:t>第二节 国土空间开发保护目标</w:t>
      </w:r>
      <w:bookmarkEnd w:id="47"/>
    </w:p>
    <w:p w14:paraId="108F30DD">
      <w:pPr>
        <w:keepNext/>
        <w:numPr>
          <w:ilvl w:val="0"/>
          <w:numId w:val="1"/>
        </w:numPr>
        <w:spacing w:before="156" w:beforeLines="50" w:after="156" w:afterLines="50"/>
        <w:jc w:val="both"/>
        <w:outlineLvl w:val="2"/>
        <w:rPr>
          <w:rFonts w:eastAsia="楷体_GB2312"/>
          <w:bCs/>
          <w:kern w:val="0"/>
        </w:rPr>
      </w:pPr>
      <w:r>
        <w:rPr>
          <w:rFonts w:eastAsia="楷体_GB2312"/>
          <w:bCs/>
          <w:kern w:val="0"/>
        </w:rPr>
        <w:t>规划目标</w:t>
      </w:r>
    </w:p>
    <w:p w14:paraId="3A01FCF5">
      <w:pPr>
        <w:ind w:firstLine="640" w:firstLineChars="200"/>
        <w:jc w:val="both"/>
        <w:rPr>
          <w:rFonts w:eastAsia="仿宋_GB2312"/>
        </w:rPr>
      </w:pPr>
      <w:r>
        <w:rPr>
          <w:rFonts w:eastAsia="仿宋_GB2312"/>
        </w:rPr>
        <w:t>规划以习近平新时代中国特色社会主义思想为</w:t>
      </w:r>
      <w:r>
        <w:rPr>
          <w:rFonts w:hint="eastAsia" w:eastAsia="仿宋_GB2312"/>
        </w:rPr>
        <w:t>指引</w:t>
      </w:r>
      <w:r>
        <w:rPr>
          <w:rFonts w:eastAsia="仿宋_GB2312"/>
        </w:rPr>
        <w:t>，立足资源优势和资源配置能力，以全省加快小城镇建设为契机，构筑全镇发展战略框架</w:t>
      </w:r>
      <w:r>
        <w:rPr>
          <w:rFonts w:hint="eastAsia" w:eastAsia="仿宋_GB2312"/>
        </w:rPr>
        <w:t>；</w:t>
      </w:r>
      <w:r>
        <w:rPr>
          <w:rFonts w:eastAsia="仿宋_GB2312"/>
        </w:rPr>
        <w:t>以市场为导向，</w:t>
      </w:r>
      <w:r>
        <w:rPr>
          <w:rFonts w:hint="eastAsia" w:eastAsia="仿宋_GB2312"/>
        </w:rPr>
        <w:t>打造</w:t>
      </w:r>
      <w:r>
        <w:rPr>
          <w:rFonts w:eastAsia="仿宋_GB2312"/>
        </w:rPr>
        <w:t>“生态农业”和“绿色食品”的品牌，深入实施“特色绿色农业和生态旅游兴镇”战略，形成以特色绿色农业为基础，以农产品精深加工产业为龙头的经济社会发展格局。以镇政府驻地为发展中心，加速其产业集聚、人口集中过程，通过强化城镇的辐射带动作用，把横头山镇建设成为城乡融合、公共事业配套、综合经济和社会文化发达、生态和谐的现代化城镇。</w:t>
      </w:r>
    </w:p>
    <w:p w14:paraId="1551B3BB">
      <w:pPr>
        <w:ind w:firstLine="640" w:firstLineChars="200"/>
        <w:jc w:val="both"/>
        <w:rPr>
          <w:rFonts w:eastAsia="仿宋_GB2312"/>
        </w:rPr>
      </w:pPr>
      <w:r>
        <w:rPr>
          <w:rFonts w:eastAsia="仿宋_GB2312"/>
        </w:rPr>
        <w:t>到2025年，以经济发展为主线，全力固“底板”、补“短板”、拉“长板”，超常突破、追赶前进，建设更具实力、活力、竞争力的横头山镇。</w:t>
      </w:r>
    </w:p>
    <w:p w14:paraId="107C11BC">
      <w:pPr>
        <w:ind w:firstLine="640" w:firstLineChars="200"/>
        <w:jc w:val="both"/>
        <w:rPr>
          <w:rFonts w:eastAsia="仿宋_GB2312"/>
        </w:rPr>
      </w:pPr>
      <w:r>
        <w:rPr>
          <w:rFonts w:eastAsia="仿宋_GB2312"/>
        </w:rPr>
        <w:t>到2035年，基本实现经济振兴，成为桦川县发展新引擎，建成绿色低碳、信息智能、宜居宜业、具有较强竞争力和影响力、人与自然和谐共生的现代化城镇。</w:t>
      </w:r>
    </w:p>
    <w:p w14:paraId="51118B78">
      <w:pPr>
        <w:ind w:firstLine="640" w:firstLineChars="200"/>
        <w:jc w:val="both"/>
        <w:rPr>
          <w:rFonts w:eastAsia="楷体_GB2312"/>
          <w:bCs/>
        </w:rPr>
      </w:pPr>
      <w:r>
        <w:rPr>
          <w:rFonts w:eastAsia="仿宋_GB2312"/>
        </w:rPr>
        <w:t>到2050年，生态镇建设成效显著，城镇功能更加完善，旅游产业蓬勃发展；经济综合实力大幅提升，经济发展方式根本转变，科技进步成为经济增长的主要动力；文化产品极大丰富，文化产业蓬勃发展，文化事业欣欣向荣；公共服务品质优良，社会治理民主高效，社会环境温馨和谐。</w:t>
      </w:r>
    </w:p>
    <w:p w14:paraId="1CADBCA5">
      <w:pPr>
        <w:keepNext/>
        <w:numPr>
          <w:ilvl w:val="0"/>
          <w:numId w:val="1"/>
        </w:numPr>
        <w:spacing w:before="156" w:beforeLines="50" w:after="156" w:afterLines="50"/>
        <w:jc w:val="both"/>
        <w:outlineLvl w:val="2"/>
        <w:rPr>
          <w:rFonts w:eastAsia="楷体_GB2312"/>
          <w:bCs/>
          <w:kern w:val="0"/>
        </w:rPr>
      </w:pPr>
      <w:r>
        <w:rPr>
          <w:rFonts w:eastAsia="楷体_GB2312"/>
          <w:bCs/>
          <w:kern w:val="0"/>
        </w:rPr>
        <w:t>指标体系</w:t>
      </w:r>
    </w:p>
    <w:p w14:paraId="1DE51570">
      <w:pPr>
        <w:ind w:firstLine="640" w:firstLineChars="200"/>
        <w:jc w:val="both"/>
        <w:rPr>
          <w:rFonts w:eastAsia="仿宋_GB2312"/>
        </w:rPr>
      </w:pPr>
      <w:r>
        <w:rPr>
          <w:rFonts w:eastAsia="仿宋_GB2312"/>
        </w:rPr>
        <w:t>从空间底线、空间结构与效率、空间品质3个方面，共21项指标，其中约束</w:t>
      </w:r>
      <w:r>
        <w:rPr>
          <w:rFonts w:hint="eastAsia" w:eastAsia="仿宋_GB2312"/>
        </w:rPr>
        <w:t>性</w:t>
      </w:r>
      <w:r>
        <w:rPr>
          <w:rFonts w:eastAsia="仿宋_GB2312"/>
        </w:rPr>
        <w:t>指标9项、预期性指标12项，构建全域指标体系。</w:t>
      </w:r>
    </w:p>
    <w:p w14:paraId="3CE99551">
      <w:pPr>
        <w:keepNext/>
        <w:spacing w:before="156" w:beforeLines="50" w:after="156" w:afterLines="50"/>
        <w:outlineLvl w:val="1"/>
        <w:rPr>
          <w:rFonts w:eastAsia="黑体"/>
        </w:rPr>
      </w:pPr>
      <w:bookmarkStart w:id="48" w:name="_Toc15049"/>
      <w:r>
        <w:rPr>
          <w:rFonts w:eastAsia="黑体"/>
        </w:rPr>
        <w:t>第三节 空间策略</w:t>
      </w:r>
      <w:bookmarkEnd w:id="48"/>
    </w:p>
    <w:p w14:paraId="669BA238">
      <w:pPr>
        <w:keepNext/>
        <w:numPr>
          <w:ilvl w:val="0"/>
          <w:numId w:val="1"/>
        </w:numPr>
        <w:spacing w:before="156" w:beforeLines="50" w:after="156" w:afterLines="50"/>
        <w:jc w:val="both"/>
        <w:outlineLvl w:val="2"/>
        <w:rPr>
          <w:rFonts w:eastAsia="楷体_GB2312"/>
          <w:bCs/>
          <w:kern w:val="0"/>
        </w:rPr>
      </w:pPr>
      <w:r>
        <w:rPr>
          <w:rFonts w:eastAsia="楷体_GB2312"/>
          <w:bCs/>
          <w:kern w:val="0"/>
        </w:rPr>
        <w:t>以生态为本底</w:t>
      </w:r>
    </w:p>
    <w:p w14:paraId="7A30CC08">
      <w:pPr>
        <w:ind w:firstLine="640" w:firstLineChars="200"/>
        <w:jc w:val="both"/>
        <w:rPr>
          <w:rFonts w:eastAsia="仿宋_GB2312"/>
        </w:rPr>
      </w:pPr>
      <w:r>
        <w:rPr>
          <w:rFonts w:eastAsia="楷体_GB2312"/>
        </w:rPr>
        <w:t>推进绿色建设。</w:t>
      </w:r>
      <w:r>
        <w:rPr>
          <w:rFonts w:eastAsia="仿宋_GB2312"/>
        </w:rPr>
        <w:t>牢固树立绿水青山就是金山银山的理念，持续实施青山、碧水、蓝天、沃土四大工程，坚决打好污染防治攻坚战。严格落实“河长制”，开展重点流域河道清淤工程，严控污染河流水质问题，实现铃铛麦河稳定达标。加强饮用水全过程管控，确保城乡居民喝上放心水。</w:t>
      </w:r>
    </w:p>
    <w:p w14:paraId="01FD8B46">
      <w:pPr>
        <w:ind w:firstLine="640" w:firstLineChars="200"/>
        <w:jc w:val="both"/>
        <w:rPr>
          <w:rFonts w:eastAsia="仿宋_GB2312"/>
        </w:rPr>
      </w:pPr>
      <w:r>
        <w:rPr>
          <w:rFonts w:eastAsia="楷体_GB2312"/>
        </w:rPr>
        <w:t>构建绿色农业发展体系。</w:t>
      </w:r>
      <w:r>
        <w:rPr>
          <w:rFonts w:eastAsia="仿宋_GB2312"/>
        </w:rPr>
        <w:t>深入实施土壤污染防治计划，强化农业面源污染和畜禽养殖污染防治，推进土壤污染治理和修复。强化农业面源污染防治，科学合理施肥施药，有效管控农用地土壤风险，保障农产品质量，提高畜禽粪污资源化利用率。</w:t>
      </w:r>
    </w:p>
    <w:p w14:paraId="2D67D8DB">
      <w:pPr>
        <w:ind w:firstLine="640" w:firstLineChars="200"/>
        <w:jc w:val="both"/>
        <w:rPr>
          <w:rFonts w:eastAsia="仿宋_GB2312"/>
        </w:rPr>
      </w:pPr>
      <w:r>
        <w:rPr>
          <w:rFonts w:eastAsia="楷体_GB2312"/>
        </w:rPr>
        <w:t>实施产业准入负面清单。</w:t>
      </w:r>
      <w:r>
        <w:rPr>
          <w:rFonts w:eastAsia="仿宋_GB2312"/>
        </w:rPr>
        <w:t>规划要求入驻企业必须满足清洁生产的要求，有效控制大气污染；工业生产中产生的固废要求统一、妥善</w:t>
      </w:r>
      <w:r>
        <w:rPr>
          <w:rFonts w:hint="eastAsia" w:eastAsia="仿宋_GB2312"/>
        </w:rPr>
        <w:t>地</w:t>
      </w:r>
      <w:r>
        <w:rPr>
          <w:rFonts w:eastAsia="仿宋_GB2312"/>
        </w:rPr>
        <w:t>进行处置，尽可能</w:t>
      </w:r>
      <w:r>
        <w:rPr>
          <w:rFonts w:hint="eastAsia" w:eastAsia="仿宋_GB2312"/>
        </w:rPr>
        <w:t>地</w:t>
      </w:r>
      <w:r>
        <w:rPr>
          <w:rFonts w:eastAsia="仿宋_GB2312"/>
        </w:rPr>
        <w:t>进行再利用，发展循环经济。因此，通过合理规划和布置产业，可最大限度</w:t>
      </w:r>
      <w:r>
        <w:rPr>
          <w:rFonts w:hint="eastAsia" w:eastAsia="仿宋_GB2312"/>
        </w:rPr>
        <w:t>地</w:t>
      </w:r>
      <w:r>
        <w:rPr>
          <w:rFonts w:eastAsia="仿宋_GB2312"/>
        </w:rPr>
        <w:t>控制区域污染物排放总量，保护区域环境质量。</w:t>
      </w:r>
    </w:p>
    <w:p w14:paraId="5CC1EC95">
      <w:pPr>
        <w:ind w:firstLine="640" w:firstLineChars="200"/>
        <w:jc w:val="both"/>
        <w:rPr>
          <w:rFonts w:eastAsia="仿宋_GB2312"/>
        </w:rPr>
      </w:pPr>
      <w:r>
        <w:rPr>
          <w:rFonts w:eastAsia="楷体_GB2312"/>
        </w:rPr>
        <w:t>推进生态文明建设。</w:t>
      </w:r>
      <w:r>
        <w:rPr>
          <w:rFonts w:eastAsia="仿宋_GB2312"/>
        </w:rPr>
        <w:t>生态文明同属一体，人与自然和谐共生，更应尊重自然、顺应自然、保护自然。应形成绿色发展方式和生活方式，坚定走生产发展、生活富裕、生态良好的文明发展道路。在聚焦商贸物流、休闲旅游、教育科技、传统文化等特色，对本地生态环境等资源进行挖掘与结合，构建特色环保产业，实现社会效益、经济效益、生态效益的统一，推动生态文明建设，实现人与自然共发展。</w:t>
      </w:r>
    </w:p>
    <w:p w14:paraId="2A763466">
      <w:pPr>
        <w:keepNext/>
        <w:numPr>
          <w:ilvl w:val="0"/>
          <w:numId w:val="1"/>
        </w:numPr>
        <w:spacing w:before="156" w:beforeLines="50" w:after="156" w:afterLines="50"/>
        <w:jc w:val="both"/>
        <w:outlineLvl w:val="2"/>
        <w:rPr>
          <w:rFonts w:eastAsia="楷体_GB2312"/>
          <w:bCs/>
          <w:kern w:val="0"/>
        </w:rPr>
      </w:pPr>
      <w:r>
        <w:rPr>
          <w:rFonts w:eastAsia="楷体_GB2312"/>
          <w:bCs/>
          <w:kern w:val="0"/>
        </w:rPr>
        <w:t>以产业谋发展</w:t>
      </w:r>
    </w:p>
    <w:p w14:paraId="412D48F4">
      <w:pPr>
        <w:ind w:firstLine="640" w:firstLineChars="200"/>
        <w:jc w:val="both"/>
        <w:rPr>
          <w:rFonts w:eastAsia="仿宋_GB2312"/>
        </w:rPr>
      </w:pPr>
      <w:r>
        <w:rPr>
          <w:rFonts w:eastAsia="楷体_GB2312"/>
        </w:rPr>
        <w:t>升级产业链，融入区域发展格局。</w:t>
      </w:r>
      <w:r>
        <w:rPr>
          <w:rFonts w:eastAsia="仿宋_GB2312"/>
        </w:rPr>
        <w:t>在未来发展中，横头山镇要把握机遇，充分利用自身地缘优势、产业基础、交通条件和生态人文资源，积极参与并融入区域的资源整合和市场分工，以区域合作促进城镇发展。</w:t>
      </w:r>
    </w:p>
    <w:p w14:paraId="7222E78A">
      <w:pPr>
        <w:keepNext/>
        <w:numPr>
          <w:ilvl w:val="0"/>
          <w:numId w:val="1"/>
        </w:numPr>
        <w:spacing w:before="156" w:beforeLines="50" w:after="156" w:afterLines="50"/>
        <w:jc w:val="both"/>
        <w:outlineLvl w:val="2"/>
        <w:rPr>
          <w:rFonts w:eastAsia="楷体_GB2312"/>
          <w:bCs/>
          <w:kern w:val="0"/>
        </w:rPr>
      </w:pPr>
      <w:r>
        <w:rPr>
          <w:rFonts w:eastAsia="楷体_GB2312"/>
          <w:bCs/>
          <w:kern w:val="0"/>
        </w:rPr>
        <w:t>以空间促协作</w:t>
      </w:r>
    </w:p>
    <w:p w14:paraId="3F5076B7">
      <w:pPr>
        <w:ind w:firstLine="640" w:firstLineChars="200"/>
        <w:jc w:val="both"/>
        <w:rPr>
          <w:rFonts w:eastAsia="仿宋_GB2312"/>
        </w:rPr>
      </w:pPr>
      <w:r>
        <w:rPr>
          <w:rFonts w:eastAsia="楷体_GB2312"/>
        </w:rPr>
        <w:t>调整产业布局。</w:t>
      </w:r>
      <w:r>
        <w:rPr>
          <w:rFonts w:eastAsia="仿宋_GB2312"/>
        </w:rPr>
        <w:t>镇域产业布局形成“一心两轴两区多点”的结构。一心：为镇政府驻地产业发展核心；两轴：为依托佳桦公路和桦横公路形成一横一纵两条连接周边乡镇、市县的区域协同发展轴；两区：为北部现代农业发展区和南部生态旅游业发展区；多点：以各个村特色产业形成的节点。</w:t>
      </w:r>
    </w:p>
    <w:p w14:paraId="27283A3A">
      <w:pPr>
        <w:ind w:firstLine="640" w:firstLineChars="200"/>
        <w:jc w:val="both"/>
        <w:rPr>
          <w:rFonts w:eastAsia="仿宋_GB2312"/>
        </w:rPr>
      </w:pPr>
      <w:r>
        <w:rPr>
          <w:rFonts w:eastAsia="楷体_GB2312"/>
        </w:rPr>
        <w:t>积极发展旅游特色。</w:t>
      </w:r>
      <w:r>
        <w:rPr>
          <w:rFonts w:eastAsia="仿宋_GB2312"/>
        </w:rPr>
        <w:t>拓展森林探险游、田园综合旅游、户外旅游等特色旅游产品。旅游产业形成“一心一轴两廊两区多点”的规划布局，以镇政府驻地作为镇域旅游服务核心，以佳桦公路作为主要旅游轴线连通北部现代农业观光区和南部生态旅游区，依托主要河流形成两条景观廊道，串联七一水库、申家店等主要旅游节点。</w:t>
      </w:r>
    </w:p>
    <w:p w14:paraId="07C2582D">
      <w:pPr>
        <w:ind w:firstLine="640" w:firstLineChars="200"/>
        <w:jc w:val="both"/>
        <w:rPr>
          <w:rFonts w:eastAsia="仿宋_GB2312"/>
        </w:rPr>
      </w:pPr>
      <w:r>
        <w:rPr>
          <w:rFonts w:eastAsia="楷体_GB2312"/>
        </w:rPr>
        <w:t>集聚空间资源。</w:t>
      </w:r>
      <w:r>
        <w:rPr>
          <w:rFonts w:eastAsia="仿宋_GB2312"/>
        </w:rPr>
        <w:t>横头山镇已进入空间结构开放式发展的快速时期，应立足区域和产业发展趋势，确立能够满足城市未来发展需求的远景空间发展架构，统筹安排道路交通选线、公共中心和产业布局、绿地生态系统等结构性问题。同时，规划期内的空间布局应兼顾远景发展和近期建设要求，形成有机生长的新的空间拓展模式，为城镇的快速发展提供具有适应性和生长性的空间载体。</w:t>
      </w:r>
    </w:p>
    <w:p w14:paraId="74AE6C93">
      <w:pPr>
        <w:ind w:firstLine="640" w:firstLineChars="200"/>
        <w:jc w:val="both"/>
        <w:rPr>
          <w:rFonts w:eastAsia="仿宋_GB2312"/>
        </w:rPr>
      </w:pPr>
      <w:r>
        <w:rPr>
          <w:rFonts w:eastAsia="楷体_GB2312"/>
        </w:rPr>
        <w:t>完善设施工程。</w:t>
      </w:r>
      <w:r>
        <w:rPr>
          <w:rFonts w:eastAsia="仿宋_GB2312"/>
        </w:rPr>
        <w:t>打造宜居宜业宜游乡镇。未来应更多依靠特色体验、文化、旅游服务项目引发相应的生活服务需求；通过增加特色化或提高服务能级，增加对周边居民和企业职工的吸引力；加强养老产业发展</w:t>
      </w:r>
      <w:r>
        <w:rPr>
          <w:rFonts w:hint="eastAsia" w:eastAsia="仿宋_GB2312"/>
        </w:rPr>
        <w:t>，在</w:t>
      </w:r>
      <w:r>
        <w:rPr>
          <w:rFonts w:eastAsia="仿宋_GB2312"/>
        </w:rPr>
        <w:t>营造宜居居住社区等方面提升全镇的生活服务水平。未来加大基础设施投入力度，持续完善基础设施及公共服务设施，开展道路交通建设、集中供热、供气工程建设、信息网络建设等项目，以加快推进城镇化建设力度。</w:t>
      </w:r>
    </w:p>
    <w:p w14:paraId="08F9E84A">
      <w:pPr>
        <w:keepNext/>
        <w:spacing w:before="156" w:beforeLines="50" w:after="156" w:afterLines="50"/>
        <w:outlineLvl w:val="1"/>
        <w:rPr>
          <w:rFonts w:eastAsia="黑体"/>
        </w:rPr>
      </w:pPr>
      <w:bookmarkStart w:id="49" w:name="_Toc31044"/>
      <w:r>
        <w:rPr>
          <w:rFonts w:eastAsia="黑体"/>
        </w:rPr>
        <w:t>第四节 上位规划约束传导</w:t>
      </w:r>
      <w:bookmarkEnd w:id="49"/>
    </w:p>
    <w:p w14:paraId="4C1BA14D">
      <w:pPr>
        <w:keepNext/>
        <w:numPr>
          <w:ilvl w:val="0"/>
          <w:numId w:val="1"/>
        </w:numPr>
        <w:spacing w:before="156" w:beforeLines="50" w:after="156" w:afterLines="50"/>
        <w:jc w:val="both"/>
        <w:outlineLvl w:val="2"/>
        <w:rPr>
          <w:rFonts w:eastAsia="楷体_GB2312"/>
          <w:bCs/>
          <w:kern w:val="0"/>
        </w:rPr>
      </w:pPr>
      <w:r>
        <w:rPr>
          <w:rFonts w:eastAsia="楷体_GB2312"/>
          <w:bCs/>
          <w:kern w:val="0"/>
        </w:rPr>
        <w:t>《佳木斯市国土空间总体规划（2021</w:t>
      </w:r>
      <w:r>
        <w:rPr>
          <w:rFonts w:hint="eastAsia" w:eastAsia="楷体_GB2312"/>
          <w:bCs/>
          <w:kern w:val="0"/>
        </w:rPr>
        <w:t>—</w:t>
      </w:r>
      <w:r>
        <w:rPr>
          <w:rFonts w:eastAsia="楷体_GB2312"/>
          <w:bCs/>
          <w:kern w:val="0"/>
        </w:rPr>
        <w:t>2035年）》</w:t>
      </w:r>
    </w:p>
    <w:p w14:paraId="266E8445">
      <w:pPr>
        <w:ind w:firstLine="640" w:firstLineChars="200"/>
        <w:jc w:val="both"/>
        <w:rPr>
          <w:rFonts w:eastAsia="仿宋_GB2312"/>
        </w:rPr>
      </w:pPr>
      <w:r>
        <w:rPr>
          <w:rFonts w:eastAsia="仿宋_GB2312"/>
        </w:rPr>
        <w:t>佳木斯市国土空间</w:t>
      </w:r>
      <w:r>
        <w:rPr>
          <w:rFonts w:hint="eastAsia" w:eastAsia="仿宋_GB2312"/>
        </w:rPr>
        <w:t>发展</w:t>
      </w:r>
      <w:r>
        <w:rPr>
          <w:rFonts w:eastAsia="仿宋_GB2312"/>
        </w:rPr>
        <w:t>格局：构建“一核引领、两区协同、轴带联动”的国土空间总格局。依托佳木斯中心城区、</w:t>
      </w:r>
      <w:r>
        <w:rPr>
          <w:rFonts w:eastAsia="仿宋_GB2312"/>
          <w:b/>
          <w:bCs/>
        </w:rPr>
        <w:t>桦川</w:t>
      </w:r>
      <w:r>
        <w:rPr>
          <w:rFonts w:eastAsia="仿宋_GB2312"/>
        </w:rPr>
        <w:t>、富锦、建三江、同江、抚远形成的对俄沿江开放开发带，打造市域东西经济联动发展主轴。</w:t>
      </w:r>
    </w:p>
    <w:p w14:paraId="06AD7BE8">
      <w:pPr>
        <w:keepNext/>
        <w:numPr>
          <w:ilvl w:val="0"/>
          <w:numId w:val="1"/>
        </w:numPr>
        <w:spacing w:before="156" w:beforeLines="50" w:after="156" w:afterLines="50"/>
        <w:jc w:val="both"/>
        <w:outlineLvl w:val="2"/>
        <w:rPr>
          <w:rFonts w:eastAsia="楷体_GB2312"/>
          <w:bCs/>
          <w:kern w:val="0"/>
        </w:rPr>
      </w:pPr>
      <w:r>
        <w:rPr>
          <w:rFonts w:eastAsia="楷体_GB2312"/>
          <w:bCs/>
          <w:kern w:val="0"/>
        </w:rPr>
        <w:t>《桦川县国土空间总体规划（2021</w:t>
      </w:r>
      <w:r>
        <w:rPr>
          <w:rFonts w:hint="eastAsia" w:eastAsia="楷体_GB2312"/>
          <w:bCs/>
          <w:kern w:val="0"/>
        </w:rPr>
        <w:t>—</w:t>
      </w:r>
      <w:r>
        <w:rPr>
          <w:rFonts w:eastAsia="楷体_GB2312"/>
          <w:bCs/>
          <w:kern w:val="0"/>
        </w:rPr>
        <w:t>2035年）》</w:t>
      </w:r>
    </w:p>
    <w:p w14:paraId="3A765D1F">
      <w:pPr>
        <w:ind w:firstLine="640" w:firstLineChars="200"/>
        <w:jc w:val="both"/>
        <w:rPr>
          <w:rFonts w:eastAsia="仿宋_GB2312"/>
        </w:rPr>
      </w:pPr>
      <w:r>
        <w:rPr>
          <w:rFonts w:eastAsia="仿宋_GB2312"/>
        </w:rPr>
        <w:t>确定桦川县域建立中心城区</w:t>
      </w:r>
      <w:r>
        <w:rPr>
          <w:rFonts w:hint="eastAsia" w:eastAsia="仿宋_GB2312"/>
        </w:rPr>
        <w:t>—</w:t>
      </w:r>
      <w:r>
        <w:rPr>
          <w:rFonts w:eastAsia="仿宋_GB2312"/>
        </w:rPr>
        <w:t>重点镇</w:t>
      </w:r>
      <w:r>
        <w:rPr>
          <w:rFonts w:hint="eastAsia" w:eastAsia="仿宋_GB2312"/>
        </w:rPr>
        <w:t>—</w:t>
      </w:r>
      <w:r>
        <w:rPr>
          <w:rFonts w:eastAsia="仿宋_GB2312"/>
        </w:rPr>
        <w:t>一般镇/乡/农场的三级结构体系。横头山镇为重点镇，人口控制在1万人以下，职能类型为工旅型，主要引导产业为农林产品加工、森林休闲生态旅游观光。</w:t>
      </w:r>
      <w:r>
        <w:rPr>
          <w:rFonts w:eastAsia="仿宋_GB2312"/>
        </w:rPr>
        <w:br w:type="textWrapping"/>
      </w:r>
    </w:p>
    <w:p w14:paraId="620F8030">
      <w:pPr>
        <w:keepNext/>
        <w:spacing w:before="156" w:beforeLines="50" w:after="156" w:afterLines="50"/>
        <w:outlineLvl w:val="0"/>
        <w:rPr>
          <w:bCs/>
          <w:sz w:val="36"/>
          <w:szCs w:val="36"/>
        </w:rPr>
      </w:pPr>
      <w:bookmarkStart w:id="50" w:name="_Toc32525"/>
      <w:r>
        <w:rPr>
          <w:bCs/>
          <w:sz w:val="36"/>
          <w:szCs w:val="36"/>
        </w:rPr>
        <w:t>第三章 国土空间格局</w:t>
      </w:r>
      <w:bookmarkEnd w:id="50"/>
    </w:p>
    <w:p w14:paraId="0016E17F">
      <w:pPr>
        <w:keepNext/>
        <w:spacing w:before="156" w:beforeLines="50" w:after="156" w:afterLines="50"/>
        <w:outlineLvl w:val="1"/>
        <w:rPr>
          <w:rFonts w:eastAsia="黑体"/>
        </w:rPr>
      </w:pPr>
      <w:bookmarkStart w:id="51" w:name="_Toc12658"/>
      <w:r>
        <w:rPr>
          <w:rFonts w:eastAsia="黑体"/>
        </w:rPr>
        <w:t>第一节 区域协同发展</w:t>
      </w:r>
      <w:bookmarkEnd w:id="51"/>
    </w:p>
    <w:p w14:paraId="26F30CA0">
      <w:pPr>
        <w:keepNext/>
        <w:numPr>
          <w:ilvl w:val="0"/>
          <w:numId w:val="1"/>
        </w:numPr>
        <w:spacing w:before="156" w:beforeLines="50" w:after="156" w:afterLines="50"/>
        <w:jc w:val="both"/>
        <w:outlineLvl w:val="2"/>
        <w:rPr>
          <w:rFonts w:eastAsia="楷体_GB2312"/>
          <w:bCs/>
          <w:kern w:val="0"/>
        </w:rPr>
      </w:pPr>
      <w:r>
        <w:rPr>
          <w:rFonts w:eastAsia="楷体_GB2312"/>
          <w:bCs/>
          <w:kern w:val="0"/>
        </w:rPr>
        <w:t>区域协同发展</w:t>
      </w:r>
    </w:p>
    <w:p w14:paraId="5875F34F">
      <w:pPr>
        <w:ind w:firstLine="640" w:firstLineChars="200"/>
        <w:jc w:val="both"/>
        <w:rPr>
          <w:rFonts w:eastAsia="仿宋_GB2312"/>
        </w:rPr>
      </w:pPr>
      <w:r>
        <w:rPr>
          <w:rFonts w:eastAsia="仿宋_GB2312"/>
        </w:rPr>
        <w:t>落实桦川县“一心一轴一廊三区”的国土空间开发保护利用总体格局，衔接国民经济和社会发展规划，加强与周边行政区域在自然资源保护利用、生态环境治理、产业互补协作、基础设施联通、公共服务配置、交通网络衔接、城乡协同规划建设等方面的协调。</w:t>
      </w:r>
    </w:p>
    <w:p w14:paraId="1A36F584">
      <w:pPr>
        <w:ind w:firstLine="640" w:firstLineChars="200"/>
        <w:jc w:val="both"/>
        <w:rPr>
          <w:rFonts w:eastAsia="仿宋_GB2312"/>
        </w:rPr>
      </w:pPr>
      <w:r>
        <w:rPr>
          <w:rFonts w:eastAsia="仿宋_GB2312"/>
        </w:rPr>
        <w:t>积极推进镇域内各村之间的经济合作与协调发展，加强各村在产业发展、生态建设、环境保护、城镇空间与基础设施布局等方面的协调发展，逐步缩小城乡差距，实现镇域城乡统筹协调发展。</w:t>
      </w:r>
    </w:p>
    <w:p w14:paraId="750816F0">
      <w:pPr>
        <w:keepNext/>
        <w:spacing w:before="156" w:beforeLines="50" w:after="156" w:afterLines="50"/>
        <w:outlineLvl w:val="1"/>
        <w:rPr>
          <w:rFonts w:eastAsia="黑体"/>
        </w:rPr>
      </w:pPr>
      <w:bookmarkStart w:id="52" w:name="_Toc30904"/>
      <w:r>
        <w:rPr>
          <w:rFonts w:eastAsia="黑体"/>
        </w:rPr>
        <w:t>第</w:t>
      </w:r>
      <w:r>
        <w:rPr>
          <w:rFonts w:hint="eastAsia" w:eastAsia="黑体"/>
          <w:lang w:val="en-US" w:eastAsia="zh-CN"/>
        </w:rPr>
        <w:t>二</w:t>
      </w:r>
      <w:r>
        <w:rPr>
          <w:rFonts w:eastAsia="黑体"/>
        </w:rPr>
        <w:t>节 落实主体功能区传导</w:t>
      </w:r>
      <w:bookmarkEnd w:id="52"/>
    </w:p>
    <w:p w14:paraId="0AEABB11">
      <w:pPr>
        <w:keepNext/>
        <w:numPr>
          <w:ilvl w:val="0"/>
          <w:numId w:val="1"/>
        </w:numPr>
        <w:spacing w:before="156" w:beforeLines="50" w:after="156" w:afterLines="50"/>
        <w:jc w:val="both"/>
        <w:outlineLvl w:val="2"/>
        <w:rPr>
          <w:rFonts w:eastAsia="楷体_GB2312"/>
          <w:bCs/>
          <w:kern w:val="0"/>
        </w:rPr>
      </w:pPr>
      <w:r>
        <w:rPr>
          <w:rFonts w:eastAsia="楷体_GB2312"/>
          <w:bCs/>
          <w:kern w:val="0"/>
        </w:rPr>
        <w:t>主体功能区落实</w:t>
      </w:r>
    </w:p>
    <w:p w14:paraId="7C12C700">
      <w:pPr>
        <w:ind w:firstLine="640" w:firstLineChars="200"/>
        <w:jc w:val="both"/>
        <w:rPr>
          <w:rFonts w:eastAsia="楷体_GB2312"/>
          <w:bCs/>
          <w:kern w:val="0"/>
        </w:rPr>
      </w:pPr>
      <w:r>
        <w:rPr>
          <w:rFonts w:eastAsia="仿宋_GB2312"/>
        </w:rPr>
        <w:t>横头山镇主体功能区定位为重点生态功能区，建立健全生态补偿机制，实施产业负面清单制度，鼓励发展资源环境可承载的特色产业，完善生态环境质量监测机制，重点考核生态保护、民生改善方面的指标。功能定位为：水源涵养、水土保持和生物多样性</w:t>
      </w:r>
      <w:r>
        <w:rPr>
          <w:rFonts w:hint="eastAsia" w:eastAsia="仿宋_GB2312"/>
        </w:rPr>
        <w:t>保护</w:t>
      </w:r>
      <w:r>
        <w:rPr>
          <w:rFonts w:eastAsia="仿宋_GB2312"/>
        </w:rPr>
        <w:t>为主要生态功能，保障人与自然和谐相处，引导城镇建设与工业开发集中布局、点状开发，禁止成片蔓延式开发扩张，腾出更多的空间用于维系生态系统的良性循环。要依托资源环境承载能力相对较强的城镇。</w:t>
      </w:r>
    </w:p>
    <w:p w14:paraId="790E208B">
      <w:pPr>
        <w:keepNext/>
        <w:spacing w:before="156" w:beforeLines="50" w:after="156" w:afterLines="50"/>
        <w:outlineLvl w:val="1"/>
        <w:rPr>
          <w:rFonts w:eastAsia="黑体"/>
        </w:rPr>
      </w:pPr>
      <w:bookmarkStart w:id="53" w:name="_Toc19066"/>
      <w:r>
        <w:rPr>
          <w:rFonts w:eastAsia="黑体"/>
        </w:rPr>
        <w:t>第</w:t>
      </w:r>
      <w:r>
        <w:rPr>
          <w:rFonts w:hint="eastAsia" w:eastAsia="黑体"/>
          <w:lang w:val="en-US" w:eastAsia="zh-CN"/>
        </w:rPr>
        <w:t>三</w:t>
      </w:r>
      <w:r>
        <w:rPr>
          <w:rFonts w:eastAsia="黑体"/>
        </w:rPr>
        <w:t>节 总体空间格局</w:t>
      </w:r>
      <w:bookmarkEnd w:id="53"/>
    </w:p>
    <w:p w14:paraId="467E676D">
      <w:pPr>
        <w:keepNext/>
        <w:numPr>
          <w:ilvl w:val="0"/>
          <w:numId w:val="1"/>
        </w:numPr>
        <w:spacing w:before="156" w:beforeLines="50" w:after="156" w:afterLines="50"/>
        <w:jc w:val="both"/>
        <w:outlineLvl w:val="2"/>
        <w:rPr>
          <w:rFonts w:eastAsia="楷体_GB2312"/>
          <w:bCs/>
          <w:kern w:val="0"/>
        </w:rPr>
      </w:pPr>
      <w:r>
        <w:rPr>
          <w:rFonts w:eastAsia="楷体_GB2312"/>
          <w:bCs/>
          <w:kern w:val="0"/>
        </w:rPr>
        <w:t>全域国土空间</w:t>
      </w:r>
      <w:r>
        <w:rPr>
          <w:rFonts w:hint="eastAsia" w:eastAsia="楷体_GB2312"/>
          <w:bCs/>
          <w:kern w:val="0"/>
        </w:rPr>
        <w:t>发展</w:t>
      </w:r>
      <w:r>
        <w:rPr>
          <w:rFonts w:eastAsia="楷体_GB2312"/>
          <w:bCs/>
          <w:kern w:val="0"/>
        </w:rPr>
        <w:t>格局</w:t>
      </w:r>
    </w:p>
    <w:p w14:paraId="47800B34">
      <w:pPr>
        <w:ind w:firstLine="640" w:firstLineChars="200"/>
        <w:jc w:val="both"/>
        <w:rPr>
          <w:rFonts w:eastAsia="仿宋_GB2312"/>
        </w:rPr>
      </w:pPr>
      <w:r>
        <w:rPr>
          <w:rFonts w:eastAsia="仿宋_GB2312"/>
        </w:rPr>
        <w:t>横头山镇规划构建镇域“两轴两区两带多点”的国土空间开发保护总体格局。</w:t>
      </w:r>
    </w:p>
    <w:p w14:paraId="4BCBF28D">
      <w:pPr>
        <w:ind w:firstLine="640" w:firstLineChars="200"/>
        <w:jc w:val="both"/>
        <w:rPr>
          <w:rFonts w:eastAsia="仿宋_GB2312"/>
        </w:rPr>
      </w:pPr>
      <w:r>
        <w:rPr>
          <w:rFonts w:eastAsia="楷体_GB2312"/>
        </w:rPr>
        <w:t>“两轴”：</w:t>
      </w:r>
      <w:r>
        <w:rPr>
          <w:rFonts w:eastAsia="仿宋_GB2312"/>
        </w:rPr>
        <w:t>指沿佳桦公路形成的主要发展轴和沿桦横公路形成的次要发展轴；</w:t>
      </w:r>
    </w:p>
    <w:p w14:paraId="76A5BAB1">
      <w:pPr>
        <w:ind w:firstLine="640" w:firstLineChars="200"/>
        <w:jc w:val="both"/>
        <w:rPr>
          <w:rFonts w:eastAsia="仿宋_GB2312"/>
        </w:rPr>
      </w:pPr>
      <w:r>
        <w:rPr>
          <w:rFonts w:eastAsia="楷体_GB2312"/>
        </w:rPr>
        <w:t>“两区”：</w:t>
      </w:r>
      <w:r>
        <w:rPr>
          <w:rFonts w:eastAsia="仿宋_GB2312"/>
        </w:rPr>
        <w:t>指现代农业功能区和生态旅游区；</w:t>
      </w:r>
    </w:p>
    <w:p w14:paraId="72CFA570">
      <w:pPr>
        <w:ind w:firstLine="640" w:firstLineChars="200"/>
        <w:jc w:val="both"/>
        <w:rPr>
          <w:rFonts w:eastAsia="仿宋_GB2312"/>
        </w:rPr>
      </w:pPr>
      <w:r>
        <w:rPr>
          <w:rFonts w:eastAsia="楷体_GB2312"/>
        </w:rPr>
        <w:t>“两带”：</w:t>
      </w:r>
      <w:r>
        <w:rPr>
          <w:rFonts w:eastAsia="仿宋_GB2312"/>
        </w:rPr>
        <w:t>指沿主要河流形成的景观带；</w:t>
      </w:r>
    </w:p>
    <w:p w14:paraId="66144EA7">
      <w:pPr>
        <w:ind w:firstLine="640" w:firstLineChars="200"/>
        <w:jc w:val="both"/>
      </w:pPr>
      <w:r>
        <w:rPr>
          <w:rFonts w:eastAsia="楷体_GB2312"/>
        </w:rPr>
        <w:t>“多点”：</w:t>
      </w:r>
      <w:r>
        <w:rPr>
          <w:rFonts w:eastAsia="仿宋_GB2312"/>
        </w:rPr>
        <w:t>指镇政府驻地、七一水库，申家店村旅游综合服务中心等景观节点。</w:t>
      </w:r>
    </w:p>
    <w:p w14:paraId="2CD45D55">
      <w:pPr>
        <w:keepNext/>
        <w:spacing w:before="156" w:beforeLines="50" w:after="156" w:afterLines="50"/>
        <w:outlineLvl w:val="1"/>
        <w:rPr>
          <w:rFonts w:eastAsia="黑体"/>
        </w:rPr>
      </w:pPr>
      <w:bookmarkStart w:id="54" w:name="_Toc21927"/>
      <w:r>
        <w:rPr>
          <w:rFonts w:eastAsia="黑体"/>
        </w:rPr>
        <w:t>第</w:t>
      </w:r>
      <w:r>
        <w:rPr>
          <w:rFonts w:hint="eastAsia" w:eastAsia="黑体"/>
          <w:lang w:val="en-US" w:eastAsia="zh-CN"/>
        </w:rPr>
        <w:t>四</w:t>
      </w:r>
      <w:r>
        <w:rPr>
          <w:rFonts w:eastAsia="黑体"/>
        </w:rPr>
        <w:t>节 规划分区</w:t>
      </w:r>
      <w:bookmarkEnd w:id="54"/>
    </w:p>
    <w:p w14:paraId="203F54BE">
      <w:pPr>
        <w:keepNext/>
        <w:numPr>
          <w:ilvl w:val="0"/>
          <w:numId w:val="1"/>
        </w:numPr>
        <w:spacing w:before="156" w:beforeLines="50" w:after="156" w:afterLines="50"/>
        <w:jc w:val="both"/>
        <w:outlineLvl w:val="2"/>
        <w:rPr>
          <w:rFonts w:eastAsia="楷体_GB2312"/>
          <w:bCs/>
          <w:kern w:val="0"/>
        </w:rPr>
      </w:pPr>
      <w:r>
        <w:rPr>
          <w:rFonts w:eastAsia="楷体_GB2312"/>
          <w:bCs/>
          <w:kern w:val="0"/>
        </w:rPr>
        <w:t>国土空间规划分区</w:t>
      </w:r>
    </w:p>
    <w:p w14:paraId="671CB91E">
      <w:pPr>
        <w:ind w:firstLine="640" w:firstLineChars="200"/>
        <w:jc w:val="both"/>
        <w:rPr>
          <w:rFonts w:eastAsia="仿宋_GB2312"/>
        </w:rPr>
      </w:pPr>
      <w:r>
        <w:rPr>
          <w:rFonts w:eastAsia="仿宋_GB2312"/>
        </w:rPr>
        <w:t>在落实上位规划确定的空间格局、规划分区和调控目标基础上，结合横头山镇实际，划分规划分区。</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722"/>
      </w:tblGrid>
      <w:tr w14:paraId="52A5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8522" w:type="dxa"/>
            <w:gridSpan w:val="2"/>
          </w:tcPr>
          <w:p w14:paraId="6DA30382">
            <w:pPr>
              <w:pStyle w:val="8"/>
              <w:keepLines/>
              <w:adjustRightInd w:val="0"/>
              <w:snapToGrid w:val="0"/>
              <w:spacing w:after="0" w:line="240" w:lineRule="auto"/>
              <w:ind w:left="0" w:leftChars="0" w:firstLine="600"/>
              <w:jc w:val="center"/>
            </w:pPr>
            <w:r>
              <w:rPr>
                <w:rFonts w:eastAsia="黑体"/>
                <w:sz w:val="30"/>
                <w:szCs w:val="30"/>
                <w:lang w:bidi="ar"/>
              </w:rPr>
              <w:t>专栏</w:t>
            </w:r>
            <w:r>
              <w:rPr>
                <w:rFonts w:hint="eastAsia" w:eastAsia="黑体"/>
                <w:sz w:val="30"/>
                <w:szCs w:val="30"/>
                <w:lang w:val="en-US" w:eastAsia="zh-CN" w:bidi="ar"/>
              </w:rPr>
              <w:t>1</w:t>
            </w:r>
            <w:r>
              <w:rPr>
                <w:rFonts w:eastAsia="黑体"/>
                <w:sz w:val="30"/>
                <w:szCs w:val="30"/>
                <w:lang w:bidi="ar"/>
              </w:rPr>
              <w:t>：规划分区及管控要求一览表</w:t>
            </w:r>
          </w:p>
        </w:tc>
      </w:tr>
      <w:tr w14:paraId="0CEE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0" w:type="dxa"/>
          </w:tcPr>
          <w:p w14:paraId="3B21B204">
            <w:pPr>
              <w:pStyle w:val="2"/>
              <w:spacing w:before="0" w:beforeLines="0" w:after="0" w:afterLines="0" w:line="240" w:lineRule="auto"/>
              <w:ind w:firstLine="0"/>
              <w:rPr>
                <w:rFonts w:ascii="仿宋_GB2312" w:eastAsia="仿宋_GB2312"/>
                <w:sz w:val="24"/>
                <w:szCs w:val="24"/>
              </w:rPr>
            </w:pPr>
            <w:r>
              <w:rPr>
                <w:rFonts w:ascii="仿宋_GB2312" w:eastAsia="仿宋_GB2312"/>
                <w:sz w:val="24"/>
                <w:szCs w:val="24"/>
              </w:rPr>
              <w:t>规划分区</w:t>
            </w:r>
          </w:p>
        </w:tc>
        <w:tc>
          <w:tcPr>
            <w:tcW w:w="6722" w:type="dxa"/>
          </w:tcPr>
          <w:p w14:paraId="5426C743">
            <w:pPr>
              <w:pStyle w:val="2"/>
              <w:spacing w:before="0" w:beforeLines="0" w:after="0" w:afterLines="0" w:line="240" w:lineRule="auto"/>
              <w:ind w:firstLine="0"/>
              <w:rPr>
                <w:rFonts w:ascii="仿宋_GB2312" w:eastAsia="仿宋_GB2312"/>
                <w:sz w:val="24"/>
                <w:szCs w:val="24"/>
              </w:rPr>
            </w:pPr>
            <w:r>
              <w:rPr>
                <w:rFonts w:ascii="仿宋_GB2312" w:eastAsia="仿宋_GB2312"/>
                <w:sz w:val="24"/>
                <w:szCs w:val="24"/>
              </w:rPr>
              <w:t>管制要求</w:t>
            </w:r>
          </w:p>
        </w:tc>
      </w:tr>
      <w:tr w14:paraId="09DE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0" w:type="dxa"/>
            <w:vAlign w:val="center"/>
          </w:tcPr>
          <w:p w14:paraId="105631CE">
            <w:pPr>
              <w:pStyle w:val="2"/>
              <w:spacing w:before="0" w:beforeLines="0" w:after="0" w:afterLines="0" w:line="240" w:lineRule="auto"/>
              <w:ind w:firstLine="0"/>
              <w:rPr>
                <w:rFonts w:ascii="仿宋_GB2312" w:eastAsia="仿宋_GB2312"/>
                <w:sz w:val="24"/>
                <w:szCs w:val="24"/>
              </w:rPr>
            </w:pPr>
            <w:r>
              <w:rPr>
                <w:rFonts w:ascii="仿宋_GB2312" w:eastAsia="仿宋_GB2312"/>
                <w:sz w:val="24"/>
                <w:szCs w:val="24"/>
              </w:rPr>
              <w:t>生态控制区</w:t>
            </w:r>
          </w:p>
        </w:tc>
        <w:tc>
          <w:tcPr>
            <w:tcW w:w="6722" w:type="dxa"/>
          </w:tcPr>
          <w:p w14:paraId="2216FD0A">
            <w:pPr>
              <w:pStyle w:val="2"/>
              <w:spacing w:before="0" w:beforeLines="0" w:after="0" w:afterLines="0" w:line="240" w:lineRule="auto"/>
              <w:ind w:firstLine="460" w:firstLineChars="200"/>
              <w:jc w:val="both"/>
              <w:rPr>
                <w:rFonts w:ascii="仿宋_GB2312" w:eastAsia="仿宋_GB2312"/>
                <w:sz w:val="24"/>
                <w:szCs w:val="24"/>
              </w:rPr>
            </w:pPr>
            <w:r>
              <w:rPr>
                <w:rFonts w:ascii="仿宋_GB2312" w:eastAsia="仿宋_GB2312"/>
                <w:sz w:val="24"/>
                <w:szCs w:val="24"/>
              </w:rPr>
              <w:t>生态控制区采取“名录管理+约束指标+分区准入”的方式细化管理，以保护为主，开展必要的生态修复。对生态功能极重要、生态环境极敏感脆弱区，以及其他具有重要生态功能、潜在重要生态价值、有必要严格实施保护的区域采取禁止和限制进行开发利用的行业和活动，其他区域可在不降低生态功能、不破坏生态系统安全的前提下可以准允一定的开发利用与活动。</w:t>
            </w:r>
          </w:p>
        </w:tc>
      </w:tr>
      <w:tr w14:paraId="58B8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0" w:type="dxa"/>
            <w:vAlign w:val="center"/>
          </w:tcPr>
          <w:p w14:paraId="59D0D8BE">
            <w:pPr>
              <w:pStyle w:val="2"/>
              <w:spacing w:before="0" w:beforeLines="0" w:after="0" w:afterLines="0" w:line="240" w:lineRule="auto"/>
              <w:ind w:firstLine="0"/>
              <w:rPr>
                <w:rFonts w:ascii="仿宋_GB2312" w:eastAsia="仿宋_GB2312"/>
                <w:sz w:val="24"/>
                <w:szCs w:val="24"/>
              </w:rPr>
            </w:pPr>
            <w:r>
              <w:rPr>
                <w:rFonts w:ascii="仿宋_GB2312" w:eastAsia="仿宋_GB2312"/>
                <w:sz w:val="24"/>
                <w:szCs w:val="24"/>
              </w:rPr>
              <w:t>农田保护区</w:t>
            </w:r>
          </w:p>
        </w:tc>
        <w:tc>
          <w:tcPr>
            <w:tcW w:w="6722" w:type="dxa"/>
          </w:tcPr>
          <w:p w14:paraId="595BA4CF">
            <w:pPr>
              <w:pStyle w:val="2"/>
              <w:spacing w:before="0" w:beforeLines="0" w:after="0" w:afterLines="0" w:line="240" w:lineRule="auto"/>
              <w:ind w:firstLine="460" w:firstLineChars="200"/>
              <w:jc w:val="both"/>
              <w:rPr>
                <w:rFonts w:ascii="仿宋_GB2312" w:eastAsia="仿宋_GB2312"/>
                <w:sz w:val="24"/>
                <w:szCs w:val="24"/>
              </w:rPr>
            </w:pPr>
            <w:r>
              <w:rPr>
                <w:rFonts w:ascii="仿宋_GB2312" w:eastAsia="仿宋_GB2312"/>
                <w:sz w:val="24"/>
                <w:szCs w:val="24"/>
              </w:rPr>
              <w:t>永久基本农田严格按照《中华人民共和国农业法》《中华人民共和国土地管理法》《基本农田保护条例》等相关规定进行管理，严控非农建设占用永久基本农田，鼓励开展高标准农田建设和土地整治，提高永久基本农田质量。区内的一般耕地，应参照永久基本农田管制政策进行管护。</w:t>
            </w:r>
          </w:p>
        </w:tc>
      </w:tr>
      <w:tr w14:paraId="58A7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0" w:type="dxa"/>
            <w:vAlign w:val="center"/>
          </w:tcPr>
          <w:p w14:paraId="2135B64F">
            <w:pPr>
              <w:pStyle w:val="2"/>
              <w:spacing w:before="0" w:beforeLines="0" w:after="0" w:afterLines="0" w:line="240" w:lineRule="auto"/>
              <w:ind w:firstLine="0"/>
              <w:rPr>
                <w:rFonts w:ascii="仿宋_GB2312" w:eastAsia="仿宋_GB2312"/>
                <w:sz w:val="24"/>
                <w:szCs w:val="24"/>
              </w:rPr>
            </w:pPr>
            <w:r>
              <w:rPr>
                <w:rFonts w:ascii="仿宋_GB2312" w:eastAsia="仿宋_GB2312"/>
                <w:sz w:val="24"/>
                <w:szCs w:val="24"/>
              </w:rPr>
              <w:t>城镇发展区</w:t>
            </w:r>
          </w:p>
        </w:tc>
        <w:tc>
          <w:tcPr>
            <w:tcW w:w="6722" w:type="dxa"/>
          </w:tcPr>
          <w:p w14:paraId="2290FF00">
            <w:pPr>
              <w:pStyle w:val="2"/>
              <w:spacing w:before="0" w:beforeLines="0" w:after="0" w:afterLines="0" w:line="240" w:lineRule="auto"/>
              <w:ind w:firstLine="460" w:firstLineChars="200"/>
              <w:jc w:val="both"/>
              <w:rPr>
                <w:rFonts w:ascii="仿宋_GB2312" w:eastAsia="仿宋_GB2312"/>
                <w:sz w:val="24"/>
                <w:szCs w:val="24"/>
              </w:rPr>
            </w:pPr>
            <w:r>
              <w:rPr>
                <w:rFonts w:ascii="仿宋_GB2312" w:eastAsia="仿宋_GB2312"/>
                <w:sz w:val="24"/>
                <w:szCs w:val="24"/>
              </w:rPr>
              <w:t>城镇发展区严格执行开发边界管控要求，对城镇集中建设区提出总体指标控制要求，对各类城镇建设土地用途和城镇建设行为提出准入要求。城镇集中建设区执行详细规划+规划许可的形式，划定“五线”管控和城镇建设用地用途管控。</w:t>
            </w:r>
          </w:p>
        </w:tc>
      </w:tr>
      <w:tr w14:paraId="0B6C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0" w:type="dxa"/>
            <w:vAlign w:val="center"/>
          </w:tcPr>
          <w:p w14:paraId="37EEB7C5">
            <w:pPr>
              <w:pStyle w:val="2"/>
              <w:spacing w:before="0" w:beforeLines="0" w:after="0" w:afterLines="0" w:line="240" w:lineRule="auto"/>
              <w:ind w:firstLine="0"/>
              <w:rPr>
                <w:rFonts w:ascii="仿宋_GB2312" w:eastAsia="仿宋_GB2312"/>
                <w:sz w:val="24"/>
                <w:szCs w:val="24"/>
              </w:rPr>
            </w:pPr>
            <w:r>
              <w:rPr>
                <w:rFonts w:ascii="仿宋_GB2312" w:eastAsia="仿宋_GB2312"/>
                <w:sz w:val="24"/>
                <w:szCs w:val="24"/>
              </w:rPr>
              <w:t>乡村发展区</w:t>
            </w:r>
          </w:p>
        </w:tc>
        <w:tc>
          <w:tcPr>
            <w:tcW w:w="6722" w:type="dxa"/>
          </w:tcPr>
          <w:p w14:paraId="5C0C9B6A">
            <w:pPr>
              <w:pStyle w:val="2"/>
              <w:spacing w:before="0" w:beforeLines="0" w:after="0" w:afterLines="0" w:line="240" w:lineRule="auto"/>
              <w:ind w:firstLine="460" w:firstLineChars="200"/>
              <w:jc w:val="both"/>
              <w:rPr>
                <w:rFonts w:ascii="仿宋_GB2312" w:eastAsia="仿宋_GB2312"/>
                <w:sz w:val="24"/>
                <w:szCs w:val="24"/>
              </w:rPr>
            </w:pPr>
            <w:r>
              <w:rPr>
                <w:rFonts w:ascii="仿宋_GB2312" w:eastAsia="仿宋_GB2312"/>
                <w:sz w:val="24"/>
                <w:szCs w:val="24"/>
              </w:rPr>
              <w:t>乡村发展区执行“规划许可+约束指标+分区准入”，禁止连片的城镇开发建设，在充分的可行性和必要性研究基础上，在不影响安全、不破坏功能的前提下允许建设区域性基础设施廊道，并需做好相应补偿措施；实行占用耕地补偿制度，严格控制耕地转为非耕地，禁止闲置、荒芜耕地，禁止擅自在耕地建房、建坟、挖砂、采石、采矿、取土、堆放固体废弃物等毁坏种植条件的开发活动。有序推进空心村整治和村庄整合，合理安排农村生活用地，优先满足农村基本公共服务设施用地需求。适度允许区域性基础设施建设、生态环境保护工程配套、生态旅游开发及特殊用地建设，提升村庄建设特色和民族风情引导。</w:t>
            </w:r>
          </w:p>
        </w:tc>
      </w:tr>
      <w:tr w14:paraId="49A4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00" w:type="dxa"/>
            <w:vAlign w:val="center"/>
          </w:tcPr>
          <w:p w14:paraId="2D6997A6">
            <w:pPr>
              <w:pStyle w:val="2"/>
              <w:spacing w:before="0" w:beforeLines="0" w:after="0" w:afterLines="0" w:line="240" w:lineRule="auto"/>
              <w:ind w:firstLine="0"/>
              <w:rPr>
                <w:rFonts w:ascii="仿宋_GB2312" w:eastAsia="仿宋_GB2312"/>
                <w:sz w:val="24"/>
                <w:szCs w:val="24"/>
              </w:rPr>
            </w:pPr>
            <w:r>
              <w:rPr>
                <w:rFonts w:ascii="仿宋_GB2312" w:eastAsia="仿宋_GB2312"/>
                <w:sz w:val="24"/>
                <w:szCs w:val="24"/>
              </w:rPr>
              <w:t>矿产能源发展区</w:t>
            </w:r>
          </w:p>
        </w:tc>
        <w:tc>
          <w:tcPr>
            <w:tcW w:w="6722" w:type="dxa"/>
          </w:tcPr>
          <w:p w14:paraId="55A752A9">
            <w:pPr>
              <w:pStyle w:val="2"/>
              <w:spacing w:before="0" w:beforeLines="0" w:after="0" w:afterLines="0" w:line="240" w:lineRule="auto"/>
              <w:ind w:firstLine="460" w:firstLineChars="200"/>
              <w:jc w:val="both"/>
              <w:rPr>
                <w:rFonts w:ascii="仿宋_GB2312" w:eastAsia="仿宋_GB2312"/>
                <w:sz w:val="24"/>
                <w:szCs w:val="24"/>
              </w:rPr>
            </w:pPr>
            <w:r>
              <w:rPr>
                <w:rFonts w:ascii="仿宋_GB2312" w:eastAsia="仿宋_GB2312"/>
                <w:sz w:val="24"/>
                <w:szCs w:val="24"/>
              </w:rPr>
              <w:t>重点矿区要按照省级及以上绿色矿山建设标准，加快各矿山绿色矿山建设，积极争取纳入国家级绿色矿山管理名录。储备区内，非主矿种的其他矿山严格设置准入，确需设置的，须经严格论证，在不影响主矿种的情况下且经省级自然资源管理部门批准，方能设立。完善监测管理系统，实现矿山地质环境保护与治理的动态管理，所有生产矿山必须制定环境保护方案，并合理使用矿山地质环境治理恢复基金，切实保护生态环境，同时严格执行矿山地质环境破坏的处罚制度，从严从重处罚破坏矿山地质环境的活动。</w:t>
            </w:r>
          </w:p>
        </w:tc>
      </w:tr>
    </w:tbl>
    <w:p w14:paraId="4CC03A7D">
      <w:pPr>
        <w:keepNext/>
        <w:spacing w:before="156" w:beforeLines="50" w:after="156" w:afterLines="50"/>
        <w:outlineLvl w:val="1"/>
        <w:rPr>
          <w:rFonts w:eastAsia="黑体"/>
        </w:rPr>
      </w:pPr>
      <w:bookmarkStart w:id="55" w:name="_Toc3381"/>
      <w:r>
        <w:rPr>
          <w:rFonts w:eastAsia="黑体"/>
        </w:rPr>
        <w:t>第</w:t>
      </w:r>
      <w:r>
        <w:rPr>
          <w:rFonts w:hint="eastAsia" w:eastAsia="黑体"/>
          <w:lang w:val="en-US" w:eastAsia="zh-CN"/>
        </w:rPr>
        <w:t>五</w:t>
      </w:r>
      <w:r>
        <w:rPr>
          <w:rFonts w:eastAsia="黑体"/>
        </w:rPr>
        <w:t>节 国土空间用地用途和结构调整</w:t>
      </w:r>
      <w:bookmarkEnd w:id="55"/>
    </w:p>
    <w:p w14:paraId="04CE0F28">
      <w:pPr>
        <w:keepNext/>
        <w:numPr>
          <w:ilvl w:val="0"/>
          <w:numId w:val="1"/>
        </w:numPr>
        <w:spacing w:before="156" w:beforeLines="50" w:after="156" w:afterLines="50"/>
        <w:jc w:val="both"/>
        <w:outlineLvl w:val="2"/>
        <w:rPr>
          <w:rFonts w:eastAsia="楷体_GB2312"/>
          <w:bCs/>
          <w:kern w:val="0"/>
        </w:rPr>
      </w:pPr>
      <w:r>
        <w:rPr>
          <w:rFonts w:eastAsia="楷体_GB2312"/>
          <w:bCs/>
          <w:kern w:val="0"/>
        </w:rPr>
        <w:t>土地节约集约利用</w:t>
      </w:r>
    </w:p>
    <w:p w14:paraId="404934A1">
      <w:pPr>
        <w:ind w:firstLine="640" w:firstLineChars="200"/>
        <w:jc w:val="both"/>
        <w:rPr>
          <w:rFonts w:eastAsia="仿宋_GB2312"/>
        </w:rPr>
      </w:pPr>
      <w:r>
        <w:rPr>
          <w:rFonts w:eastAsia="楷体_GB2312"/>
        </w:rPr>
        <w:t>稳妥推进农村集体经营性建设用地入市。</w:t>
      </w:r>
      <w:r>
        <w:rPr>
          <w:rFonts w:eastAsia="仿宋_GB2312"/>
        </w:rPr>
        <w:t>持续推进“乡村振兴”战略，保护和激活农村集体经济组织与农民财产权益，围绕新农村产业发展要求，开展集体经营性建设用地现状和入市需求调查，为入市提供基础。创新建设用地增减挂钩政策和模式，探索开展农村集体建设用地调整。在符合规划的前提下，鼓励复工复产和招商引资项目使用农村集体经营性建设用地，因地制宜发展农产品加工、文旅康养、电商物流等适宜农村的相关产业。</w:t>
      </w:r>
    </w:p>
    <w:p w14:paraId="4A5D33C3">
      <w:pPr>
        <w:ind w:firstLine="640" w:firstLineChars="200"/>
        <w:jc w:val="both"/>
        <w:rPr>
          <w:rFonts w:eastAsia="仿宋_GB2312"/>
        </w:rPr>
      </w:pPr>
      <w:r>
        <w:rPr>
          <w:rFonts w:eastAsia="楷体_GB2312"/>
        </w:rPr>
        <w:t>明确指标使用和相关税费政策。</w:t>
      </w:r>
      <w:r>
        <w:rPr>
          <w:rFonts w:eastAsia="仿宋_GB2312"/>
        </w:rPr>
        <w:t>加快存量建设用地供应，促进用地指标、已缴纳税费向经济发展效益转化。经市、县确定不再供应的批而未供土地，通过撤销用地批文释放有关指标，尽快盘活再利用。盘活指标既可以保留在原地块，也可以在其他地块组合使用。撤销用地批文地块今后重新开发利用的，办理相关用地审批手续时，按照“不重不漏”的原则核算规划规模、年度计划、林地、占补平衡等相关指标，以及新增费、耕地占用税等税费问题。</w:t>
      </w:r>
    </w:p>
    <w:p w14:paraId="1212B09A">
      <w:pPr>
        <w:ind w:firstLine="640" w:firstLineChars="200"/>
        <w:jc w:val="both"/>
        <w:rPr>
          <w:rFonts w:eastAsia="仿宋_GB2312"/>
        </w:rPr>
      </w:pPr>
      <w:r>
        <w:rPr>
          <w:rFonts w:eastAsia="楷体_GB2312"/>
        </w:rPr>
        <w:t>合理确定规模，积极稳妥推进。</w:t>
      </w:r>
      <w:r>
        <w:rPr>
          <w:rFonts w:eastAsia="仿宋_GB2312"/>
        </w:rPr>
        <w:t>根据镇建设实际情况，结合旧宅腾退、乡村振兴，合理确定目标任务，排查摸底，编制增减挂钩项目实施方案，制定可行的补偿标准、安置方式、拆旧复垦规模等内容，确保做到“成熟一个，实施一个，成功一个”。</w:t>
      </w:r>
    </w:p>
    <w:p w14:paraId="5A61AC90">
      <w:pPr>
        <w:widowControl/>
        <w:spacing w:line="240" w:lineRule="auto"/>
        <w:jc w:val="left"/>
        <w:rPr>
          <w:bCs/>
          <w:sz w:val="36"/>
          <w:szCs w:val="36"/>
        </w:rPr>
      </w:pPr>
      <w:r>
        <w:rPr>
          <w:bCs/>
          <w:sz w:val="36"/>
          <w:szCs w:val="36"/>
        </w:rPr>
        <w:br w:type="page"/>
      </w:r>
    </w:p>
    <w:p w14:paraId="5F644208">
      <w:pPr>
        <w:keepNext/>
        <w:spacing w:before="156" w:beforeLines="50" w:after="156" w:afterLines="50"/>
        <w:outlineLvl w:val="0"/>
        <w:rPr>
          <w:bCs/>
          <w:sz w:val="36"/>
          <w:szCs w:val="36"/>
        </w:rPr>
      </w:pPr>
      <w:bookmarkStart w:id="56" w:name="_Toc3068"/>
      <w:r>
        <w:rPr>
          <w:bCs/>
          <w:sz w:val="36"/>
          <w:szCs w:val="36"/>
        </w:rPr>
        <w:t>第四章 空间布局优化</w:t>
      </w:r>
      <w:bookmarkEnd w:id="56"/>
    </w:p>
    <w:p w14:paraId="78FEAE75">
      <w:pPr>
        <w:keepNext/>
        <w:spacing w:before="156" w:beforeLines="50" w:after="156" w:afterLines="50"/>
        <w:outlineLvl w:val="1"/>
        <w:rPr>
          <w:rFonts w:eastAsia="黑体"/>
        </w:rPr>
      </w:pPr>
      <w:bookmarkStart w:id="57" w:name="_Toc19777"/>
      <w:r>
        <w:rPr>
          <w:rFonts w:eastAsia="黑体"/>
        </w:rPr>
        <w:t>第一节 农业生产空间</w:t>
      </w:r>
      <w:bookmarkEnd w:id="57"/>
    </w:p>
    <w:p w14:paraId="4D96A2E3">
      <w:pPr>
        <w:keepNext/>
        <w:numPr>
          <w:ilvl w:val="0"/>
          <w:numId w:val="1"/>
        </w:numPr>
        <w:spacing w:before="156" w:beforeLines="50" w:after="156" w:afterLines="50"/>
        <w:jc w:val="both"/>
        <w:outlineLvl w:val="2"/>
        <w:rPr>
          <w:rFonts w:eastAsia="楷体_GB2312"/>
          <w:bCs/>
          <w:kern w:val="0"/>
        </w:rPr>
      </w:pPr>
      <w:r>
        <w:rPr>
          <w:rFonts w:eastAsia="楷体_GB2312"/>
          <w:bCs/>
          <w:kern w:val="0"/>
        </w:rPr>
        <w:t>耕地后备资源开发利用</w:t>
      </w:r>
    </w:p>
    <w:p w14:paraId="4A952763">
      <w:pPr>
        <w:ind w:firstLine="640" w:firstLineChars="200"/>
        <w:jc w:val="both"/>
        <w:rPr>
          <w:rFonts w:eastAsia="仿宋_GB2312"/>
        </w:rPr>
      </w:pPr>
      <w:r>
        <w:rPr>
          <w:rFonts w:eastAsia="仿宋_GB2312"/>
        </w:rPr>
        <w:t>严格认定新增耕地数量，保障新增耕地质量，确保新增耕地真实准确。在农产品主产区内，选择与现状耕地连片分布、有水源灌溉条件的宜耕农用地，优先划入耕地战略储备区，保护耕地生产能力，保持恢复为耕地的潜力。完善永久基本农田储备区制度，土地整治和新建高标准农田增加的优质耕地应当优先补划为永久基本农田。</w:t>
      </w:r>
    </w:p>
    <w:p w14:paraId="3E3ED527">
      <w:pPr>
        <w:keepNext/>
        <w:numPr>
          <w:ilvl w:val="0"/>
          <w:numId w:val="1"/>
        </w:numPr>
        <w:spacing w:before="156" w:beforeLines="50" w:after="156" w:afterLines="50"/>
        <w:jc w:val="both"/>
        <w:outlineLvl w:val="2"/>
        <w:rPr>
          <w:rFonts w:eastAsia="楷体_GB2312"/>
          <w:bCs/>
          <w:kern w:val="0"/>
        </w:rPr>
      </w:pPr>
      <w:r>
        <w:rPr>
          <w:rFonts w:eastAsia="楷体_GB2312"/>
          <w:bCs/>
          <w:kern w:val="0"/>
        </w:rPr>
        <w:t>落实耕地保有量占补平衡</w:t>
      </w:r>
    </w:p>
    <w:p w14:paraId="5CC7A804">
      <w:pPr>
        <w:ind w:firstLine="640" w:firstLineChars="200"/>
        <w:jc w:val="both"/>
        <w:rPr>
          <w:rFonts w:eastAsia="仿宋_GB2312"/>
        </w:rPr>
      </w:pPr>
      <w:r>
        <w:rPr>
          <w:rFonts w:eastAsia="仿宋_GB2312"/>
        </w:rPr>
        <w:t>严格执行耕地占补平衡制度。加强新增建设用地管理，严格控制建设占用耕地，尽量少占或不占耕地特别是优质耕地，确需占用耕地的，必须履行法定占补平衡义务，落实“以补定占、先补后占、占优补优、占水田补水田”的耕地占补平衡政策，从源头上控制各类建设为降低建设成本而多占耕地的不良倾向。确需占用的应编制表土剥离利用方案。</w:t>
      </w:r>
    </w:p>
    <w:p w14:paraId="5D44EB4D">
      <w:pPr>
        <w:keepNext/>
        <w:spacing w:before="156" w:beforeLines="50" w:after="156" w:afterLines="50"/>
        <w:outlineLvl w:val="1"/>
        <w:rPr>
          <w:rFonts w:eastAsia="黑体"/>
        </w:rPr>
      </w:pPr>
      <w:bookmarkStart w:id="58" w:name="_Toc1753"/>
      <w:r>
        <w:rPr>
          <w:rFonts w:eastAsia="黑体"/>
        </w:rPr>
        <w:t>第二节 生态功能空间</w:t>
      </w:r>
      <w:bookmarkEnd w:id="58"/>
    </w:p>
    <w:p w14:paraId="3D50B158">
      <w:pPr>
        <w:ind w:firstLine="640" w:firstLineChars="200"/>
        <w:jc w:val="both"/>
        <w:rPr>
          <w:rFonts w:eastAsia="仿宋_GB2312"/>
        </w:rPr>
      </w:pPr>
      <w:r>
        <w:rPr>
          <w:rFonts w:eastAsia="仿宋_GB2312"/>
        </w:rPr>
        <w:t>全域形成“两廊一屏”的生态系统保护格局。</w:t>
      </w:r>
    </w:p>
    <w:p w14:paraId="580E77A2">
      <w:pPr>
        <w:ind w:firstLine="640" w:firstLineChars="200"/>
        <w:jc w:val="both"/>
        <w:rPr>
          <w:rFonts w:eastAsia="仿宋_GB2312"/>
        </w:rPr>
      </w:pPr>
      <w:r>
        <w:rPr>
          <w:rFonts w:eastAsia="楷体_GB2312"/>
        </w:rPr>
        <w:t>“两廊”：</w:t>
      </w:r>
      <w:r>
        <w:rPr>
          <w:rFonts w:eastAsia="仿宋_GB2312"/>
        </w:rPr>
        <w:t>为铃铛麦河生态廊道和横道河生态廊道；</w:t>
      </w:r>
    </w:p>
    <w:p w14:paraId="1AB6AF23">
      <w:pPr>
        <w:ind w:firstLine="640" w:firstLineChars="200"/>
        <w:jc w:val="both"/>
        <w:rPr>
          <w:rFonts w:eastAsia="仿宋_GB2312"/>
        </w:rPr>
      </w:pPr>
      <w:r>
        <w:rPr>
          <w:rFonts w:eastAsia="楷体_GB2312"/>
        </w:rPr>
        <w:t>“一屏”：</w:t>
      </w:r>
      <w:r>
        <w:rPr>
          <w:rFonts w:eastAsia="仿宋_GB2312"/>
        </w:rPr>
        <w:t>以黑龙江桦川国家森林公园为核心形成的南部生态屏障。</w:t>
      </w:r>
    </w:p>
    <w:p w14:paraId="74CF5308">
      <w:pPr>
        <w:keepNext/>
        <w:numPr>
          <w:ilvl w:val="0"/>
          <w:numId w:val="1"/>
        </w:numPr>
        <w:spacing w:before="156" w:beforeLines="50" w:after="156" w:afterLines="50"/>
        <w:jc w:val="both"/>
        <w:outlineLvl w:val="2"/>
        <w:rPr>
          <w:rFonts w:eastAsia="楷体_GB2312"/>
          <w:bCs/>
          <w:kern w:val="0"/>
        </w:rPr>
      </w:pPr>
      <w:r>
        <w:rPr>
          <w:rFonts w:eastAsia="楷体_GB2312"/>
          <w:bCs/>
          <w:kern w:val="0"/>
        </w:rPr>
        <w:t>自然保护地体系</w:t>
      </w:r>
    </w:p>
    <w:p w14:paraId="68965B22">
      <w:pPr>
        <w:ind w:firstLine="640" w:firstLineChars="200"/>
        <w:jc w:val="both"/>
        <w:rPr>
          <w:rFonts w:eastAsia="仿宋_GB2312"/>
        </w:rPr>
      </w:pPr>
      <w:r>
        <w:rPr>
          <w:rFonts w:eastAsia="仿宋_GB2312"/>
        </w:rPr>
        <w:t>科学划定自然保护地类型，并开展自然保护地整合归并优化，按照“保护面积不减少、保护强度不降低、保护性质不改变”的总体要求，坚持生态优先、管理从严的原则，整合归并现有各类自然保护地，优化调整边界范围、功能分区，着力解决交叉重叠、边界不清、管理分割等问题，严格做好自然保护地规划管控。</w:t>
      </w:r>
    </w:p>
    <w:p w14:paraId="50B06A33">
      <w:pPr>
        <w:ind w:firstLine="640" w:firstLineChars="200"/>
        <w:jc w:val="both"/>
        <w:rPr>
          <w:rFonts w:eastAsia="仿宋_GB2312"/>
        </w:rPr>
      </w:pPr>
      <w:r>
        <w:rPr>
          <w:rFonts w:eastAsia="楷体_GB2312"/>
        </w:rPr>
        <w:t>建立统一规范的管理体制。</w:t>
      </w:r>
      <w:r>
        <w:rPr>
          <w:rFonts w:eastAsia="仿宋_GB2312"/>
        </w:rPr>
        <w:t>按照国家相关要求，桦川县自然保护地实行分级设立、分级管理，实行差别化管控。</w:t>
      </w:r>
    </w:p>
    <w:p w14:paraId="3705098C">
      <w:pPr>
        <w:ind w:firstLine="640" w:firstLineChars="200"/>
        <w:jc w:val="both"/>
        <w:rPr>
          <w:rFonts w:eastAsia="仿宋_GB2312"/>
        </w:rPr>
      </w:pPr>
      <w:r>
        <w:rPr>
          <w:rFonts w:eastAsia="楷体_GB2312"/>
        </w:rPr>
        <w:t>建设健康稳定的自然生态系统。</w:t>
      </w:r>
      <w:r>
        <w:rPr>
          <w:rFonts w:eastAsia="仿宋_GB2312"/>
        </w:rPr>
        <w:t>开展生态系统调查监测，加强生态系统保护修复，科学开展铃铛麦河及横道河生态廊道、野生动植物栖息地、地质灾害隐患点等受损生态系统修复，全面提升生态系统完整性和稳定性。根据河流、山脉、道路等特点以及生态廊道的连通性要求，采取自然修复和人工促进相结合的方法，通过“造、封、补、改、修、管”等综合措施，构建“自然、多彩、连通”的生态廊道和生态网络。</w:t>
      </w:r>
    </w:p>
    <w:p w14:paraId="707B4DFD">
      <w:pPr>
        <w:ind w:firstLine="640" w:firstLineChars="200"/>
        <w:jc w:val="both"/>
        <w:rPr>
          <w:rFonts w:eastAsia="仿宋_GB2312"/>
        </w:rPr>
      </w:pPr>
      <w:r>
        <w:rPr>
          <w:rFonts w:eastAsia="楷体_GB2312"/>
        </w:rPr>
        <w:t>加强生态环境监督考核。</w:t>
      </w:r>
      <w:r>
        <w:rPr>
          <w:rFonts w:eastAsia="仿宋_GB2312"/>
        </w:rPr>
        <w:t>建立生态监测体系，对自然保护地内设施建设等人类活动实施全面监控。加强评估考核，建立以生态环境质量、生态资产和生态服务价值为核心的考核评估指标体系，对自然保护地管理成效组织开展评估。对造成自然保护地生态系统和资源环境损害的，依纪依法依规追责问责。</w:t>
      </w:r>
    </w:p>
    <w:p w14:paraId="7C016828">
      <w:pPr>
        <w:keepNext/>
        <w:numPr>
          <w:ilvl w:val="0"/>
          <w:numId w:val="1"/>
        </w:numPr>
        <w:spacing w:before="156" w:beforeLines="50" w:after="156" w:afterLines="50"/>
        <w:jc w:val="both"/>
        <w:outlineLvl w:val="2"/>
        <w:rPr>
          <w:rFonts w:eastAsia="楷体_GB2312"/>
          <w:bCs/>
          <w:kern w:val="0"/>
        </w:rPr>
      </w:pPr>
      <w:r>
        <w:rPr>
          <w:rFonts w:eastAsia="楷体_GB2312"/>
          <w:bCs/>
          <w:kern w:val="0"/>
        </w:rPr>
        <w:t>保护生物多样性</w:t>
      </w:r>
    </w:p>
    <w:p w14:paraId="1B864980">
      <w:pPr>
        <w:ind w:firstLine="640" w:firstLineChars="200"/>
        <w:jc w:val="both"/>
      </w:pPr>
      <w:r>
        <w:rPr>
          <w:rFonts w:eastAsia="仿宋_GB2312"/>
        </w:rPr>
        <w:t>加强水系生态廊道建设，加强野生动植物保护，保护野生动物栖息地和繁殖地，为珍稀濒危物种生存繁衍提供空间保障。对候鸟重要栖息地和迁飞通道实施空间管控。风力发电等设施布局建设应避让重要栖息地和迁飞节点。</w:t>
      </w:r>
    </w:p>
    <w:p w14:paraId="2F047711">
      <w:pPr>
        <w:keepNext/>
        <w:numPr>
          <w:ilvl w:val="0"/>
          <w:numId w:val="1"/>
        </w:numPr>
        <w:spacing w:before="156" w:beforeLines="50" w:after="156" w:afterLines="50"/>
        <w:jc w:val="both"/>
        <w:outlineLvl w:val="2"/>
        <w:rPr>
          <w:rFonts w:eastAsia="楷体_GB2312"/>
          <w:bCs/>
          <w:kern w:val="0"/>
        </w:rPr>
      </w:pPr>
      <w:r>
        <w:rPr>
          <w:rFonts w:eastAsia="楷体_GB2312"/>
          <w:bCs/>
          <w:kern w:val="0"/>
        </w:rPr>
        <w:t>水资源保护与利用</w:t>
      </w:r>
    </w:p>
    <w:p w14:paraId="1BC1C921">
      <w:pPr>
        <w:ind w:firstLine="640" w:firstLineChars="200"/>
        <w:jc w:val="both"/>
        <w:rPr>
          <w:rFonts w:eastAsia="仿宋_GB2312"/>
        </w:rPr>
      </w:pPr>
      <w:r>
        <w:rPr>
          <w:rFonts w:eastAsia="楷体_GB2312"/>
        </w:rPr>
        <w:t>严控用水总量与水质管控。</w:t>
      </w:r>
      <w:r>
        <w:rPr>
          <w:rFonts w:eastAsia="仿宋_GB2312"/>
        </w:rPr>
        <w:t>坚持以水定城、以水定地、以水定人、以水定产，落实水资源消耗总量和强度“双控”要求，强化“水资源开发利用控制、用水效率控制和水功能区限制纳污”三条红线刚性约束，严格控制缺水地区、水环境敏感区域高耗水行业发展，确保全域年用水总量、万元地区生产总值和万元工业增加值用水量符合上级下达指标。全面推进节水型社会建设，加强工业、农业、城乡节水改造，大力推广工业节水工艺和农业节水灌溉技术。进一步落实水资源论证、取水许可和有偿使用制度，推进水权制度改革。</w:t>
      </w:r>
    </w:p>
    <w:p w14:paraId="2846895D">
      <w:pPr>
        <w:keepNext/>
        <w:numPr>
          <w:ilvl w:val="0"/>
          <w:numId w:val="1"/>
        </w:numPr>
        <w:spacing w:before="156" w:beforeLines="50" w:after="156" w:afterLines="50"/>
        <w:jc w:val="both"/>
        <w:outlineLvl w:val="2"/>
        <w:rPr>
          <w:rFonts w:eastAsia="楷体_GB2312"/>
          <w:bCs/>
          <w:kern w:val="0"/>
        </w:rPr>
      </w:pPr>
      <w:r>
        <w:rPr>
          <w:rFonts w:eastAsia="楷体_GB2312"/>
          <w:bCs/>
          <w:kern w:val="0"/>
        </w:rPr>
        <w:t>湿地资源保护与利用</w:t>
      </w:r>
    </w:p>
    <w:p w14:paraId="00F8BCAF">
      <w:pPr>
        <w:ind w:firstLine="640" w:firstLineChars="200"/>
        <w:jc w:val="both"/>
        <w:rPr>
          <w:rFonts w:eastAsia="仿宋_GB2312"/>
        </w:rPr>
      </w:pPr>
      <w:r>
        <w:rPr>
          <w:rFonts w:eastAsia="仿宋_GB2312"/>
        </w:rPr>
        <w:t>横头山镇湿地以内陆滩涂和森林沼泽为主，严禁湿地开垦等破坏性活动。实施重点湿地保护与恢复工程，推进湿地保护、植被恢复、本底资源调查、科普宣教设施建设。实施退耕还湿、湿地生态效益补偿、湿地保护奖励措施，建立湿地生态修复机制，严格管控湿地保护红线。</w:t>
      </w:r>
    </w:p>
    <w:p w14:paraId="6D563701">
      <w:pPr>
        <w:keepNext/>
        <w:numPr>
          <w:ilvl w:val="0"/>
          <w:numId w:val="1"/>
        </w:numPr>
        <w:spacing w:before="156" w:beforeLines="50" w:after="156" w:afterLines="50"/>
        <w:jc w:val="both"/>
        <w:outlineLvl w:val="2"/>
        <w:rPr>
          <w:rFonts w:eastAsia="楷体_GB2312"/>
          <w:bCs/>
          <w:kern w:val="0"/>
        </w:rPr>
      </w:pPr>
      <w:r>
        <w:rPr>
          <w:rFonts w:eastAsia="楷体_GB2312"/>
          <w:bCs/>
          <w:kern w:val="0"/>
        </w:rPr>
        <w:t>森林资源保护与利用</w:t>
      </w:r>
    </w:p>
    <w:p w14:paraId="1421DAAF">
      <w:pPr>
        <w:ind w:firstLine="640" w:firstLineChars="200"/>
        <w:jc w:val="both"/>
        <w:rPr>
          <w:rFonts w:eastAsia="仿宋_GB2312"/>
          <w:u w:val="single"/>
        </w:rPr>
      </w:pPr>
      <w:r>
        <w:rPr>
          <w:rFonts w:eastAsia="仿宋_GB2312"/>
        </w:rPr>
        <w:t>横头山镇是全县的森林主要分布区域，集中在两个国有林场，分别为横头山林场和老平岗林场，主要为乔木林地、灌木林地和其他林地组成。</w:t>
      </w:r>
    </w:p>
    <w:p w14:paraId="4ADA21AA">
      <w:pPr>
        <w:ind w:firstLine="640" w:firstLineChars="200"/>
        <w:jc w:val="both"/>
        <w:rPr>
          <w:rFonts w:eastAsia="仿宋_GB2312"/>
        </w:rPr>
      </w:pPr>
      <w:r>
        <w:rPr>
          <w:rFonts w:eastAsia="仿宋_GB2312"/>
        </w:rPr>
        <w:t>强化天然林保护，加快建立全面保护、系统恢复、用途管控、权责明确的天然林保护修复制度体系；加强重点生态功能区和生态环境敏感脆弱区域的林地资源保护，禁止毁林开垦；加强中幼龄林抚育，保护幼苗幼树，提高林地培育质量，增加林地水源涵养、水土保持等方面功能。</w:t>
      </w:r>
    </w:p>
    <w:p w14:paraId="6EC0CC55">
      <w:pPr>
        <w:ind w:firstLine="640" w:firstLineChars="200"/>
        <w:jc w:val="both"/>
        <w:rPr>
          <w:rFonts w:eastAsia="仿宋_GB2312"/>
        </w:rPr>
      </w:pPr>
      <w:r>
        <w:rPr>
          <w:rFonts w:eastAsia="仿宋_GB2312"/>
        </w:rPr>
        <w:t>持续推进人工造林，促进沿主要交通干线、水域生态廊道建设，构建生态网络体系。</w:t>
      </w:r>
    </w:p>
    <w:p w14:paraId="74CA6FB7">
      <w:pPr>
        <w:keepNext/>
        <w:numPr>
          <w:ilvl w:val="0"/>
          <w:numId w:val="1"/>
        </w:numPr>
        <w:spacing w:before="156" w:beforeLines="50" w:after="156" w:afterLines="50"/>
        <w:jc w:val="both"/>
        <w:outlineLvl w:val="2"/>
        <w:rPr>
          <w:rFonts w:eastAsia="楷体_GB2312"/>
          <w:bCs/>
          <w:kern w:val="0"/>
        </w:rPr>
      </w:pPr>
      <w:r>
        <w:rPr>
          <w:rFonts w:eastAsia="楷体_GB2312"/>
          <w:bCs/>
          <w:kern w:val="0"/>
        </w:rPr>
        <w:t>草地资源保护与利用</w:t>
      </w:r>
    </w:p>
    <w:p w14:paraId="43AAC9E9">
      <w:pPr>
        <w:ind w:firstLine="640" w:firstLineChars="200"/>
        <w:jc w:val="both"/>
        <w:rPr>
          <w:rFonts w:eastAsia="仿宋_GB2312"/>
        </w:rPr>
      </w:pPr>
      <w:r>
        <w:rPr>
          <w:rFonts w:eastAsia="仿宋_GB2312"/>
        </w:rPr>
        <w:t>结合国土空间适宜性评价和乡村特色产业发展需求，适度优化调整草地布局和发展方向，发展特色产业经济，提高草地资源利用效益。</w:t>
      </w:r>
    </w:p>
    <w:p w14:paraId="461FF57D">
      <w:pPr>
        <w:keepNext/>
        <w:numPr>
          <w:ilvl w:val="0"/>
          <w:numId w:val="1"/>
        </w:numPr>
        <w:spacing w:before="156" w:beforeLines="50" w:after="156" w:afterLines="50"/>
        <w:jc w:val="both"/>
        <w:outlineLvl w:val="2"/>
        <w:rPr>
          <w:rFonts w:eastAsia="楷体_GB2312"/>
          <w:bCs/>
          <w:kern w:val="0"/>
        </w:rPr>
      </w:pPr>
      <w:r>
        <w:rPr>
          <w:rFonts w:eastAsia="楷体_GB2312"/>
          <w:bCs/>
          <w:kern w:val="0"/>
        </w:rPr>
        <w:t>矿产资源保护与利用</w:t>
      </w:r>
    </w:p>
    <w:p w14:paraId="37166409">
      <w:pPr>
        <w:ind w:firstLine="640" w:firstLineChars="200"/>
        <w:jc w:val="both"/>
        <w:rPr>
          <w:rFonts w:eastAsia="仿宋_GB2312"/>
        </w:rPr>
      </w:pPr>
      <w:r>
        <w:rPr>
          <w:rFonts w:eastAsia="仿宋_GB2312"/>
        </w:rPr>
        <w:t>资源勘查开发与经济社会发展、生态环境保护相协调的新格局基本形成，资源保护更加有效，历史遗留矿山地质环境得到进一步治理恢复。</w:t>
      </w:r>
    </w:p>
    <w:p w14:paraId="557668DA">
      <w:pPr>
        <w:ind w:firstLine="640" w:firstLineChars="200"/>
        <w:jc w:val="both"/>
        <w:rPr>
          <w:rFonts w:eastAsia="仿宋_GB2312"/>
        </w:rPr>
      </w:pPr>
      <w:r>
        <w:rPr>
          <w:rFonts w:eastAsia="楷体_GB2312"/>
        </w:rPr>
        <w:t>矿业转型升级与绿色矿业建设取得较大进展。</w:t>
      </w:r>
      <w:r>
        <w:rPr>
          <w:rFonts w:eastAsia="仿宋_GB2312"/>
        </w:rPr>
        <w:t>遵循“绿水青山就是金山银山”的发展理念，优化矿产资源开发利用结构，全面落实矿山“三率”国家标准，矿产资源利用水平进一步提升，矿山“三率”水平达标率达到95%以上。到2025年，新建矿山全部达到绿色矿山建设标准；生产矿山加快改造升级，力争达到绿色矿山建设要求；矿山数量由佳木斯市自然资源局统一分配协调。</w:t>
      </w:r>
    </w:p>
    <w:p w14:paraId="0EF70DEF">
      <w:pPr>
        <w:ind w:firstLine="640" w:firstLineChars="200"/>
        <w:jc w:val="both"/>
        <w:rPr>
          <w:rFonts w:eastAsia="仿宋_GB2312"/>
        </w:rPr>
      </w:pPr>
      <w:r>
        <w:rPr>
          <w:rFonts w:eastAsia="楷体_GB2312"/>
        </w:rPr>
        <w:t>矿山地质环境状况明显改善。</w:t>
      </w:r>
      <w:r>
        <w:rPr>
          <w:rFonts w:eastAsia="仿宋_GB2312"/>
        </w:rPr>
        <w:t>建立健全政府、企业、社会共同参与的矿山环境治理新机制，建立动态监测体系和约束机制，形成“不再欠新账、加快还旧账”的矿山地质环境恢复和综合治理的新局面。</w:t>
      </w:r>
    </w:p>
    <w:p w14:paraId="6547DBB5">
      <w:pPr>
        <w:ind w:firstLine="640" w:firstLineChars="200"/>
        <w:jc w:val="both"/>
        <w:rPr>
          <w:rFonts w:eastAsia="仿宋_GB2312"/>
        </w:rPr>
      </w:pPr>
      <w:r>
        <w:rPr>
          <w:rFonts w:eastAsia="楷体_GB2312"/>
        </w:rPr>
        <w:t>推进绿色矿山建设。</w:t>
      </w:r>
      <w:r>
        <w:rPr>
          <w:rFonts w:eastAsia="仿宋_GB2312"/>
        </w:rPr>
        <w:t>鼓励绿色矿山企业及时复垦盘活存量工矿用地，与新增建设用地相挂钩。统筹推进绿色矿业发展示范区建设与工矿废弃地平整利用、矿山地质环境恢复治理、矿区土壤污染治理、土地整治等工作，将废弃矿山治理用于补充林地和耕地，指标预留城市发展。</w:t>
      </w:r>
    </w:p>
    <w:p w14:paraId="12309B0C">
      <w:pPr>
        <w:ind w:firstLine="640" w:firstLineChars="200"/>
        <w:jc w:val="both"/>
        <w:rPr>
          <w:rFonts w:eastAsia="仿宋_GB2312"/>
        </w:rPr>
      </w:pPr>
      <w:r>
        <w:rPr>
          <w:rFonts w:eastAsia="楷体_GB2312"/>
        </w:rPr>
        <w:t>加强矿产资源管控。</w:t>
      </w:r>
      <w:r>
        <w:rPr>
          <w:rFonts w:eastAsia="仿宋_GB2312"/>
        </w:rPr>
        <w:t>禁止在城市建设用地范围、重要基础设施周边、集中式饮用水源地一级保护区范围内开展矿产资源开发活动。强化开采规模准入管理，提高规模化集约化开采水平，推进矿山规模化发展，促进矿产资源优势向经济优势转变。拟设立矿业权区域需协调好与生态保护红线、基本农田红线、公益林的关系，禁止采矿用地占用耕地、林地。</w:t>
      </w:r>
    </w:p>
    <w:p w14:paraId="42193A3B">
      <w:pPr>
        <w:keepNext/>
        <w:spacing w:before="156" w:beforeLines="50" w:after="156" w:afterLines="50"/>
        <w:outlineLvl w:val="1"/>
        <w:rPr>
          <w:rFonts w:eastAsia="黑体"/>
        </w:rPr>
      </w:pPr>
      <w:bookmarkStart w:id="59" w:name="_Toc32584"/>
      <w:r>
        <w:rPr>
          <w:rFonts w:eastAsia="黑体"/>
        </w:rPr>
        <w:t>第三节 城乡建设空间</w:t>
      </w:r>
      <w:bookmarkEnd w:id="59"/>
    </w:p>
    <w:p w14:paraId="46CB7059">
      <w:pPr>
        <w:keepNext/>
        <w:numPr>
          <w:ilvl w:val="0"/>
          <w:numId w:val="1"/>
        </w:numPr>
        <w:spacing w:before="156" w:beforeLines="50" w:after="156" w:afterLines="50"/>
        <w:jc w:val="both"/>
        <w:outlineLvl w:val="2"/>
        <w:rPr>
          <w:rFonts w:eastAsia="楷体_GB2312"/>
          <w:bCs/>
          <w:kern w:val="0"/>
        </w:rPr>
      </w:pPr>
      <w:r>
        <w:rPr>
          <w:rFonts w:eastAsia="楷体_GB2312"/>
          <w:bCs/>
          <w:kern w:val="0"/>
        </w:rPr>
        <w:t>城乡建设用地布局</w:t>
      </w:r>
    </w:p>
    <w:p w14:paraId="0671E189">
      <w:pPr>
        <w:ind w:firstLine="640" w:firstLineChars="200"/>
        <w:jc w:val="both"/>
        <w:rPr>
          <w:rFonts w:eastAsia="仿宋_GB2312"/>
        </w:rPr>
      </w:pPr>
      <w:r>
        <w:rPr>
          <w:rFonts w:eastAsia="仿宋_GB2312"/>
        </w:rPr>
        <w:t>落实市县总规的城乡建设用地指标。综合新产业新业态、乡村振兴等要求，统筹确定城镇、村庄建设用地规模与布局。分析村庄空心化</w:t>
      </w:r>
      <w:r>
        <w:rPr>
          <w:rFonts w:hint="eastAsia" w:eastAsia="仿宋_GB2312"/>
        </w:rPr>
        <w:t>趋势</w:t>
      </w:r>
      <w:r>
        <w:rPr>
          <w:rFonts w:eastAsia="仿宋_GB2312"/>
        </w:rPr>
        <w:t>。</w:t>
      </w:r>
    </w:p>
    <w:p w14:paraId="7883E779">
      <w:pPr>
        <w:keepNext/>
        <w:numPr>
          <w:ilvl w:val="0"/>
          <w:numId w:val="1"/>
        </w:numPr>
        <w:spacing w:before="156" w:beforeLines="50" w:after="156" w:afterLines="50"/>
        <w:jc w:val="both"/>
        <w:outlineLvl w:val="2"/>
        <w:rPr>
          <w:rFonts w:eastAsia="楷体_GB2312"/>
          <w:bCs/>
          <w:kern w:val="0"/>
        </w:rPr>
      </w:pPr>
      <w:r>
        <w:rPr>
          <w:rFonts w:eastAsia="楷体_GB2312"/>
          <w:bCs/>
          <w:kern w:val="0"/>
        </w:rPr>
        <w:t>人口规模及城镇化水平预测</w:t>
      </w:r>
    </w:p>
    <w:p w14:paraId="74CB8B6C">
      <w:pPr>
        <w:ind w:firstLine="640" w:firstLineChars="200"/>
        <w:jc w:val="both"/>
        <w:rPr>
          <w:rFonts w:eastAsia="仿宋_GB2312"/>
        </w:rPr>
      </w:pPr>
      <w:r>
        <w:rPr>
          <w:rFonts w:eastAsia="仿宋_GB2312"/>
        </w:rPr>
        <w:t>规划近期（2021</w:t>
      </w:r>
      <w:r>
        <w:rPr>
          <w:rFonts w:hint="eastAsia" w:eastAsia="仿宋_GB2312"/>
        </w:rPr>
        <w:t>—</w:t>
      </w:r>
      <w:r>
        <w:rPr>
          <w:rFonts w:eastAsia="仿宋_GB2312"/>
        </w:rPr>
        <w:t>2025年）镇域总人口为P</w:t>
      </w:r>
      <w:r>
        <w:rPr>
          <w:rFonts w:eastAsia="仿宋_GB2312"/>
          <w:vertAlign w:val="subscript"/>
        </w:rPr>
        <w:t>2025</w:t>
      </w:r>
      <w:r>
        <w:rPr>
          <w:rFonts w:eastAsia="仿宋_GB2312"/>
        </w:rPr>
        <w:t>=1.23万人，镇政府驻地总人口为P</w:t>
      </w:r>
      <w:r>
        <w:rPr>
          <w:rFonts w:eastAsia="仿宋_GB2312"/>
          <w:vertAlign w:val="subscript"/>
        </w:rPr>
        <w:t>2025</w:t>
      </w:r>
      <w:r>
        <w:rPr>
          <w:rFonts w:eastAsia="仿宋_GB2312"/>
        </w:rPr>
        <w:t>=0.32万人；</w:t>
      </w:r>
    </w:p>
    <w:p w14:paraId="3FEE71DC">
      <w:pPr>
        <w:ind w:firstLine="640" w:firstLineChars="200"/>
        <w:jc w:val="both"/>
        <w:rPr>
          <w:rFonts w:eastAsia="仿宋_GB2312"/>
        </w:rPr>
      </w:pPr>
      <w:r>
        <w:rPr>
          <w:rFonts w:eastAsia="仿宋_GB2312"/>
        </w:rPr>
        <w:t>规划远期（2026</w:t>
      </w:r>
      <w:r>
        <w:rPr>
          <w:rFonts w:hint="eastAsia" w:eastAsia="仿宋_GB2312"/>
        </w:rPr>
        <w:t>—</w:t>
      </w:r>
      <w:r>
        <w:rPr>
          <w:rFonts w:eastAsia="仿宋_GB2312"/>
        </w:rPr>
        <w:t>2035年）镇域总人口为P</w:t>
      </w:r>
      <w:r>
        <w:rPr>
          <w:rFonts w:eastAsia="仿宋_GB2312"/>
          <w:vertAlign w:val="subscript"/>
        </w:rPr>
        <w:t>2035</w:t>
      </w:r>
      <w:r>
        <w:rPr>
          <w:rFonts w:eastAsia="仿宋_GB2312"/>
        </w:rPr>
        <w:t>=1.00万人，镇政府驻地总人口为P</w:t>
      </w:r>
      <w:r>
        <w:rPr>
          <w:rFonts w:eastAsia="仿宋_GB2312"/>
          <w:vertAlign w:val="subscript"/>
        </w:rPr>
        <w:t>2035</w:t>
      </w:r>
      <w:r>
        <w:rPr>
          <w:rFonts w:eastAsia="仿宋_GB2312"/>
        </w:rPr>
        <w:t>=0.35万人。</w:t>
      </w:r>
    </w:p>
    <w:p w14:paraId="49303166">
      <w:pPr>
        <w:ind w:firstLine="640" w:firstLineChars="200"/>
        <w:jc w:val="both"/>
      </w:pPr>
      <w:r>
        <w:rPr>
          <w:rFonts w:eastAsia="仿宋_GB2312"/>
        </w:rPr>
        <w:t>预测横头山镇近期城镇化率为26%，规划期末城镇化率为35%。</w:t>
      </w:r>
    </w:p>
    <w:p w14:paraId="3C305585">
      <w:pPr>
        <w:keepNext/>
        <w:numPr>
          <w:ilvl w:val="0"/>
          <w:numId w:val="1"/>
        </w:numPr>
        <w:spacing w:before="156" w:beforeLines="50" w:after="156" w:afterLines="50"/>
        <w:jc w:val="both"/>
        <w:outlineLvl w:val="2"/>
        <w:rPr>
          <w:rFonts w:eastAsia="楷体_GB2312"/>
          <w:bCs/>
          <w:kern w:val="0"/>
        </w:rPr>
      </w:pPr>
      <w:r>
        <w:rPr>
          <w:rFonts w:eastAsia="楷体_GB2312"/>
          <w:bCs/>
          <w:kern w:val="0"/>
        </w:rPr>
        <w:t>全域居民点体系等级结构规划</w:t>
      </w:r>
    </w:p>
    <w:p w14:paraId="1E322051">
      <w:pPr>
        <w:ind w:firstLine="640" w:firstLineChars="200"/>
        <w:jc w:val="both"/>
        <w:rPr>
          <w:rFonts w:eastAsia="仿宋_GB2312"/>
        </w:rPr>
      </w:pPr>
      <w:r>
        <w:rPr>
          <w:rFonts w:eastAsia="仿宋_GB2312"/>
        </w:rPr>
        <w:t>横头山镇镇域行政村按照：镇政府驻地</w:t>
      </w:r>
      <w:r>
        <w:rPr>
          <w:rFonts w:hint="eastAsia" w:eastAsia="仿宋_GB2312"/>
        </w:rPr>
        <w:t>—</w:t>
      </w:r>
      <w:r>
        <w:rPr>
          <w:rFonts w:eastAsia="仿宋_GB2312"/>
        </w:rPr>
        <w:t>中心村</w:t>
      </w:r>
      <w:r>
        <w:rPr>
          <w:rFonts w:hint="eastAsia" w:eastAsia="仿宋_GB2312"/>
        </w:rPr>
        <w:t>—</w:t>
      </w:r>
      <w:r>
        <w:rPr>
          <w:rFonts w:eastAsia="仿宋_GB2312"/>
        </w:rPr>
        <w:t>一般村三级体系，规划以强化镇政府驻地的主导功能为重点，鼓励人口向镇政府驻地集聚，统筹考虑中心村数量与布局。</w:t>
      </w:r>
    </w:p>
    <w:p w14:paraId="619ECB9E">
      <w:pPr>
        <w:ind w:firstLine="640" w:firstLineChars="200"/>
        <w:jc w:val="both"/>
        <w:rPr>
          <w:rFonts w:eastAsia="仿宋_GB2312"/>
        </w:rPr>
      </w:pPr>
      <w:r>
        <w:rPr>
          <w:rFonts w:eastAsia="仿宋_GB2312"/>
        </w:rPr>
        <w:t>镇政府驻地：1个，东朝阳村；</w:t>
      </w:r>
    </w:p>
    <w:p w14:paraId="1F6A9398">
      <w:pPr>
        <w:ind w:firstLine="640" w:firstLineChars="200"/>
        <w:jc w:val="both"/>
        <w:rPr>
          <w:rFonts w:eastAsia="仿宋_GB2312"/>
        </w:rPr>
      </w:pPr>
      <w:r>
        <w:rPr>
          <w:rFonts w:eastAsia="仿宋_GB2312"/>
        </w:rPr>
        <w:t>中心村：3个，葡萄沟村、申家店村、万宝村；</w:t>
      </w:r>
    </w:p>
    <w:p w14:paraId="771BB56A">
      <w:pPr>
        <w:ind w:firstLine="640" w:firstLineChars="200"/>
        <w:jc w:val="both"/>
        <w:rPr>
          <w:rFonts w:eastAsia="仿宋_GB2312"/>
        </w:rPr>
      </w:pPr>
      <w:r>
        <w:rPr>
          <w:rFonts w:eastAsia="仿宋_GB2312"/>
        </w:rPr>
        <w:t>一般村：6个，国兴村、合乡村、解放村、日升村、西朝阳村、向阳堡村。</w:t>
      </w:r>
    </w:p>
    <w:p w14:paraId="7768CE07">
      <w:pPr>
        <w:keepNext/>
        <w:numPr>
          <w:ilvl w:val="0"/>
          <w:numId w:val="1"/>
        </w:numPr>
        <w:spacing w:before="156" w:beforeLines="50" w:after="156" w:afterLines="50"/>
        <w:jc w:val="both"/>
        <w:outlineLvl w:val="2"/>
        <w:rPr>
          <w:rFonts w:eastAsia="楷体_GB2312"/>
          <w:bCs/>
          <w:kern w:val="0"/>
        </w:rPr>
      </w:pPr>
      <w:r>
        <w:rPr>
          <w:rFonts w:eastAsia="楷体_GB2312"/>
          <w:bCs/>
          <w:kern w:val="0"/>
        </w:rPr>
        <w:t>全域居民点职能结构规划</w:t>
      </w:r>
    </w:p>
    <w:p w14:paraId="7FACAFB2">
      <w:pPr>
        <w:ind w:firstLine="640" w:firstLineChars="200"/>
        <w:jc w:val="both"/>
        <w:rPr>
          <w:rFonts w:eastAsia="仿宋_GB2312"/>
        </w:rPr>
      </w:pPr>
      <w:r>
        <w:rPr>
          <w:rFonts w:eastAsia="仿宋_GB2312"/>
        </w:rPr>
        <w:t>镇政府驻地是横头山镇党政机关驻地，是镇域内政治、经济、文化中心，工业中心，商业贸易和科技服务信息中心，农贸产品集散加工中心，教育、体育、医疗卫生中心。</w:t>
      </w:r>
    </w:p>
    <w:p w14:paraId="3775564B">
      <w:pPr>
        <w:ind w:firstLine="640" w:firstLineChars="200"/>
        <w:jc w:val="both"/>
        <w:rPr>
          <w:rFonts w:eastAsia="仿宋_GB2312"/>
        </w:rPr>
      </w:pPr>
      <w:r>
        <w:rPr>
          <w:rFonts w:eastAsia="仿宋_GB2312"/>
        </w:rPr>
        <w:t>农产品的种植基地，以发展种植业、农林产品加工、旅游服务业、养殖业为主，将横头山镇各村及农林牧场划分为综合型、农业型、林业型和旅游服务型。详见附表8。</w:t>
      </w:r>
    </w:p>
    <w:p w14:paraId="4C6B6E33">
      <w:pPr>
        <w:keepNext/>
        <w:numPr>
          <w:ilvl w:val="0"/>
          <w:numId w:val="1"/>
        </w:numPr>
        <w:spacing w:before="156" w:beforeLines="50" w:after="156" w:afterLines="50"/>
        <w:jc w:val="both"/>
        <w:outlineLvl w:val="2"/>
        <w:rPr>
          <w:rFonts w:eastAsia="楷体_GB2312"/>
          <w:bCs/>
          <w:kern w:val="0"/>
        </w:rPr>
      </w:pPr>
      <w:r>
        <w:rPr>
          <w:rFonts w:eastAsia="楷体_GB2312"/>
          <w:bCs/>
          <w:kern w:val="0"/>
        </w:rPr>
        <w:t>全域村庄分类</w:t>
      </w:r>
    </w:p>
    <w:p w14:paraId="5DB9BB83">
      <w:pPr>
        <w:ind w:firstLine="640" w:firstLineChars="200"/>
        <w:jc w:val="both"/>
        <w:rPr>
          <w:rFonts w:eastAsia="仿宋_GB2312"/>
        </w:rPr>
      </w:pPr>
      <w:r>
        <w:rPr>
          <w:rFonts w:eastAsia="仿宋_GB2312"/>
        </w:rPr>
        <w:t>规划村庄分类均为集聚提升类，主要指现有规模较大的中心村和其他仍将存续的一般村庄。</w:t>
      </w:r>
    </w:p>
    <w:p w14:paraId="18A62DA3">
      <w:pPr>
        <w:keepNext/>
        <w:numPr>
          <w:ilvl w:val="0"/>
          <w:numId w:val="1"/>
        </w:numPr>
        <w:spacing w:before="156" w:beforeLines="50" w:after="156" w:afterLines="50"/>
        <w:jc w:val="both"/>
        <w:outlineLvl w:val="2"/>
        <w:rPr>
          <w:rFonts w:eastAsia="楷体_GB2312"/>
          <w:bCs/>
          <w:kern w:val="0"/>
        </w:rPr>
      </w:pPr>
      <w:r>
        <w:rPr>
          <w:rFonts w:eastAsia="楷体_GB2312"/>
          <w:bCs/>
          <w:kern w:val="0"/>
        </w:rPr>
        <w:t>产业空间发展布局</w:t>
      </w:r>
    </w:p>
    <w:p w14:paraId="72D12EAA">
      <w:pPr>
        <w:ind w:firstLine="640" w:firstLineChars="200"/>
        <w:jc w:val="both"/>
        <w:rPr>
          <w:rFonts w:eastAsia="仿宋_GB2312"/>
        </w:rPr>
      </w:pPr>
      <w:r>
        <w:rPr>
          <w:rFonts w:hint="eastAsia" w:eastAsia="仿宋_GB2312"/>
        </w:rPr>
        <w:t>规划横头山镇</w:t>
      </w:r>
      <w:r>
        <w:rPr>
          <w:rFonts w:eastAsia="仿宋_GB2312"/>
        </w:rPr>
        <w:t>构建“1+3”产业体系。</w:t>
      </w:r>
    </w:p>
    <w:p w14:paraId="46439D07">
      <w:pPr>
        <w:ind w:firstLine="640" w:firstLineChars="200"/>
        <w:jc w:val="both"/>
        <w:rPr>
          <w:rFonts w:eastAsia="仿宋_GB2312"/>
        </w:rPr>
      </w:pPr>
      <w:r>
        <w:rPr>
          <w:rFonts w:eastAsia="仿宋_GB2312"/>
        </w:rPr>
        <w:t>“1”：以农林产品加工为主导产业；</w:t>
      </w:r>
    </w:p>
    <w:p w14:paraId="2557A521">
      <w:pPr>
        <w:ind w:firstLine="640" w:firstLineChars="200"/>
        <w:jc w:val="both"/>
        <w:rPr>
          <w:rFonts w:eastAsia="仿宋_GB2312"/>
        </w:rPr>
      </w:pPr>
      <w:r>
        <w:rPr>
          <w:rFonts w:eastAsia="仿宋_GB2312"/>
        </w:rPr>
        <w:t>“3”：以绿色农业、生态旅游、清洁能源为特色产业。</w:t>
      </w:r>
    </w:p>
    <w:p w14:paraId="3D9FFA47">
      <w:pPr>
        <w:keepNext/>
        <w:numPr>
          <w:ilvl w:val="0"/>
          <w:numId w:val="1"/>
        </w:numPr>
        <w:spacing w:before="156" w:beforeLines="50" w:after="156" w:afterLines="50"/>
        <w:jc w:val="both"/>
        <w:outlineLvl w:val="2"/>
        <w:rPr>
          <w:rFonts w:eastAsia="楷体_GB2312"/>
          <w:bCs/>
          <w:kern w:val="0"/>
        </w:rPr>
      </w:pPr>
      <w:r>
        <w:rPr>
          <w:rFonts w:eastAsia="楷体_GB2312"/>
          <w:bCs/>
          <w:kern w:val="0"/>
        </w:rPr>
        <w:t>其他建设用地布局</w:t>
      </w:r>
    </w:p>
    <w:p w14:paraId="271805B9">
      <w:pPr>
        <w:ind w:firstLine="640" w:firstLineChars="200"/>
        <w:jc w:val="both"/>
        <w:rPr>
          <w:rFonts w:eastAsia="仿宋_GB2312"/>
        </w:rPr>
      </w:pPr>
      <w:r>
        <w:rPr>
          <w:rFonts w:eastAsia="仿宋_GB2312"/>
        </w:rPr>
        <w:t>深化落实区域基础设施用地布局，落实新建1处110kV变电站及110kV输电线，1处通</w:t>
      </w:r>
      <w:r>
        <w:rPr>
          <w:rFonts w:hint="eastAsia" w:eastAsia="仿宋_GB2312"/>
        </w:rPr>
        <w:t>信</w:t>
      </w:r>
      <w:r>
        <w:rPr>
          <w:rFonts w:eastAsia="仿宋_GB2312"/>
        </w:rPr>
        <w:t>基站，分别位于国兴村和万宝村。</w:t>
      </w:r>
    </w:p>
    <w:p w14:paraId="2051525B">
      <w:pPr>
        <w:keepNext w:val="0"/>
        <w:keepLines w:val="0"/>
        <w:pageBreakBefore w:val="0"/>
        <w:widowControl w:val="0"/>
        <w:kinsoku/>
        <w:wordWrap/>
        <w:overflowPunct/>
        <w:topLinePunct w:val="0"/>
        <w:autoSpaceDE/>
        <w:autoSpaceDN/>
        <w:bidi w:val="0"/>
        <w:adjustRightInd/>
        <w:snapToGrid/>
        <w:spacing w:before="156" w:beforeLines="50" w:after="156" w:afterLines="50"/>
        <w:textAlignment w:val="auto"/>
        <w:outlineLvl w:val="1"/>
        <w:rPr>
          <w:rFonts w:eastAsia="黑体"/>
        </w:rPr>
      </w:pPr>
      <w:bookmarkStart w:id="60" w:name="_Toc3592"/>
      <w:r>
        <w:rPr>
          <w:rFonts w:eastAsia="黑体"/>
        </w:rPr>
        <w:t>第四节 地下空间</w:t>
      </w:r>
      <w:bookmarkEnd w:id="60"/>
    </w:p>
    <w:p w14:paraId="40790201">
      <w:pPr>
        <w:keepNext w:val="0"/>
        <w:keepLines w:val="0"/>
        <w:pageBreakBefore w:val="0"/>
        <w:widowControl w:val="0"/>
        <w:numPr>
          <w:ilvl w:val="0"/>
          <w:numId w:val="1"/>
        </w:numPr>
        <w:kinsoku/>
        <w:wordWrap/>
        <w:overflowPunct/>
        <w:topLinePunct w:val="0"/>
        <w:autoSpaceDE/>
        <w:autoSpaceDN/>
        <w:bidi w:val="0"/>
        <w:adjustRightInd/>
        <w:snapToGrid/>
        <w:spacing w:before="156" w:beforeLines="50" w:after="156" w:afterLines="50"/>
        <w:jc w:val="both"/>
        <w:textAlignment w:val="auto"/>
        <w:outlineLvl w:val="2"/>
        <w:rPr>
          <w:rFonts w:eastAsia="楷体_GB2312"/>
          <w:bCs/>
          <w:kern w:val="0"/>
        </w:rPr>
      </w:pPr>
      <w:r>
        <w:rPr>
          <w:rFonts w:eastAsia="楷体_GB2312"/>
          <w:bCs/>
          <w:kern w:val="0"/>
        </w:rPr>
        <w:t>地下空间</w:t>
      </w:r>
    </w:p>
    <w:p w14:paraId="27E6AD3E">
      <w:pPr>
        <w:ind w:firstLine="640" w:firstLineChars="200"/>
        <w:jc w:val="both"/>
        <w:rPr>
          <w:rFonts w:eastAsia="仿宋_GB2312"/>
        </w:rPr>
      </w:pPr>
      <w:r>
        <w:rPr>
          <w:rFonts w:eastAsia="楷体_GB2312"/>
        </w:rPr>
        <w:t>坚持先地下后地上、地上地下相协调、平战结合的原则。</w:t>
      </w:r>
      <w:r>
        <w:rPr>
          <w:rFonts w:eastAsia="仿宋_GB2312"/>
        </w:rPr>
        <w:t>地下空间优先安排市政基础设施、人防工程、应急防灾设施。推进建设用地的多功能立体开发和复合利用</w:t>
      </w:r>
      <w:r>
        <w:rPr>
          <w:rFonts w:hint="eastAsia" w:eastAsia="仿宋_GB2312"/>
        </w:rPr>
        <w:t>，</w:t>
      </w:r>
      <w:r>
        <w:rPr>
          <w:rFonts w:eastAsia="仿宋_GB2312"/>
        </w:rPr>
        <w:t>构建立体式宜居城市。地下空间重点安排市政、防灾等功能，适度安排商业功能，提高地下空间安全利用标准。</w:t>
      </w:r>
    </w:p>
    <w:p w14:paraId="25297210">
      <w:pPr>
        <w:ind w:firstLine="640" w:firstLineChars="200"/>
        <w:jc w:val="both"/>
        <w:rPr>
          <w:rFonts w:eastAsia="仿宋_GB2312"/>
        </w:rPr>
      </w:pPr>
      <w:r>
        <w:rPr>
          <w:rFonts w:eastAsia="楷体_GB2312"/>
        </w:rPr>
        <w:t>健全地下空间共同管理责任机制。</w:t>
      </w:r>
      <w:r>
        <w:rPr>
          <w:rFonts w:eastAsia="仿宋_GB2312"/>
        </w:rPr>
        <w:t>逐步完善地上与地下空间权属、建设用地有偿使用的管理制度，完善地下空间开发利用法规政策。</w:t>
      </w:r>
    </w:p>
    <w:p w14:paraId="02E68027">
      <w:pPr>
        <w:ind w:firstLine="640" w:firstLineChars="200"/>
        <w:jc w:val="both"/>
      </w:pPr>
      <w:r>
        <w:rPr>
          <w:rFonts w:eastAsia="楷体_GB2312"/>
        </w:rPr>
        <w:t>促进城镇空间立体分层发展。</w:t>
      </w:r>
      <w:r>
        <w:rPr>
          <w:rFonts w:eastAsia="仿宋_GB2312"/>
        </w:rPr>
        <w:t>提高城镇空间资源效率与综合承载力，鼓励浅层、次浅层开发。鼓励重点发展区与周边功能的复合开发利用和互联互通。</w:t>
      </w:r>
      <w:r>
        <w:br w:type="page"/>
      </w:r>
    </w:p>
    <w:p w14:paraId="6B33B2B5">
      <w:pPr>
        <w:keepNext/>
        <w:spacing w:before="156" w:beforeLines="50" w:after="156" w:afterLines="50"/>
        <w:outlineLvl w:val="0"/>
        <w:rPr>
          <w:bCs/>
          <w:sz w:val="36"/>
          <w:szCs w:val="36"/>
        </w:rPr>
      </w:pPr>
      <w:bookmarkStart w:id="61" w:name="_Toc656"/>
      <w:r>
        <w:rPr>
          <w:bCs/>
          <w:sz w:val="36"/>
          <w:szCs w:val="36"/>
        </w:rPr>
        <w:t>第五章 镇政府驻地用地布局</w:t>
      </w:r>
      <w:bookmarkEnd w:id="61"/>
    </w:p>
    <w:p w14:paraId="53A7F1A9">
      <w:pPr>
        <w:keepNext/>
        <w:spacing w:before="156" w:beforeLines="50" w:after="156" w:afterLines="50"/>
        <w:outlineLvl w:val="1"/>
        <w:rPr>
          <w:rFonts w:eastAsia="黑体"/>
        </w:rPr>
      </w:pPr>
      <w:bookmarkStart w:id="62" w:name="_Toc26575"/>
      <w:r>
        <w:rPr>
          <w:rFonts w:eastAsia="黑体"/>
        </w:rPr>
        <w:t>第一节 用地结构和布局</w:t>
      </w:r>
      <w:bookmarkEnd w:id="62"/>
    </w:p>
    <w:p w14:paraId="2DAF2995">
      <w:pPr>
        <w:keepNext/>
        <w:numPr>
          <w:ilvl w:val="0"/>
          <w:numId w:val="1"/>
        </w:numPr>
        <w:spacing w:before="156" w:beforeLines="50" w:after="156" w:afterLines="50"/>
        <w:jc w:val="both"/>
        <w:outlineLvl w:val="2"/>
        <w:rPr>
          <w:rFonts w:eastAsia="楷体_GB2312"/>
          <w:bCs/>
          <w:kern w:val="0"/>
        </w:rPr>
      </w:pPr>
      <w:r>
        <w:rPr>
          <w:rFonts w:eastAsia="楷体_GB2312"/>
          <w:bCs/>
          <w:kern w:val="0"/>
        </w:rPr>
        <w:t>范围划定</w:t>
      </w:r>
    </w:p>
    <w:p w14:paraId="7E01B71F">
      <w:pPr>
        <w:ind w:firstLine="640" w:firstLineChars="200"/>
        <w:jc w:val="both"/>
        <w:rPr>
          <w:rFonts w:eastAsia="仿宋_GB2312"/>
        </w:rPr>
      </w:pPr>
      <w:r>
        <w:rPr>
          <w:rFonts w:eastAsia="仿宋_GB2312"/>
        </w:rPr>
        <w:t>横头山镇政府驻地为镇政府所在地集中连片的城镇建设区域，建设用地不应侵占永久基本农田及生态保护红线。</w:t>
      </w:r>
    </w:p>
    <w:p w14:paraId="42A67D16">
      <w:pPr>
        <w:keepNext/>
        <w:numPr>
          <w:ilvl w:val="0"/>
          <w:numId w:val="1"/>
        </w:numPr>
        <w:spacing w:before="156" w:beforeLines="50" w:after="156" w:afterLines="50"/>
        <w:jc w:val="both"/>
        <w:outlineLvl w:val="2"/>
        <w:rPr>
          <w:rFonts w:eastAsia="楷体_GB2312"/>
          <w:bCs/>
          <w:kern w:val="0"/>
        </w:rPr>
      </w:pPr>
      <w:r>
        <w:rPr>
          <w:rFonts w:eastAsia="楷体_GB2312"/>
          <w:bCs/>
          <w:kern w:val="0"/>
        </w:rPr>
        <w:t>空间结构</w:t>
      </w:r>
    </w:p>
    <w:p w14:paraId="62AB63CF">
      <w:pPr>
        <w:ind w:firstLine="640" w:firstLineChars="200"/>
        <w:jc w:val="both"/>
        <w:rPr>
          <w:rFonts w:eastAsia="仿宋_GB2312"/>
        </w:rPr>
      </w:pPr>
      <w:r>
        <w:rPr>
          <w:rFonts w:eastAsia="仿宋_GB2312"/>
        </w:rPr>
        <w:t>镇政府驻地规划形成“一轴、八片区”的空间结构。</w:t>
      </w:r>
    </w:p>
    <w:p w14:paraId="50AA4665">
      <w:pPr>
        <w:ind w:firstLine="640" w:firstLineChars="200"/>
        <w:jc w:val="both"/>
        <w:rPr>
          <w:rFonts w:eastAsia="仿宋_GB2312"/>
        </w:rPr>
      </w:pPr>
      <w:r>
        <w:rPr>
          <w:rFonts w:eastAsia="楷体_GB2312"/>
        </w:rPr>
        <w:t>“一轴”：</w:t>
      </w:r>
      <w:r>
        <w:rPr>
          <w:rFonts w:eastAsia="仿宋_GB2312"/>
        </w:rPr>
        <w:t>城乡统筹发展轴。</w:t>
      </w:r>
    </w:p>
    <w:p w14:paraId="2786099A">
      <w:pPr>
        <w:ind w:firstLine="640" w:firstLineChars="200"/>
        <w:jc w:val="both"/>
        <w:rPr>
          <w:rFonts w:eastAsia="仿宋_GB2312"/>
        </w:rPr>
      </w:pPr>
      <w:r>
        <w:rPr>
          <w:rFonts w:eastAsia="楷体_GB2312"/>
        </w:rPr>
        <w:t>“八片区”：</w:t>
      </w:r>
      <w:r>
        <w:rPr>
          <w:rFonts w:eastAsia="仿宋_GB2312"/>
        </w:rPr>
        <w:t>居住生活区、综合服务区、商业商务区、工业发展区、物流仓储区、绿地休闲区、交通枢纽区和战略预留区。</w:t>
      </w:r>
    </w:p>
    <w:p w14:paraId="552C5E3A">
      <w:pPr>
        <w:keepNext/>
        <w:spacing w:before="156" w:beforeLines="50" w:after="156" w:afterLines="50"/>
        <w:outlineLvl w:val="1"/>
        <w:rPr>
          <w:rFonts w:eastAsia="黑体"/>
        </w:rPr>
      </w:pPr>
      <w:bookmarkStart w:id="63" w:name="_Toc16375"/>
      <w:r>
        <w:rPr>
          <w:rFonts w:eastAsia="黑体"/>
        </w:rPr>
        <w:t>第二节 居住空间布局</w:t>
      </w:r>
      <w:bookmarkEnd w:id="63"/>
    </w:p>
    <w:p w14:paraId="666D91B5">
      <w:pPr>
        <w:keepNext/>
        <w:numPr>
          <w:ilvl w:val="0"/>
          <w:numId w:val="1"/>
        </w:numPr>
        <w:spacing w:before="156" w:beforeLines="50" w:after="156" w:afterLines="50"/>
        <w:jc w:val="both"/>
        <w:outlineLvl w:val="2"/>
        <w:rPr>
          <w:rFonts w:eastAsia="楷体_GB2312"/>
          <w:bCs/>
          <w:kern w:val="0"/>
        </w:rPr>
      </w:pPr>
      <w:r>
        <w:rPr>
          <w:rFonts w:eastAsia="楷体_GB2312"/>
          <w:bCs/>
          <w:kern w:val="0"/>
        </w:rPr>
        <w:t>居住空间布局</w:t>
      </w:r>
    </w:p>
    <w:p w14:paraId="49B546FD">
      <w:pPr>
        <w:ind w:firstLine="640" w:firstLineChars="200"/>
        <w:jc w:val="both"/>
        <w:rPr>
          <w:rFonts w:eastAsia="仿宋_GB2312"/>
        </w:rPr>
      </w:pPr>
      <w:r>
        <w:rPr>
          <w:rFonts w:eastAsia="仿宋_GB2312"/>
        </w:rPr>
        <w:t>加强保障性安居工程建设，加快棚户区改造和老旧小区改造项目实施，到2025年，基本完成全部老旧小区改造。</w:t>
      </w:r>
    </w:p>
    <w:p w14:paraId="6B466950">
      <w:pPr>
        <w:keepNext/>
        <w:spacing w:before="156" w:beforeLines="50" w:after="156" w:afterLines="50"/>
        <w:outlineLvl w:val="1"/>
        <w:rPr>
          <w:rFonts w:eastAsia="黑体"/>
        </w:rPr>
      </w:pPr>
      <w:bookmarkStart w:id="64" w:name="_Toc28293"/>
      <w:r>
        <w:rPr>
          <w:rFonts w:eastAsia="黑体"/>
        </w:rPr>
        <w:t>第三节 公共服务空间布局</w:t>
      </w:r>
      <w:bookmarkEnd w:id="64"/>
    </w:p>
    <w:p w14:paraId="4B9734D7">
      <w:pPr>
        <w:keepNext/>
        <w:numPr>
          <w:ilvl w:val="0"/>
          <w:numId w:val="1"/>
        </w:numPr>
        <w:spacing w:before="156" w:beforeLines="50" w:after="156" w:afterLines="50"/>
        <w:jc w:val="both"/>
        <w:outlineLvl w:val="2"/>
        <w:rPr>
          <w:rFonts w:eastAsia="楷体_GB2312"/>
          <w:bCs/>
          <w:kern w:val="0"/>
        </w:rPr>
      </w:pPr>
      <w:r>
        <w:rPr>
          <w:rFonts w:eastAsia="楷体_GB2312"/>
          <w:bCs/>
          <w:kern w:val="0"/>
        </w:rPr>
        <w:t>公共服务空间布局</w:t>
      </w:r>
    </w:p>
    <w:p w14:paraId="0114263E">
      <w:pPr>
        <w:ind w:firstLine="640" w:firstLineChars="200"/>
        <w:jc w:val="both"/>
        <w:rPr>
          <w:rFonts w:eastAsia="仿宋_GB2312"/>
        </w:rPr>
      </w:pPr>
      <w:r>
        <w:rPr>
          <w:rFonts w:eastAsia="仿宋_GB2312"/>
        </w:rPr>
        <w:t>结合各个居住组团、公园绿地及广场合理布局公共管理与公共设施用地，包括机关团体、文化体育、教育、医疗卫生、社会福利、商业金融用地。</w:t>
      </w:r>
    </w:p>
    <w:p w14:paraId="646A16BD">
      <w:pPr>
        <w:keepNext/>
        <w:spacing w:before="156" w:beforeLines="50" w:after="156" w:afterLines="50"/>
        <w:outlineLvl w:val="1"/>
        <w:rPr>
          <w:rFonts w:eastAsia="黑体"/>
        </w:rPr>
      </w:pPr>
      <w:bookmarkStart w:id="65" w:name="_Toc4540"/>
      <w:r>
        <w:rPr>
          <w:rFonts w:eastAsia="黑体"/>
        </w:rPr>
        <w:t>第四节 绿地与开敞空间布局</w:t>
      </w:r>
      <w:bookmarkEnd w:id="65"/>
    </w:p>
    <w:p w14:paraId="70AE6FFB">
      <w:pPr>
        <w:keepNext/>
        <w:numPr>
          <w:ilvl w:val="0"/>
          <w:numId w:val="1"/>
        </w:numPr>
        <w:spacing w:before="156" w:beforeLines="50" w:after="156" w:afterLines="50"/>
        <w:jc w:val="both"/>
        <w:outlineLvl w:val="2"/>
        <w:rPr>
          <w:rFonts w:eastAsia="楷体_GB2312"/>
          <w:bCs/>
          <w:kern w:val="0"/>
        </w:rPr>
      </w:pPr>
      <w:r>
        <w:rPr>
          <w:rFonts w:eastAsia="楷体_GB2312"/>
          <w:bCs/>
          <w:kern w:val="0"/>
        </w:rPr>
        <w:t>绿地与开敞空间布局</w:t>
      </w:r>
    </w:p>
    <w:p w14:paraId="4D424F0D">
      <w:pPr>
        <w:ind w:firstLine="640" w:firstLineChars="200"/>
        <w:jc w:val="both"/>
        <w:rPr>
          <w:rFonts w:eastAsia="仿宋_GB2312"/>
        </w:rPr>
      </w:pPr>
      <w:r>
        <w:rPr>
          <w:rFonts w:eastAsia="仿宋_GB2312"/>
        </w:rPr>
        <w:t>规划新建公园绿地7处。加宽道路红线，沿城镇主干道大街两侧设置绿地与开敞空间，美化主要道路和塑造优美宜人的居住环境。</w:t>
      </w:r>
    </w:p>
    <w:p w14:paraId="768F5E8E">
      <w:pPr>
        <w:keepNext/>
        <w:spacing w:before="156" w:beforeLines="50" w:after="156" w:afterLines="50"/>
        <w:outlineLvl w:val="1"/>
        <w:rPr>
          <w:rFonts w:eastAsia="黑体"/>
        </w:rPr>
      </w:pPr>
      <w:bookmarkStart w:id="66" w:name="_Toc24478"/>
      <w:r>
        <w:rPr>
          <w:rFonts w:eastAsia="黑体"/>
        </w:rPr>
        <w:t>第五节 “四线”管控</w:t>
      </w:r>
      <w:bookmarkEnd w:id="66"/>
    </w:p>
    <w:p w14:paraId="07AAE8EE">
      <w:pPr>
        <w:keepNext/>
        <w:numPr>
          <w:ilvl w:val="0"/>
          <w:numId w:val="1"/>
        </w:numPr>
        <w:spacing w:before="156" w:beforeLines="50" w:after="156" w:afterLines="50"/>
        <w:jc w:val="both"/>
        <w:outlineLvl w:val="2"/>
        <w:rPr>
          <w:rFonts w:eastAsia="楷体_GB2312"/>
          <w:bCs/>
          <w:kern w:val="0"/>
        </w:rPr>
      </w:pPr>
      <w:r>
        <w:rPr>
          <w:rFonts w:eastAsia="楷体_GB2312"/>
          <w:bCs/>
          <w:kern w:val="0"/>
        </w:rPr>
        <w:t>“黄线”管控</w:t>
      </w:r>
    </w:p>
    <w:p w14:paraId="4BF7E1A0">
      <w:pPr>
        <w:ind w:firstLine="640" w:firstLineChars="200"/>
        <w:jc w:val="both"/>
        <w:rPr>
          <w:rFonts w:eastAsia="仿宋_GB2312"/>
          <w:u w:val="single"/>
        </w:rPr>
      </w:pPr>
      <w:r>
        <w:rPr>
          <w:rFonts w:eastAsia="仿宋_GB2312"/>
        </w:rPr>
        <w:t>本次规划确定黄线包括：</w:t>
      </w:r>
      <w:r>
        <w:rPr>
          <w:rFonts w:eastAsia="仿宋_GB2312"/>
          <w:u w:val="single"/>
        </w:rPr>
        <w:t>邮政局所用地控制范围；通信局所用地控制范围；消防站用地控制范围；变电站用地控制范围；供热用地控制范围等。</w:t>
      </w:r>
    </w:p>
    <w:p w14:paraId="04BFFDC4">
      <w:pPr>
        <w:keepNext/>
        <w:numPr>
          <w:ilvl w:val="0"/>
          <w:numId w:val="1"/>
        </w:numPr>
        <w:spacing w:before="156" w:beforeLines="50" w:after="156" w:afterLines="50"/>
        <w:jc w:val="both"/>
        <w:outlineLvl w:val="2"/>
        <w:rPr>
          <w:rFonts w:eastAsia="楷体_GB2312"/>
          <w:bCs/>
          <w:kern w:val="0"/>
        </w:rPr>
      </w:pPr>
      <w:r>
        <w:rPr>
          <w:rFonts w:eastAsia="楷体_GB2312"/>
          <w:bCs/>
          <w:kern w:val="0"/>
        </w:rPr>
        <w:t>“绿线”管控</w:t>
      </w:r>
    </w:p>
    <w:p w14:paraId="15C61DBC">
      <w:pPr>
        <w:ind w:firstLine="640" w:firstLineChars="200"/>
        <w:jc w:val="both"/>
        <w:rPr>
          <w:rFonts w:eastAsia="仿宋_GB2312"/>
        </w:rPr>
      </w:pPr>
      <w:r>
        <w:rPr>
          <w:rFonts w:eastAsia="仿宋_GB2312"/>
        </w:rPr>
        <w:t>本规划中镇</w:t>
      </w:r>
      <w:r>
        <w:rPr>
          <w:rFonts w:hint="eastAsia" w:eastAsia="仿宋_GB2312"/>
        </w:rPr>
        <w:t>政府</w:t>
      </w:r>
      <w:r>
        <w:rPr>
          <w:rFonts w:eastAsia="仿宋_GB2312"/>
        </w:rPr>
        <w:t>驻地内公园绿地、防护绿地、广场用地划定城镇绿地界线。</w:t>
      </w:r>
    </w:p>
    <w:p w14:paraId="3389471C">
      <w:pPr>
        <w:keepNext/>
        <w:numPr>
          <w:ilvl w:val="0"/>
          <w:numId w:val="1"/>
        </w:numPr>
        <w:spacing w:before="156" w:beforeLines="50" w:after="156" w:afterLines="50"/>
        <w:jc w:val="both"/>
        <w:outlineLvl w:val="2"/>
        <w:rPr>
          <w:rFonts w:eastAsia="楷体_GB2312"/>
          <w:bCs/>
          <w:kern w:val="0"/>
        </w:rPr>
      </w:pPr>
      <w:r>
        <w:rPr>
          <w:rFonts w:eastAsia="楷体_GB2312"/>
          <w:bCs/>
          <w:kern w:val="0"/>
        </w:rPr>
        <w:t>“蓝线”管控</w:t>
      </w:r>
    </w:p>
    <w:p w14:paraId="5B4301C0">
      <w:pPr>
        <w:ind w:firstLine="640" w:firstLineChars="200"/>
        <w:jc w:val="both"/>
        <w:rPr>
          <w:rFonts w:eastAsia="仿宋_GB2312"/>
        </w:rPr>
      </w:pPr>
      <w:r>
        <w:rPr>
          <w:rFonts w:eastAsia="仿宋_GB2312"/>
        </w:rPr>
        <w:t>横头山镇镇政府驻地范围内不涉及“蓝线”。</w:t>
      </w:r>
    </w:p>
    <w:p w14:paraId="31018DD1">
      <w:pPr>
        <w:keepNext/>
        <w:numPr>
          <w:ilvl w:val="0"/>
          <w:numId w:val="1"/>
        </w:numPr>
        <w:spacing w:before="156" w:beforeLines="50" w:after="156" w:afterLines="50"/>
        <w:jc w:val="both"/>
        <w:outlineLvl w:val="2"/>
        <w:rPr>
          <w:rFonts w:eastAsia="楷体_GB2312"/>
          <w:bCs/>
          <w:kern w:val="0"/>
        </w:rPr>
      </w:pPr>
      <w:r>
        <w:rPr>
          <w:rFonts w:eastAsia="楷体_GB2312"/>
          <w:bCs/>
          <w:kern w:val="0"/>
        </w:rPr>
        <w:t>“紫线”管控</w:t>
      </w:r>
    </w:p>
    <w:p w14:paraId="3D1BF6D5">
      <w:pPr>
        <w:ind w:firstLine="640" w:firstLineChars="200"/>
        <w:jc w:val="both"/>
        <w:rPr>
          <w:rFonts w:eastAsia="仿宋_GB2312"/>
        </w:rPr>
      </w:pPr>
      <w:r>
        <w:rPr>
          <w:rFonts w:eastAsia="仿宋_GB2312"/>
        </w:rPr>
        <w:t>横头山镇镇政府驻地范围内不涉及“紫线”。</w:t>
      </w:r>
    </w:p>
    <w:p w14:paraId="75650A8E">
      <w:pPr>
        <w:keepNext/>
        <w:spacing w:before="156" w:beforeLines="50" w:after="156" w:afterLines="50"/>
        <w:outlineLvl w:val="0"/>
        <w:rPr>
          <w:bCs/>
          <w:sz w:val="36"/>
          <w:szCs w:val="36"/>
        </w:rPr>
      </w:pPr>
      <w:bookmarkStart w:id="67" w:name="_Toc17109"/>
      <w:r>
        <w:rPr>
          <w:bCs/>
          <w:sz w:val="36"/>
          <w:szCs w:val="36"/>
        </w:rPr>
        <w:br w:type="column"/>
      </w:r>
      <w:r>
        <w:rPr>
          <w:bCs/>
          <w:sz w:val="36"/>
          <w:szCs w:val="36"/>
        </w:rPr>
        <w:t>第六章 基础保障体系</w:t>
      </w:r>
      <w:bookmarkEnd w:id="67"/>
    </w:p>
    <w:p w14:paraId="69009EDE">
      <w:pPr>
        <w:keepNext/>
        <w:spacing w:before="156" w:beforeLines="50" w:after="156" w:afterLines="50"/>
        <w:outlineLvl w:val="1"/>
        <w:rPr>
          <w:rFonts w:eastAsia="黑体"/>
        </w:rPr>
      </w:pPr>
      <w:bookmarkStart w:id="68" w:name="_Toc6216"/>
      <w:r>
        <w:rPr>
          <w:rFonts w:eastAsia="黑体"/>
        </w:rPr>
        <w:t>第一节 公共服务设施</w:t>
      </w:r>
      <w:bookmarkEnd w:id="68"/>
    </w:p>
    <w:p w14:paraId="52DE714A">
      <w:pPr>
        <w:keepNext/>
        <w:numPr>
          <w:ilvl w:val="0"/>
          <w:numId w:val="1"/>
        </w:numPr>
        <w:spacing w:before="156" w:beforeLines="50" w:after="156" w:afterLines="50"/>
        <w:jc w:val="both"/>
        <w:outlineLvl w:val="2"/>
        <w:rPr>
          <w:rFonts w:eastAsia="楷体_GB2312"/>
          <w:bCs/>
          <w:kern w:val="0"/>
        </w:rPr>
      </w:pPr>
      <w:r>
        <w:rPr>
          <w:rFonts w:eastAsia="楷体_GB2312"/>
          <w:bCs/>
          <w:kern w:val="0"/>
        </w:rPr>
        <w:t>公服设施体系</w:t>
      </w:r>
    </w:p>
    <w:p w14:paraId="762271BF">
      <w:pPr>
        <w:ind w:firstLine="640" w:firstLineChars="200"/>
        <w:jc w:val="both"/>
        <w:rPr>
          <w:rFonts w:eastAsia="仿宋_GB2312"/>
        </w:rPr>
      </w:pPr>
      <w:r>
        <w:rPr>
          <w:rFonts w:eastAsia="仿宋_GB2312"/>
        </w:rPr>
        <w:t>规划建设行政、文化、商业金融为一体的现代化镇</w:t>
      </w:r>
      <w:r>
        <w:rPr>
          <w:rFonts w:hint="eastAsia" w:eastAsia="仿宋_GB2312"/>
        </w:rPr>
        <w:t>政府</w:t>
      </w:r>
      <w:r>
        <w:rPr>
          <w:rFonts w:eastAsia="仿宋_GB2312"/>
        </w:rPr>
        <w:t>驻地，建立配套完善的公建服务系统，建设规模考虑镇政府驻地对其外围区域的服务辐射。强化各村庄文化、娱乐、休闲设施的建设，结合开放空间设置，丰富居民生活，提高村民生活品</w:t>
      </w:r>
      <w:r>
        <w:rPr>
          <w:rFonts w:hint="eastAsia" w:eastAsia="仿宋_GB2312"/>
        </w:rPr>
        <w:t>位</w:t>
      </w:r>
      <w:r>
        <w:rPr>
          <w:rFonts w:eastAsia="仿宋_GB2312"/>
        </w:rPr>
        <w:t>。加强教育、体育设施，医疗保健设施的建设和管理，合理布局，方便居民。</w:t>
      </w:r>
    </w:p>
    <w:p w14:paraId="189F6BA7">
      <w:pPr>
        <w:ind w:firstLine="640" w:firstLineChars="200"/>
        <w:jc w:val="both"/>
        <w:rPr>
          <w:rFonts w:eastAsia="仿宋_GB2312"/>
        </w:rPr>
      </w:pPr>
      <w:r>
        <w:rPr>
          <w:rFonts w:eastAsia="仿宋_GB2312"/>
        </w:rPr>
        <w:t>加大社区卫生服务中心（乡镇卫生院）、文化活动场所、快递便民服务网点、连锁便民店等设施。鼓励建设养老机构、老人日托中心、居家养老照料中心等，提升基本养老服务水平。提高居民科技文化素质，加快培育新型职业农民，推动人才振兴。</w:t>
      </w:r>
    </w:p>
    <w:p w14:paraId="4B89F1C4">
      <w:pPr>
        <w:ind w:firstLine="640" w:firstLineChars="200"/>
        <w:jc w:val="both"/>
        <w:rPr>
          <w:rFonts w:eastAsia="仿宋_GB2312"/>
        </w:rPr>
      </w:pPr>
      <w:r>
        <w:rPr>
          <w:rFonts w:eastAsia="仿宋_GB2312"/>
        </w:rPr>
        <w:t>规划期末，镇政府驻地形成一个15分钟乡镇级社区生活圈，各村及农林牧场为5</w:t>
      </w:r>
      <w:r>
        <w:rPr>
          <w:rFonts w:hint="eastAsia" w:eastAsia="仿宋_GB2312"/>
        </w:rPr>
        <w:t>—</w:t>
      </w:r>
      <w:r>
        <w:rPr>
          <w:rFonts w:eastAsia="仿宋_GB2312"/>
        </w:rPr>
        <w:t>10分钟生活圈。</w:t>
      </w:r>
    </w:p>
    <w:p w14:paraId="37A67BBF">
      <w:pPr>
        <w:keepNext/>
        <w:numPr>
          <w:ilvl w:val="0"/>
          <w:numId w:val="1"/>
        </w:numPr>
        <w:spacing w:before="156" w:beforeLines="50" w:after="156" w:afterLines="50"/>
        <w:jc w:val="both"/>
        <w:outlineLvl w:val="2"/>
        <w:rPr>
          <w:rFonts w:eastAsia="楷体_GB2312"/>
          <w:bCs/>
          <w:kern w:val="0"/>
        </w:rPr>
      </w:pPr>
      <w:r>
        <w:rPr>
          <w:rFonts w:eastAsia="楷体_GB2312"/>
          <w:bCs/>
          <w:kern w:val="0"/>
        </w:rPr>
        <w:t>教育设施规划</w:t>
      </w:r>
    </w:p>
    <w:p w14:paraId="4DC9EEBD">
      <w:pPr>
        <w:ind w:firstLine="640" w:firstLineChars="200"/>
        <w:jc w:val="both"/>
        <w:rPr>
          <w:rFonts w:eastAsia="仿宋_GB2312"/>
        </w:rPr>
      </w:pPr>
      <w:r>
        <w:rPr>
          <w:rFonts w:eastAsia="仿宋_GB2312"/>
          <w:u w:val="single"/>
        </w:rPr>
        <w:t>规划保留横头山镇政府驻地西南侧城镇开发边界外的学校，</w:t>
      </w:r>
      <w:r>
        <w:rPr>
          <w:rFonts w:eastAsia="仿宋_GB2312"/>
        </w:rPr>
        <w:t>对其进行改建、扩建，形成集幼儿园、九年一贯制为一体的学校，对现有教育资源进行优化提升，提高教师业务素质，加强教育阶段学校的建设和管理。</w:t>
      </w:r>
    </w:p>
    <w:p w14:paraId="577D30B5">
      <w:pPr>
        <w:ind w:firstLine="640" w:firstLineChars="200"/>
        <w:jc w:val="both"/>
        <w:rPr>
          <w:rFonts w:eastAsia="仿宋_GB2312"/>
        </w:rPr>
      </w:pPr>
      <w:r>
        <w:rPr>
          <w:rFonts w:eastAsia="仿宋_GB2312"/>
        </w:rPr>
        <w:t>规划完善镇政府驻地中、小学寄宿制度和通勤车制度，进行集中办学，满足农村学生的就学需求，努力做到城乡教育均等化。</w:t>
      </w:r>
    </w:p>
    <w:p w14:paraId="167DC1C4">
      <w:pPr>
        <w:keepNext/>
        <w:numPr>
          <w:ilvl w:val="0"/>
          <w:numId w:val="1"/>
        </w:numPr>
        <w:spacing w:before="156" w:beforeLines="50" w:after="156" w:afterLines="50"/>
        <w:jc w:val="both"/>
        <w:outlineLvl w:val="2"/>
        <w:rPr>
          <w:rFonts w:eastAsia="楷体_GB2312"/>
          <w:bCs/>
          <w:kern w:val="0"/>
        </w:rPr>
      </w:pPr>
      <w:r>
        <w:rPr>
          <w:rFonts w:eastAsia="楷体_GB2312"/>
          <w:bCs/>
          <w:kern w:val="0"/>
        </w:rPr>
        <w:t>文体设施规划</w:t>
      </w:r>
    </w:p>
    <w:p w14:paraId="3417D481">
      <w:pPr>
        <w:ind w:firstLine="640" w:firstLineChars="200"/>
        <w:jc w:val="both"/>
        <w:rPr>
          <w:rFonts w:eastAsia="仿宋_GB2312"/>
        </w:rPr>
      </w:pPr>
      <w:r>
        <w:rPr>
          <w:rFonts w:eastAsia="仿宋_GB2312"/>
          <w:u w:val="single"/>
        </w:rPr>
        <w:t>规划在镇政府驻地，在镇政府西侧新建1处图书馆，</w:t>
      </w:r>
      <w:r>
        <w:rPr>
          <w:rFonts w:eastAsia="仿宋_GB2312"/>
        </w:rPr>
        <w:t>藏书5000册以上。结合规划的图书馆设立综合文化站，满足人民群众看电影、文艺（戏剧）演出以及集会等</w:t>
      </w:r>
      <w:r>
        <w:rPr>
          <w:rFonts w:hint="eastAsia" w:eastAsia="仿宋_GB2312"/>
        </w:rPr>
        <w:t>需求</w:t>
      </w:r>
      <w:r>
        <w:rPr>
          <w:rFonts w:eastAsia="仿宋_GB2312"/>
        </w:rPr>
        <w:t>。</w:t>
      </w:r>
    </w:p>
    <w:p w14:paraId="6A71F460">
      <w:pPr>
        <w:ind w:firstLine="640" w:firstLineChars="200"/>
        <w:jc w:val="both"/>
        <w:rPr>
          <w:rFonts w:eastAsia="仿宋_GB2312"/>
        </w:rPr>
      </w:pPr>
      <w:r>
        <w:rPr>
          <w:rFonts w:eastAsia="仿宋_GB2312"/>
          <w:u w:val="single"/>
        </w:rPr>
        <w:t>在镇政府驻地西侧规划新建1处体育馆，</w:t>
      </w:r>
      <w:r>
        <w:rPr>
          <w:rFonts w:eastAsia="仿宋_GB2312"/>
        </w:rPr>
        <w:t>促进全民健身运动。</w:t>
      </w:r>
      <w:r>
        <w:rPr>
          <w:rFonts w:hint="eastAsia" w:eastAsia="仿宋_GB2312"/>
        </w:rPr>
        <w:t>至</w:t>
      </w:r>
      <w:r>
        <w:rPr>
          <w:rFonts w:eastAsia="仿宋_GB2312"/>
        </w:rPr>
        <w:t>2035</w:t>
      </w:r>
      <w:r>
        <w:rPr>
          <w:rFonts w:hint="eastAsia" w:eastAsia="仿宋_GB2312"/>
        </w:rPr>
        <w:t>年，规划在镇政府驻地建设</w:t>
      </w:r>
      <w:r>
        <w:rPr>
          <w:rFonts w:eastAsia="仿宋_GB2312"/>
        </w:rPr>
        <w:t>1500</w:t>
      </w:r>
      <w:r>
        <w:rPr>
          <w:rFonts w:hint="eastAsia" w:eastAsia="仿宋_GB2312"/>
        </w:rPr>
        <w:t>平方米以上的体育健身场所，中心村建设</w:t>
      </w:r>
      <w:r>
        <w:rPr>
          <w:rFonts w:eastAsia="仿宋_GB2312"/>
        </w:rPr>
        <w:t>500</w:t>
      </w:r>
      <w:r>
        <w:rPr>
          <w:rFonts w:hint="eastAsia" w:eastAsia="仿宋_GB2312"/>
        </w:rPr>
        <w:t>平方米以上体育场所、一般村（自然屯）建设</w:t>
      </w:r>
      <w:r>
        <w:rPr>
          <w:rFonts w:eastAsia="仿宋_GB2312"/>
        </w:rPr>
        <w:t>300</w:t>
      </w:r>
      <w:r>
        <w:rPr>
          <w:rFonts w:hint="eastAsia" w:eastAsia="仿宋_GB2312"/>
        </w:rPr>
        <w:t>平方米以上体育场所。各村庄建设小型标准化的体育运动场地，结合绿地、广场建设，满足村民体育活动的需求。</w:t>
      </w:r>
    </w:p>
    <w:p w14:paraId="282D57F4">
      <w:pPr>
        <w:keepNext/>
        <w:numPr>
          <w:ilvl w:val="0"/>
          <w:numId w:val="1"/>
        </w:numPr>
        <w:spacing w:before="156" w:beforeLines="50" w:after="156" w:afterLines="50"/>
        <w:jc w:val="both"/>
        <w:outlineLvl w:val="2"/>
        <w:rPr>
          <w:rFonts w:eastAsia="楷体_GB2312"/>
          <w:bCs/>
          <w:kern w:val="0"/>
        </w:rPr>
      </w:pPr>
      <w:r>
        <w:rPr>
          <w:rFonts w:eastAsia="楷体_GB2312"/>
          <w:bCs/>
          <w:kern w:val="0"/>
        </w:rPr>
        <w:t>医疗设施规划</w:t>
      </w:r>
    </w:p>
    <w:p w14:paraId="204224CC">
      <w:pPr>
        <w:ind w:firstLine="640" w:firstLineChars="200"/>
        <w:jc w:val="both"/>
        <w:rPr>
          <w:rFonts w:eastAsia="仿宋_GB2312"/>
        </w:rPr>
      </w:pPr>
      <w:r>
        <w:rPr>
          <w:rFonts w:eastAsia="仿宋_GB2312"/>
          <w:u w:val="single"/>
        </w:rPr>
        <w:t>规划保留镇政府驻地现状卫生院，</w:t>
      </w:r>
      <w:r>
        <w:rPr>
          <w:rFonts w:eastAsia="仿宋_GB2312"/>
        </w:rPr>
        <w:t>健全镇内居民医疗保险和新型农村合作医疗，以横头山镇卫生院为主体，</w:t>
      </w:r>
      <w:r>
        <w:rPr>
          <w:rFonts w:hint="eastAsia" w:eastAsia="仿宋_GB2312"/>
        </w:rPr>
        <w:t>其他</w:t>
      </w:r>
      <w:r>
        <w:rPr>
          <w:rFonts w:eastAsia="仿宋_GB2312"/>
        </w:rPr>
        <w:t>村卫生服务机构为辅助，将其改造成为融预防、保健、基本医疗、健康教育、计划生育指导为一体的基层医疗机构。实现各村都有标准化卫生室，满足人民群众基本卫生服务需求。镇村两级实现计算机管理并联网，力争达到小病不出村。加大基础设施的投入，优化人力资源，加强在职人员的培训，引进技术人才，提高医务人员的整体素质。</w:t>
      </w:r>
    </w:p>
    <w:p w14:paraId="40D3E0CB">
      <w:pPr>
        <w:keepNext/>
        <w:numPr>
          <w:ilvl w:val="0"/>
          <w:numId w:val="1"/>
        </w:numPr>
        <w:spacing w:before="156" w:beforeLines="50" w:after="156" w:afterLines="50"/>
        <w:jc w:val="both"/>
        <w:outlineLvl w:val="2"/>
        <w:rPr>
          <w:rFonts w:eastAsia="楷体_GB2312"/>
          <w:bCs/>
          <w:kern w:val="0"/>
        </w:rPr>
      </w:pPr>
      <w:r>
        <w:rPr>
          <w:rFonts w:eastAsia="楷体_GB2312"/>
          <w:bCs/>
          <w:kern w:val="0"/>
        </w:rPr>
        <w:t>社会福利设施规划</w:t>
      </w:r>
    </w:p>
    <w:p w14:paraId="619E368B">
      <w:pPr>
        <w:ind w:firstLine="640" w:firstLineChars="200"/>
        <w:jc w:val="both"/>
        <w:rPr>
          <w:rFonts w:eastAsia="仿宋_GB2312"/>
        </w:rPr>
      </w:pPr>
      <w:r>
        <w:rPr>
          <w:rFonts w:eastAsia="仿宋_GB2312"/>
          <w:u w:val="single"/>
        </w:rPr>
        <w:t>规划保留横头山镇政府驻地城镇开发边界外的敬老院，</w:t>
      </w:r>
      <w:r>
        <w:rPr>
          <w:rFonts w:eastAsia="仿宋_GB2312"/>
        </w:rPr>
        <w:t>统筹规划养老服务设施用地空间布局，新建镇区和居住区落实“四同步”配建养老服务设施，支持已建成镇区盘活利用存量资源改造，保证老年人就近养老需求。完善养老服务设施用地服务和监管政策，推动将养老服务设施规划和用地纳入跨部门监管，将养老服务机构用地情况纳入土地市场信用体系，实施守信激励、失信惩戒，切实指导地方做好实施落地工作。各村配置老年活动室，满足村里老年人日常生活所需。</w:t>
      </w:r>
    </w:p>
    <w:p w14:paraId="683F060F">
      <w:pPr>
        <w:keepNext/>
        <w:spacing w:before="156" w:beforeLines="50" w:after="156" w:afterLines="50"/>
        <w:outlineLvl w:val="1"/>
        <w:rPr>
          <w:rFonts w:eastAsia="黑体"/>
        </w:rPr>
      </w:pPr>
      <w:bookmarkStart w:id="69" w:name="_Toc10649"/>
      <w:r>
        <w:rPr>
          <w:rFonts w:eastAsia="黑体"/>
        </w:rPr>
        <w:t>第二节 综合交通设施</w:t>
      </w:r>
      <w:bookmarkEnd w:id="69"/>
    </w:p>
    <w:p w14:paraId="61FA83E0">
      <w:pPr>
        <w:keepNext/>
        <w:numPr>
          <w:ilvl w:val="0"/>
          <w:numId w:val="1"/>
        </w:numPr>
        <w:spacing w:before="156" w:beforeLines="50" w:after="156" w:afterLines="50"/>
        <w:jc w:val="both"/>
        <w:outlineLvl w:val="2"/>
        <w:rPr>
          <w:rFonts w:eastAsia="楷体_GB2312"/>
          <w:bCs/>
          <w:kern w:val="0"/>
        </w:rPr>
      </w:pPr>
      <w:r>
        <w:rPr>
          <w:rFonts w:eastAsia="楷体_GB2312"/>
          <w:bCs/>
          <w:kern w:val="0"/>
        </w:rPr>
        <w:t>过境交通</w:t>
      </w:r>
    </w:p>
    <w:p w14:paraId="169A35EE">
      <w:pPr>
        <w:ind w:firstLine="640" w:firstLineChars="200"/>
        <w:jc w:val="both"/>
        <w:rPr>
          <w:rFonts w:eastAsia="仿宋_GB2312"/>
        </w:rPr>
      </w:pPr>
      <w:r>
        <w:rPr>
          <w:rFonts w:eastAsia="仿宋_GB2312"/>
        </w:rPr>
        <w:t>过境交通承担着横头山的主要客货运交通及对外经济贸易的任务，横头山镇过境交通主要是指佳桦公路（S513）和桦横公路。规划近期以桦横公路提档升级为重点，提高城乡对外公路技术等级，路面达到高等级路面标准。</w:t>
      </w:r>
    </w:p>
    <w:p w14:paraId="3838D59A">
      <w:pPr>
        <w:keepNext/>
        <w:numPr>
          <w:ilvl w:val="0"/>
          <w:numId w:val="1"/>
        </w:numPr>
        <w:spacing w:before="156" w:beforeLines="50" w:after="156" w:afterLines="50"/>
        <w:jc w:val="both"/>
        <w:outlineLvl w:val="2"/>
        <w:rPr>
          <w:rFonts w:eastAsia="楷体_GB2312"/>
          <w:bCs/>
          <w:kern w:val="0"/>
        </w:rPr>
      </w:pPr>
      <w:r>
        <w:rPr>
          <w:rFonts w:eastAsia="楷体_GB2312"/>
          <w:bCs/>
          <w:kern w:val="0"/>
        </w:rPr>
        <w:t>道路交通规划</w:t>
      </w:r>
    </w:p>
    <w:p w14:paraId="28E6B953">
      <w:pPr>
        <w:ind w:firstLine="640" w:firstLineChars="200"/>
        <w:jc w:val="both"/>
        <w:rPr>
          <w:rFonts w:eastAsia="仿宋_GB2312"/>
        </w:rPr>
      </w:pPr>
      <w:r>
        <w:rPr>
          <w:rFonts w:eastAsia="仿宋_GB2312"/>
        </w:rPr>
        <w:t>镇政府驻地道路分为四个层次：主干路、次干路、支路和巷路。</w:t>
      </w:r>
    </w:p>
    <w:p w14:paraId="61951CB3">
      <w:pPr>
        <w:ind w:firstLine="640" w:firstLineChars="200"/>
        <w:jc w:val="both"/>
        <w:rPr>
          <w:rFonts w:eastAsia="仿宋_GB2312"/>
          <w:u w:val="single"/>
        </w:rPr>
      </w:pPr>
      <w:r>
        <w:rPr>
          <w:rFonts w:eastAsia="仿宋_GB2312"/>
          <w:u w:val="single"/>
        </w:rPr>
        <w:t>主干路红线宽度为24米，采用一块板断面形式。</w:t>
      </w:r>
    </w:p>
    <w:p w14:paraId="71144EC8">
      <w:pPr>
        <w:ind w:firstLine="640" w:firstLineChars="200"/>
        <w:jc w:val="both"/>
        <w:rPr>
          <w:rFonts w:eastAsia="仿宋_GB2312"/>
          <w:u w:val="single"/>
        </w:rPr>
      </w:pPr>
      <w:r>
        <w:rPr>
          <w:rFonts w:eastAsia="仿宋_GB2312"/>
          <w:u w:val="single"/>
        </w:rPr>
        <w:t>次干路红线宽度为16米，采用一块板断面形式。</w:t>
      </w:r>
    </w:p>
    <w:p w14:paraId="2CC08DDB">
      <w:pPr>
        <w:ind w:firstLine="640" w:firstLineChars="200"/>
        <w:jc w:val="both"/>
        <w:rPr>
          <w:rFonts w:eastAsia="仿宋_GB2312"/>
          <w:u w:val="single"/>
        </w:rPr>
      </w:pPr>
      <w:r>
        <w:rPr>
          <w:rFonts w:eastAsia="仿宋_GB2312"/>
          <w:u w:val="single"/>
        </w:rPr>
        <w:t>支路红线宽度为10米，采用一块板断面形式。</w:t>
      </w:r>
    </w:p>
    <w:p w14:paraId="6A4D1F2B">
      <w:pPr>
        <w:ind w:firstLine="640" w:firstLineChars="200"/>
        <w:jc w:val="both"/>
        <w:rPr>
          <w:rFonts w:eastAsia="仿宋_GB2312"/>
          <w:u w:val="single"/>
        </w:rPr>
      </w:pPr>
      <w:r>
        <w:rPr>
          <w:rFonts w:eastAsia="仿宋_GB2312"/>
          <w:u w:val="single"/>
        </w:rPr>
        <w:t>巷路红线宽度为6米，采用一块板断面形式。</w:t>
      </w:r>
    </w:p>
    <w:p w14:paraId="1D674A69">
      <w:pPr>
        <w:ind w:firstLine="640" w:firstLineChars="200"/>
        <w:jc w:val="both"/>
        <w:rPr>
          <w:rFonts w:eastAsia="仿宋_GB2312"/>
        </w:rPr>
      </w:pPr>
      <w:r>
        <w:rPr>
          <w:rFonts w:eastAsia="仿宋_GB2312"/>
        </w:rPr>
        <w:t>各村屯居民点建成区内道路分为两个层次：干路和支路。</w:t>
      </w:r>
    </w:p>
    <w:p w14:paraId="29383B43">
      <w:pPr>
        <w:ind w:firstLine="640" w:firstLineChars="200"/>
        <w:jc w:val="both"/>
        <w:rPr>
          <w:rFonts w:eastAsia="仿宋_GB2312"/>
        </w:rPr>
      </w:pPr>
      <w:r>
        <w:rPr>
          <w:rFonts w:eastAsia="仿宋_GB2312"/>
        </w:rPr>
        <w:t>干路红线宽度为7</w:t>
      </w:r>
      <w:r>
        <w:rPr>
          <w:rFonts w:hint="eastAsia" w:eastAsia="仿宋_GB2312"/>
        </w:rPr>
        <w:t>—</w:t>
      </w:r>
      <w:r>
        <w:rPr>
          <w:rFonts w:eastAsia="仿宋_GB2312"/>
        </w:rPr>
        <w:t>10米，采用一块板断面形式。</w:t>
      </w:r>
    </w:p>
    <w:p w14:paraId="1296AAF8">
      <w:pPr>
        <w:ind w:firstLine="640" w:firstLineChars="200"/>
        <w:jc w:val="both"/>
        <w:rPr>
          <w:rFonts w:eastAsia="仿宋_GB2312"/>
        </w:rPr>
      </w:pPr>
      <w:r>
        <w:rPr>
          <w:rFonts w:eastAsia="仿宋_GB2312"/>
        </w:rPr>
        <w:t>支路红线宽度为4</w:t>
      </w:r>
      <w:r>
        <w:rPr>
          <w:rFonts w:hint="eastAsia" w:eastAsia="仿宋_GB2312"/>
        </w:rPr>
        <w:t>—</w:t>
      </w:r>
      <w:r>
        <w:rPr>
          <w:rFonts w:eastAsia="仿宋_GB2312"/>
        </w:rPr>
        <w:t>6米，采用一块板断面形式。</w:t>
      </w:r>
    </w:p>
    <w:p w14:paraId="23676886">
      <w:pPr>
        <w:keepNext/>
        <w:numPr>
          <w:ilvl w:val="0"/>
          <w:numId w:val="1"/>
        </w:numPr>
        <w:spacing w:before="156" w:beforeLines="50" w:after="156" w:afterLines="50"/>
        <w:jc w:val="both"/>
        <w:outlineLvl w:val="2"/>
        <w:rPr>
          <w:rFonts w:eastAsia="楷体_GB2312"/>
          <w:bCs/>
          <w:kern w:val="0"/>
        </w:rPr>
      </w:pPr>
      <w:r>
        <w:rPr>
          <w:rFonts w:eastAsia="楷体_GB2312"/>
          <w:bCs/>
          <w:kern w:val="0"/>
        </w:rPr>
        <w:t>客运站规划</w:t>
      </w:r>
    </w:p>
    <w:p w14:paraId="6E3C563F">
      <w:pPr>
        <w:ind w:firstLine="640" w:firstLineChars="200"/>
        <w:jc w:val="both"/>
        <w:rPr>
          <w:rFonts w:eastAsia="仿宋_GB2312"/>
        </w:rPr>
      </w:pPr>
      <w:r>
        <w:rPr>
          <w:rFonts w:eastAsia="仿宋_GB2312"/>
          <w:u w:val="single"/>
        </w:rPr>
        <w:t>横头山镇政府驻地规划客运站1处，</w:t>
      </w:r>
      <w:r>
        <w:rPr>
          <w:rFonts w:eastAsia="仿宋_GB2312"/>
        </w:rPr>
        <w:t>并于客运站建立1条公交线路，配套建设公交站点。下辖各个行政村在适宜位置各建1处公交停靠站，方便村民外出。</w:t>
      </w:r>
    </w:p>
    <w:p w14:paraId="533BC3E2">
      <w:pPr>
        <w:keepNext/>
        <w:numPr>
          <w:ilvl w:val="0"/>
          <w:numId w:val="1"/>
        </w:numPr>
        <w:spacing w:before="156" w:beforeLines="50" w:after="156" w:afterLines="50"/>
        <w:jc w:val="both"/>
        <w:outlineLvl w:val="2"/>
        <w:rPr>
          <w:rFonts w:eastAsia="楷体_GB2312"/>
          <w:bCs/>
          <w:kern w:val="0"/>
        </w:rPr>
      </w:pPr>
      <w:r>
        <w:rPr>
          <w:rFonts w:eastAsia="楷体_GB2312"/>
          <w:bCs/>
          <w:kern w:val="0"/>
        </w:rPr>
        <w:t>静态交通系统</w:t>
      </w:r>
    </w:p>
    <w:p w14:paraId="1EE565A9">
      <w:pPr>
        <w:ind w:firstLine="640" w:firstLineChars="200"/>
        <w:jc w:val="both"/>
      </w:pPr>
      <w:r>
        <w:rPr>
          <w:rFonts w:eastAsia="仿宋_GB2312"/>
        </w:rPr>
        <w:t>构建以配建为主、公共为辅、路内停车为补充的静态交通体系。建筑配建停车泊位作为静态交通设施的主体，占比应达85%以上，鼓励集约用地建设地下停车</w:t>
      </w:r>
      <w:r>
        <w:rPr>
          <w:rFonts w:hint="eastAsia" w:eastAsia="仿宋_GB2312"/>
        </w:rPr>
        <w:t>库</w:t>
      </w:r>
      <w:r>
        <w:rPr>
          <w:rFonts w:eastAsia="仿宋_GB2312"/>
        </w:rPr>
        <w:t>、立体停车场，倡导停车泊位错时共享。居住类建筑不宜布置地面停车泊位，保障人行安全，公服设施建议设置不低于90%的地下停车位。新建住宅配建停车位应100%建设充电基础设施或预留安装条件。公共建筑物配建停车场建设充电基础设施与预留建设安装条件的车位比例不应低于10%。其中快速充电桩设置比例不宜低于50%。</w:t>
      </w:r>
    </w:p>
    <w:p w14:paraId="51855E49">
      <w:pPr>
        <w:keepNext/>
        <w:numPr>
          <w:ilvl w:val="0"/>
          <w:numId w:val="1"/>
        </w:numPr>
        <w:spacing w:before="156" w:beforeLines="50" w:after="156" w:afterLines="50"/>
        <w:jc w:val="both"/>
        <w:outlineLvl w:val="2"/>
        <w:rPr>
          <w:rFonts w:eastAsia="楷体_GB2312"/>
          <w:bCs/>
          <w:kern w:val="0"/>
        </w:rPr>
      </w:pPr>
      <w:r>
        <w:rPr>
          <w:rFonts w:eastAsia="楷体_GB2312"/>
          <w:bCs/>
          <w:kern w:val="0"/>
        </w:rPr>
        <w:t>铁路</w:t>
      </w:r>
    </w:p>
    <w:p w14:paraId="31412510">
      <w:pPr>
        <w:ind w:firstLine="640" w:firstLineChars="200"/>
        <w:jc w:val="both"/>
        <w:rPr>
          <w:rFonts w:eastAsia="仿宋_GB2312"/>
        </w:rPr>
      </w:pPr>
      <w:r>
        <w:rPr>
          <w:rFonts w:eastAsia="仿宋_GB2312"/>
        </w:rPr>
        <w:t>落实上位规划要求，实施镇域内铁路道口平改立工程，提升横头山站火车站等级，实现铁路客货运通达，火车站位于申家店村。</w:t>
      </w:r>
    </w:p>
    <w:p w14:paraId="729D075B">
      <w:pPr>
        <w:keepNext/>
        <w:numPr>
          <w:ilvl w:val="0"/>
          <w:numId w:val="1"/>
        </w:numPr>
        <w:spacing w:before="156" w:beforeLines="50" w:after="156" w:afterLines="50"/>
        <w:jc w:val="both"/>
        <w:outlineLvl w:val="2"/>
        <w:rPr>
          <w:rFonts w:eastAsia="楷体_GB2312"/>
          <w:bCs/>
          <w:kern w:val="0"/>
        </w:rPr>
      </w:pPr>
      <w:r>
        <w:rPr>
          <w:rFonts w:eastAsia="楷体_GB2312"/>
          <w:bCs/>
          <w:kern w:val="0"/>
        </w:rPr>
        <w:t>公路两侧建筑控制区管控措施</w:t>
      </w:r>
    </w:p>
    <w:p w14:paraId="31212B0D">
      <w:pPr>
        <w:pStyle w:val="6"/>
        <w:ind w:firstLine="640"/>
        <w:rPr>
          <w:u w:val="single"/>
          <w:lang w:eastAsia="zh-CN" w:bidi="ar-SA"/>
        </w:rPr>
      </w:pPr>
      <w:r>
        <w:rPr>
          <w:u w:val="single"/>
          <w:lang w:eastAsia="zh-CN" w:bidi="ar-SA"/>
        </w:rPr>
        <w:t>镇域内公路建筑控制区的范围，从公路用地外缘起向外的距离标准为：国道不少于20米；省道不小于15米；县道不少于10米；乡道不少于5米。</w:t>
      </w:r>
    </w:p>
    <w:p w14:paraId="2B2FE7F0">
      <w:pPr>
        <w:pStyle w:val="6"/>
        <w:ind w:firstLine="640"/>
        <w:rPr>
          <w:lang w:eastAsia="zh-CN"/>
        </w:rPr>
      </w:pPr>
      <w:r>
        <w:rPr>
          <w:lang w:eastAsia="zh-CN" w:bidi="ar-SA"/>
        </w:rPr>
        <w:t>公路建筑控制区内禁止修建建筑物和地面构筑物；因公路新建、改建或公路建筑控制区调整，被划入公路控制区内的建筑物和地面构筑物，不得扩建、改建；对已列入公路发展规划拟新建、改建的公路，有关部门在建筑控制区内，不得再行审批建筑物、地面构筑物的建设。其他进行设置路标、泼洒、堆放、占用、挖掘、停靠等影响公路建设和运输等行为时，需满足《黑龙江省公路条例》内各项条款的规定。</w:t>
      </w:r>
    </w:p>
    <w:p w14:paraId="404A492A">
      <w:pPr>
        <w:keepNext/>
        <w:spacing w:before="156" w:beforeLines="50" w:after="156" w:afterLines="50"/>
        <w:outlineLvl w:val="1"/>
        <w:rPr>
          <w:rFonts w:eastAsia="黑体"/>
        </w:rPr>
      </w:pPr>
      <w:bookmarkStart w:id="70" w:name="_Toc21462"/>
      <w:r>
        <w:rPr>
          <w:rFonts w:eastAsia="黑体"/>
        </w:rPr>
        <w:t>第三节 水利基础设施</w:t>
      </w:r>
      <w:bookmarkEnd w:id="70"/>
    </w:p>
    <w:p w14:paraId="2DBD00F8">
      <w:pPr>
        <w:keepNext/>
        <w:numPr>
          <w:ilvl w:val="0"/>
          <w:numId w:val="1"/>
        </w:numPr>
        <w:spacing w:before="156" w:beforeLines="50" w:after="156" w:afterLines="50"/>
        <w:jc w:val="both"/>
        <w:outlineLvl w:val="2"/>
        <w:rPr>
          <w:rFonts w:eastAsia="楷体_GB2312"/>
          <w:bCs/>
          <w:kern w:val="0"/>
        </w:rPr>
      </w:pPr>
      <w:r>
        <w:rPr>
          <w:rFonts w:eastAsia="楷体_GB2312"/>
          <w:bCs/>
          <w:kern w:val="0"/>
        </w:rPr>
        <w:t>防洪提升</w:t>
      </w:r>
    </w:p>
    <w:p w14:paraId="6D13F0A7">
      <w:pPr>
        <w:ind w:firstLine="640" w:firstLineChars="200"/>
        <w:jc w:val="both"/>
        <w:rPr>
          <w:rFonts w:eastAsia="仿宋_GB2312"/>
        </w:rPr>
      </w:pPr>
      <w:r>
        <w:rPr>
          <w:rFonts w:eastAsia="仿宋_GB2312"/>
        </w:rPr>
        <w:t>落实上位规划确定的横头山镇铃铛麦河回水堤工程建设，长度18公里。</w:t>
      </w:r>
    </w:p>
    <w:p w14:paraId="1AB33840">
      <w:pPr>
        <w:ind w:firstLine="640" w:firstLineChars="200"/>
        <w:jc w:val="both"/>
        <w:rPr>
          <w:rFonts w:eastAsia="仿宋_GB2312"/>
        </w:rPr>
      </w:pPr>
      <w:r>
        <w:rPr>
          <w:rFonts w:eastAsia="仿宋_GB2312"/>
        </w:rPr>
        <w:t>全面提升堤坝防洪标准，中小河流地区防洪标准为20年一遇。</w:t>
      </w:r>
    </w:p>
    <w:p w14:paraId="3ACD79EC">
      <w:pPr>
        <w:keepNext/>
        <w:numPr>
          <w:ilvl w:val="0"/>
          <w:numId w:val="1"/>
        </w:numPr>
        <w:spacing w:before="156" w:beforeLines="50" w:after="156" w:afterLines="50"/>
        <w:jc w:val="both"/>
        <w:outlineLvl w:val="2"/>
        <w:rPr>
          <w:rFonts w:eastAsia="楷体_GB2312"/>
          <w:bCs/>
          <w:kern w:val="0"/>
        </w:rPr>
      </w:pPr>
      <w:r>
        <w:rPr>
          <w:rFonts w:eastAsia="楷体_GB2312"/>
          <w:bCs/>
          <w:kern w:val="0"/>
        </w:rPr>
        <w:t>水库工程</w:t>
      </w:r>
    </w:p>
    <w:p w14:paraId="5FAE7E80">
      <w:pPr>
        <w:ind w:firstLine="640" w:firstLineChars="200"/>
        <w:jc w:val="both"/>
        <w:rPr>
          <w:rFonts w:eastAsia="楷体_GB2312"/>
          <w:bCs/>
          <w:kern w:val="0"/>
        </w:rPr>
      </w:pPr>
      <w:r>
        <w:rPr>
          <w:rFonts w:eastAsia="仿宋_GB2312"/>
        </w:rPr>
        <w:t>横头山镇现有一座小（I）型小库七一水库，设计标准20年一遇防洪标准，总库容351万立方米，汛限库容96万立方米，目前运行正常。规划建立水库度汛抢险应急预案，实施除险加固，保证水库安全。</w:t>
      </w:r>
    </w:p>
    <w:p w14:paraId="3D850188">
      <w:pPr>
        <w:keepNext/>
        <w:spacing w:before="156" w:beforeLines="50" w:after="156" w:afterLines="50"/>
        <w:outlineLvl w:val="1"/>
        <w:rPr>
          <w:rFonts w:eastAsia="黑体"/>
        </w:rPr>
      </w:pPr>
      <w:bookmarkStart w:id="71" w:name="_Toc16643"/>
      <w:r>
        <w:rPr>
          <w:rFonts w:eastAsia="黑体"/>
        </w:rPr>
        <w:t>第四节 市政基础设施</w:t>
      </w:r>
      <w:bookmarkEnd w:id="71"/>
    </w:p>
    <w:p w14:paraId="75E6881C">
      <w:pPr>
        <w:keepNext/>
        <w:numPr>
          <w:ilvl w:val="0"/>
          <w:numId w:val="1"/>
        </w:numPr>
        <w:spacing w:before="156" w:beforeLines="50" w:after="156" w:afterLines="50"/>
        <w:jc w:val="both"/>
        <w:outlineLvl w:val="2"/>
        <w:rPr>
          <w:rFonts w:eastAsia="楷体_GB2312"/>
          <w:bCs/>
          <w:kern w:val="0"/>
        </w:rPr>
      </w:pPr>
      <w:r>
        <w:rPr>
          <w:rFonts w:eastAsia="楷体_GB2312"/>
          <w:bCs/>
          <w:kern w:val="0"/>
        </w:rPr>
        <w:t>给水工程</w:t>
      </w:r>
    </w:p>
    <w:p w14:paraId="1FBA5B65">
      <w:pPr>
        <w:ind w:firstLine="640" w:firstLineChars="200"/>
        <w:jc w:val="both"/>
        <w:rPr>
          <w:rFonts w:eastAsia="仿宋_GB2312"/>
        </w:rPr>
      </w:pPr>
      <w:r>
        <w:rPr>
          <w:rFonts w:eastAsia="楷体_GB2312"/>
        </w:rPr>
        <w:t>用水量预测。</w:t>
      </w:r>
      <w:r>
        <w:rPr>
          <w:rFonts w:eastAsia="仿宋_GB2312"/>
        </w:rPr>
        <w:t>远期（2035年）镇政府驻地生活用水量630</w:t>
      </w:r>
      <w:r>
        <w:rPr>
          <w:rFonts w:hint="eastAsia" w:eastAsia="仿宋_GB2312"/>
        </w:rPr>
        <w:t>立方米/日</w:t>
      </w:r>
      <w:r>
        <w:rPr>
          <w:rFonts w:eastAsia="仿宋_GB2312"/>
        </w:rPr>
        <w:t>，产业用水量约727.65</w:t>
      </w:r>
      <w:r>
        <w:rPr>
          <w:rFonts w:hint="eastAsia" w:eastAsia="仿宋_GB2312"/>
        </w:rPr>
        <w:t>立方米/日</w:t>
      </w:r>
      <w:r>
        <w:rPr>
          <w:rFonts w:eastAsia="仿宋_GB2312"/>
        </w:rPr>
        <w:t>，</w:t>
      </w:r>
      <w:r>
        <w:rPr>
          <w:rFonts w:hint="eastAsia" w:eastAsia="仿宋_GB2312"/>
        </w:rPr>
        <w:t>综合</w:t>
      </w:r>
      <w:r>
        <w:rPr>
          <w:rFonts w:eastAsia="仿宋_GB2312"/>
        </w:rPr>
        <w:t>总用水量约1357.65</w:t>
      </w:r>
      <w:r>
        <w:rPr>
          <w:rFonts w:hint="eastAsia" w:eastAsia="仿宋_GB2312"/>
        </w:rPr>
        <w:t>立方米/日</w:t>
      </w:r>
      <w:r>
        <w:rPr>
          <w:rFonts w:eastAsia="仿宋_GB2312"/>
        </w:rPr>
        <w:t>。</w:t>
      </w:r>
    </w:p>
    <w:p w14:paraId="5A47F181">
      <w:pPr>
        <w:keepNext/>
        <w:numPr>
          <w:ilvl w:val="0"/>
          <w:numId w:val="1"/>
        </w:numPr>
        <w:spacing w:before="156" w:beforeLines="50" w:after="156" w:afterLines="50"/>
        <w:jc w:val="both"/>
        <w:outlineLvl w:val="2"/>
        <w:rPr>
          <w:rFonts w:eastAsia="楷体_GB2312"/>
          <w:bCs/>
          <w:kern w:val="0"/>
        </w:rPr>
      </w:pPr>
      <w:r>
        <w:rPr>
          <w:rFonts w:eastAsia="楷体_GB2312"/>
          <w:bCs/>
          <w:kern w:val="0"/>
        </w:rPr>
        <w:t>污水工程</w:t>
      </w:r>
    </w:p>
    <w:p w14:paraId="64ADDE3B">
      <w:pPr>
        <w:ind w:firstLine="640" w:firstLineChars="200"/>
        <w:jc w:val="both"/>
        <w:rPr>
          <w:rFonts w:eastAsia="仿宋_GB2312"/>
        </w:rPr>
      </w:pPr>
      <w:r>
        <w:rPr>
          <w:rFonts w:eastAsia="楷体_GB2312"/>
        </w:rPr>
        <w:t>污水量预测。</w:t>
      </w:r>
      <w:r>
        <w:rPr>
          <w:rFonts w:eastAsia="仿宋_GB2312"/>
        </w:rPr>
        <w:t>污水量按照给水量的90%计算，生活用水污水量约为567.00</w:t>
      </w:r>
      <w:r>
        <w:rPr>
          <w:rFonts w:hint="eastAsia" w:eastAsia="仿宋_GB2312"/>
        </w:rPr>
        <w:t>立方米/日</w:t>
      </w:r>
      <w:r>
        <w:rPr>
          <w:rFonts w:eastAsia="仿宋_GB2312"/>
        </w:rPr>
        <w:t>，生产用水污水量约为654.88</w:t>
      </w:r>
      <w:r>
        <w:rPr>
          <w:rFonts w:hint="eastAsia" w:eastAsia="仿宋_GB2312"/>
        </w:rPr>
        <w:t>立方米/日</w:t>
      </w:r>
      <w:r>
        <w:rPr>
          <w:rFonts w:eastAsia="仿宋_GB2312"/>
        </w:rPr>
        <w:t>，则横头山镇政府驻地污水量为1221.88</w:t>
      </w:r>
      <w:r>
        <w:rPr>
          <w:rFonts w:hint="eastAsia" w:eastAsia="仿宋_GB2312"/>
        </w:rPr>
        <w:t>立方米/日</w:t>
      </w:r>
      <w:r>
        <w:rPr>
          <w:rFonts w:eastAsia="仿宋_GB2312"/>
        </w:rPr>
        <w:t>。</w:t>
      </w:r>
    </w:p>
    <w:p w14:paraId="1E4BBCC3">
      <w:pPr>
        <w:ind w:firstLine="640" w:firstLineChars="200"/>
        <w:jc w:val="both"/>
        <w:rPr>
          <w:rFonts w:eastAsia="仿宋_GB2312"/>
        </w:rPr>
      </w:pPr>
      <w:r>
        <w:rPr>
          <w:rFonts w:eastAsia="楷体_GB2312"/>
          <w:u w:val="single"/>
        </w:rPr>
        <w:t>污水处理厂建设。</w:t>
      </w:r>
      <w:r>
        <w:rPr>
          <w:rFonts w:eastAsia="仿宋_GB2312"/>
          <w:u w:val="single"/>
        </w:rPr>
        <w:t>规划在镇政府驻地东北侧新建污水处理厂一处，收集处理镇政府驻地污水，占地面积0.12公顷，规划规模为0.2万立方米/日。</w:t>
      </w:r>
      <w:r>
        <w:rPr>
          <w:rFonts w:eastAsia="仿宋_GB2312"/>
        </w:rPr>
        <w:t>各村庄及农村牧场可根据自身条件建设一体化小型污水处理站并建设污水管网。</w:t>
      </w:r>
    </w:p>
    <w:p w14:paraId="2CD04A75">
      <w:pPr>
        <w:keepNext/>
        <w:numPr>
          <w:ilvl w:val="0"/>
          <w:numId w:val="1"/>
        </w:numPr>
        <w:spacing w:before="156" w:beforeLines="50" w:after="156" w:afterLines="50"/>
        <w:jc w:val="both"/>
        <w:outlineLvl w:val="2"/>
        <w:rPr>
          <w:rFonts w:eastAsia="楷体_GB2312"/>
          <w:bCs/>
          <w:kern w:val="0"/>
        </w:rPr>
      </w:pPr>
      <w:r>
        <w:rPr>
          <w:rFonts w:eastAsia="楷体_GB2312"/>
          <w:bCs/>
          <w:kern w:val="0"/>
        </w:rPr>
        <w:t>雨水工程</w:t>
      </w:r>
    </w:p>
    <w:p w14:paraId="63D0B06C">
      <w:pPr>
        <w:ind w:firstLine="640" w:firstLineChars="200"/>
        <w:jc w:val="both"/>
        <w:rPr>
          <w:rFonts w:eastAsia="仿宋_GB2312"/>
        </w:rPr>
      </w:pPr>
      <w:r>
        <w:rPr>
          <w:rFonts w:eastAsia="仿宋_GB2312"/>
        </w:rPr>
        <w:t>暴雨强度公式采用佳木斯市暴雨强度公式。</w:t>
      </w:r>
    </w:p>
    <w:p w14:paraId="21EDDC49">
      <w:pPr>
        <w:ind w:firstLine="640" w:firstLineChars="200"/>
        <w:jc w:val="both"/>
        <w:rPr>
          <w:rFonts w:eastAsia="仿宋_GB2312"/>
        </w:rPr>
      </w:pPr>
      <w:r>
        <w:rPr>
          <w:rFonts w:eastAsia="仿宋_GB2312"/>
        </w:rPr>
        <w:t>雨水管网的布置原则是将雨水就近排入水体，规划新设雨水管道沿主要道路敷设。</w:t>
      </w:r>
    </w:p>
    <w:p w14:paraId="5F779FF0">
      <w:pPr>
        <w:keepNext/>
        <w:numPr>
          <w:ilvl w:val="0"/>
          <w:numId w:val="1"/>
        </w:numPr>
        <w:spacing w:before="156" w:beforeLines="50" w:after="156" w:afterLines="50"/>
        <w:jc w:val="both"/>
        <w:outlineLvl w:val="2"/>
        <w:rPr>
          <w:rFonts w:eastAsia="楷体_GB2312"/>
          <w:bCs/>
          <w:kern w:val="0"/>
        </w:rPr>
      </w:pPr>
      <w:r>
        <w:rPr>
          <w:rFonts w:eastAsia="楷体_GB2312"/>
          <w:bCs/>
          <w:kern w:val="0"/>
        </w:rPr>
        <w:t>供电工程</w:t>
      </w:r>
    </w:p>
    <w:p w14:paraId="50A26EA7">
      <w:pPr>
        <w:ind w:firstLine="640" w:firstLineChars="200"/>
        <w:jc w:val="both"/>
        <w:rPr>
          <w:rFonts w:eastAsia="仿宋_GB2312"/>
        </w:rPr>
      </w:pPr>
      <w:r>
        <w:rPr>
          <w:rFonts w:eastAsia="仿宋_GB2312"/>
        </w:rPr>
        <w:t>依据《城市电力规划规范》（GB/T 50293</w:t>
      </w:r>
      <w:r>
        <w:rPr>
          <w:rFonts w:hint="eastAsia" w:eastAsia="仿宋_GB2312"/>
        </w:rPr>
        <w:t>—</w:t>
      </w:r>
      <w:r>
        <w:rPr>
          <w:rFonts w:eastAsia="仿宋_GB2312"/>
        </w:rPr>
        <w:t>2014），采用单位建设用地用电负荷指标预测镇政府驻地用电负荷，预测镇政府驻地总用电负荷为4.90MW。</w:t>
      </w:r>
    </w:p>
    <w:p w14:paraId="23045DE7">
      <w:pPr>
        <w:ind w:firstLine="640" w:firstLineChars="200"/>
        <w:jc w:val="both"/>
        <w:rPr>
          <w:rFonts w:eastAsia="仿宋_GB2312"/>
        </w:rPr>
      </w:pPr>
      <w:r>
        <w:rPr>
          <w:rFonts w:eastAsia="仿宋_GB2312"/>
        </w:rPr>
        <w:t>高压走廊宽度要求：220kV线路高压走廊宽度30</w:t>
      </w:r>
      <w:r>
        <w:rPr>
          <w:rFonts w:hint="eastAsia" w:eastAsia="仿宋_GB2312"/>
        </w:rPr>
        <w:t>—</w:t>
      </w:r>
      <w:r>
        <w:rPr>
          <w:rFonts w:eastAsia="仿宋_GB2312"/>
        </w:rPr>
        <w:t>40米；66</w:t>
      </w:r>
      <w:r>
        <w:rPr>
          <w:rFonts w:hint="eastAsia" w:eastAsia="仿宋_GB2312"/>
        </w:rPr>
        <w:t>—</w:t>
      </w:r>
      <w:r>
        <w:rPr>
          <w:rFonts w:eastAsia="仿宋_GB2312"/>
        </w:rPr>
        <w:t>110kV线路高压走廊宽度15</w:t>
      </w:r>
      <w:r>
        <w:rPr>
          <w:rFonts w:hint="eastAsia" w:eastAsia="仿宋_GB2312"/>
        </w:rPr>
        <w:t>—</w:t>
      </w:r>
      <w:r>
        <w:rPr>
          <w:rFonts w:eastAsia="仿宋_GB2312"/>
        </w:rPr>
        <w:t>25米；35kV线路高压走廊宽度15</w:t>
      </w:r>
      <w:r>
        <w:rPr>
          <w:rFonts w:hint="eastAsia" w:eastAsia="仿宋_GB2312"/>
        </w:rPr>
        <w:t>—</w:t>
      </w:r>
      <w:r>
        <w:rPr>
          <w:rFonts w:eastAsia="仿宋_GB2312"/>
        </w:rPr>
        <w:t>20米。具体要求以相关部门文件为准。</w:t>
      </w:r>
    </w:p>
    <w:p w14:paraId="7EAA861B">
      <w:pPr>
        <w:ind w:firstLine="640" w:firstLineChars="200"/>
        <w:jc w:val="both"/>
        <w:rPr>
          <w:rFonts w:eastAsia="仿宋_GB2312"/>
        </w:rPr>
      </w:pPr>
      <w:r>
        <w:rPr>
          <w:rFonts w:eastAsia="仿宋_GB2312"/>
        </w:rPr>
        <w:t>采取各种措施保障供电设施和高压走廊用地不被侵占，加强高压电力廊道预留和管控。</w:t>
      </w:r>
    </w:p>
    <w:p w14:paraId="5CD166A9">
      <w:pPr>
        <w:keepNext/>
        <w:numPr>
          <w:ilvl w:val="0"/>
          <w:numId w:val="1"/>
        </w:numPr>
        <w:spacing w:before="156" w:beforeLines="50" w:after="156" w:afterLines="50"/>
        <w:jc w:val="both"/>
        <w:outlineLvl w:val="2"/>
        <w:rPr>
          <w:rFonts w:eastAsia="楷体_GB2312"/>
          <w:bCs/>
          <w:kern w:val="0"/>
        </w:rPr>
      </w:pPr>
      <w:r>
        <w:rPr>
          <w:rFonts w:eastAsia="楷体_GB2312"/>
          <w:bCs/>
          <w:kern w:val="0"/>
        </w:rPr>
        <w:t>通信工程</w:t>
      </w:r>
    </w:p>
    <w:p w14:paraId="0D151BDB">
      <w:pPr>
        <w:ind w:firstLine="640" w:firstLineChars="200"/>
        <w:jc w:val="both"/>
        <w:rPr>
          <w:rFonts w:eastAsia="仿宋_GB2312"/>
        </w:rPr>
      </w:pPr>
      <w:r>
        <w:rPr>
          <w:rFonts w:eastAsia="仿宋_GB2312"/>
          <w:u w:val="single"/>
        </w:rPr>
        <w:t>规划保留现</w:t>
      </w:r>
      <w:r>
        <w:rPr>
          <w:rFonts w:hint="eastAsia" w:eastAsia="仿宋_GB2312"/>
          <w:u w:val="single"/>
        </w:rPr>
        <w:t>有</w:t>
      </w:r>
      <w:r>
        <w:rPr>
          <w:rFonts w:eastAsia="仿宋_GB2312"/>
          <w:u w:val="single"/>
        </w:rPr>
        <w:t>通信工程设施，并在万宝村新建1座通信基站，</w:t>
      </w:r>
      <w:r>
        <w:rPr>
          <w:rFonts w:eastAsia="仿宋_GB2312"/>
        </w:rPr>
        <w:t>增加服务项目，完善配套设施。对线路进行优化和调整。广播电视规划数字化程度达98%，有线电视网入户率达100%，村屯达到100%，网络信号镇域全覆盖无盲区。</w:t>
      </w:r>
    </w:p>
    <w:p w14:paraId="315E156C">
      <w:pPr>
        <w:keepNext/>
        <w:numPr>
          <w:ilvl w:val="0"/>
          <w:numId w:val="1"/>
        </w:numPr>
        <w:spacing w:before="156" w:beforeLines="50" w:after="156" w:afterLines="50"/>
        <w:jc w:val="both"/>
        <w:outlineLvl w:val="2"/>
        <w:rPr>
          <w:rFonts w:eastAsia="楷体_GB2312"/>
          <w:bCs/>
          <w:kern w:val="0"/>
        </w:rPr>
      </w:pPr>
      <w:r>
        <w:rPr>
          <w:rFonts w:eastAsia="楷体_GB2312"/>
          <w:bCs/>
          <w:kern w:val="0"/>
        </w:rPr>
        <w:t>供热工程</w:t>
      </w:r>
    </w:p>
    <w:p w14:paraId="300CE953">
      <w:pPr>
        <w:ind w:firstLine="640" w:firstLineChars="200"/>
        <w:jc w:val="both"/>
        <w:rPr>
          <w:rFonts w:eastAsia="楷体_GB2312"/>
        </w:rPr>
      </w:pPr>
      <w:r>
        <w:rPr>
          <w:rFonts w:eastAsia="楷体_GB2312"/>
        </w:rPr>
        <w:t>热负荷预测。</w:t>
      </w:r>
      <w:r>
        <w:rPr>
          <w:rFonts w:eastAsia="仿宋_GB2312"/>
        </w:rPr>
        <w:t>镇政府驻地内热负荷类型为民用热负荷，热负荷为15.70MW。</w:t>
      </w:r>
    </w:p>
    <w:p w14:paraId="3FB39F1D">
      <w:pPr>
        <w:ind w:firstLine="640" w:firstLineChars="200"/>
        <w:jc w:val="both"/>
        <w:rPr>
          <w:rFonts w:eastAsia="仿宋_GB2312"/>
        </w:rPr>
      </w:pPr>
      <w:r>
        <w:rPr>
          <w:rFonts w:eastAsia="楷体_GB2312"/>
        </w:rPr>
        <w:t>供热方式。</w:t>
      </w:r>
      <w:r>
        <w:rPr>
          <w:rFonts w:eastAsia="仿宋_GB2312"/>
          <w:u w:val="single"/>
        </w:rPr>
        <w:t>规划镇政府驻地采用集中供热，规划建设集中供热设施1处，面积0.39公顷，能源形式以清洁能源为主，采暖供热能力为20MW。</w:t>
      </w:r>
      <w:r>
        <w:rPr>
          <w:rFonts w:eastAsia="仿宋_GB2312"/>
        </w:rPr>
        <w:t>各村屯采用家庭分散供热方式，供暖能源大多以煤、秸秆为主，以火炕、火墙等方式取暖，也可采用家用小型采暖系统、复合式太阳能采暖房、电取暖等方式。热负荷高的村屯远期采用集中供热，鼓励使用清洁能源、可再生能源作为供热方式。</w:t>
      </w:r>
    </w:p>
    <w:p w14:paraId="521B7D81">
      <w:pPr>
        <w:keepNext/>
        <w:numPr>
          <w:ilvl w:val="0"/>
          <w:numId w:val="1"/>
        </w:numPr>
        <w:spacing w:before="156" w:beforeLines="50" w:after="156" w:afterLines="50"/>
        <w:jc w:val="both"/>
        <w:outlineLvl w:val="2"/>
        <w:rPr>
          <w:rFonts w:eastAsia="楷体_GB2312"/>
          <w:bCs/>
          <w:kern w:val="0"/>
        </w:rPr>
      </w:pPr>
      <w:r>
        <w:rPr>
          <w:rFonts w:eastAsia="楷体_GB2312"/>
          <w:bCs/>
          <w:kern w:val="0"/>
        </w:rPr>
        <w:t>燃气工程</w:t>
      </w:r>
    </w:p>
    <w:p w14:paraId="7DEB9848">
      <w:pPr>
        <w:ind w:firstLine="640" w:firstLineChars="200"/>
        <w:jc w:val="both"/>
        <w:rPr>
          <w:rFonts w:eastAsia="仿宋_GB2312"/>
        </w:rPr>
      </w:pPr>
      <w:r>
        <w:rPr>
          <w:rFonts w:eastAsia="仿宋_GB2312"/>
          <w:u w:val="single"/>
        </w:rPr>
        <w:t>规划镇政府驻地入城口位置预留燃气工程用地，</w:t>
      </w:r>
      <w:r>
        <w:rPr>
          <w:rFonts w:eastAsia="仿宋_GB2312"/>
        </w:rPr>
        <w:t>全镇近期使用罐装液化石油气和秸秆气化，远期选用天然气集中供气，同时积极发展太阳能和沼气等新能源技术。燃气管道沿主要道路铺设，铺设标准满足《城镇燃气设计规范》（GB50028）的有关规定。</w:t>
      </w:r>
    </w:p>
    <w:p w14:paraId="236FB231">
      <w:pPr>
        <w:keepNext/>
        <w:numPr>
          <w:ilvl w:val="0"/>
          <w:numId w:val="1"/>
        </w:numPr>
        <w:spacing w:before="156" w:beforeLines="50" w:after="156" w:afterLines="50"/>
        <w:jc w:val="both"/>
        <w:outlineLvl w:val="2"/>
        <w:rPr>
          <w:rFonts w:eastAsia="楷体_GB2312"/>
          <w:bCs/>
          <w:kern w:val="0"/>
        </w:rPr>
      </w:pPr>
      <w:r>
        <w:rPr>
          <w:rFonts w:eastAsia="楷体_GB2312"/>
          <w:bCs/>
          <w:kern w:val="0"/>
        </w:rPr>
        <w:t>环卫工程</w:t>
      </w:r>
    </w:p>
    <w:p w14:paraId="262A2633">
      <w:pPr>
        <w:ind w:firstLine="640" w:firstLineChars="200"/>
        <w:jc w:val="both"/>
      </w:pPr>
      <w:r>
        <w:rPr>
          <w:rFonts w:eastAsia="仿宋_GB2312"/>
          <w:u w:val="single"/>
        </w:rPr>
        <w:t>采用“村收集、乡镇转运、县处理”方式，在横头山镇镇政府驻地北侧规划一处垃圾转运站，</w:t>
      </w:r>
      <w:r>
        <w:rPr>
          <w:rFonts w:eastAsia="仿宋_GB2312"/>
        </w:rPr>
        <w:t>在村庄建成区范围内均衡设置垃圾收集点，全域生活垃圾转运至佳木斯市垃圾焚烧发电厂统一处理。</w:t>
      </w:r>
    </w:p>
    <w:p w14:paraId="645C8824">
      <w:pPr>
        <w:keepNext/>
        <w:spacing w:before="156" w:beforeLines="50" w:after="156" w:afterLines="50"/>
        <w:outlineLvl w:val="1"/>
        <w:rPr>
          <w:rFonts w:eastAsia="黑体"/>
        </w:rPr>
      </w:pPr>
      <w:bookmarkStart w:id="72" w:name="_Toc25218"/>
      <w:r>
        <w:rPr>
          <w:rFonts w:eastAsia="黑体"/>
        </w:rPr>
        <w:t>第五节 综合防灾减灾设施</w:t>
      </w:r>
      <w:bookmarkEnd w:id="72"/>
    </w:p>
    <w:p w14:paraId="6429F431">
      <w:pPr>
        <w:keepNext/>
        <w:numPr>
          <w:ilvl w:val="0"/>
          <w:numId w:val="1"/>
        </w:numPr>
        <w:spacing w:before="156" w:beforeLines="50" w:after="156" w:afterLines="50"/>
        <w:jc w:val="both"/>
        <w:outlineLvl w:val="2"/>
        <w:rPr>
          <w:rFonts w:eastAsia="楷体_GB2312"/>
          <w:bCs/>
          <w:kern w:val="0"/>
        </w:rPr>
      </w:pPr>
      <w:r>
        <w:rPr>
          <w:rFonts w:eastAsia="楷体_GB2312"/>
          <w:bCs/>
          <w:kern w:val="0"/>
        </w:rPr>
        <w:t>消防规划</w:t>
      </w:r>
    </w:p>
    <w:p w14:paraId="651B7CD8">
      <w:pPr>
        <w:ind w:firstLine="640" w:firstLineChars="200"/>
        <w:jc w:val="both"/>
        <w:rPr>
          <w:rFonts w:eastAsia="仿宋_GB2312"/>
        </w:rPr>
      </w:pPr>
      <w:r>
        <w:rPr>
          <w:rFonts w:eastAsia="楷体_GB2312"/>
        </w:rPr>
        <w:t>消防站布置。</w:t>
      </w:r>
      <w:r>
        <w:rPr>
          <w:rFonts w:eastAsia="仿宋_GB2312"/>
          <w:u w:val="single"/>
        </w:rPr>
        <w:t>规划在镇政府驻地镇政府北侧设置消防站，完善消防设施提升等级达到二级消防站标准，沿镇政府驻地主要街道设置市政室外消火栓，</w:t>
      </w:r>
      <w:r>
        <w:rPr>
          <w:rFonts w:eastAsia="仿宋_GB2312"/>
        </w:rPr>
        <w:t>并按《消防给水及消火栓系统技术规范》（GB50974）配备消防设施。下辖中心村设置小型消防车一辆，其余一般村结合供水设施各设消防水泵一台，冬季做好防冻措施。</w:t>
      </w:r>
    </w:p>
    <w:p w14:paraId="007353D0">
      <w:pPr>
        <w:keepNext/>
        <w:numPr>
          <w:ilvl w:val="0"/>
          <w:numId w:val="1"/>
        </w:numPr>
        <w:spacing w:before="156" w:beforeLines="50" w:after="156" w:afterLines="50"/>
        <w:jc w:val="both"/>
        <w:outlineLvl w:val="2"/>
        <w:rPr>
          <w:rFonts w:eastAsia="楷体_GB2312"/>
          <w:bCs/>
          <w:kern w:val="0"/>
        </w:rPr>
      </w:pPr>
      <w:r>
        <w:rPr>
          <w:rFonts w:eastAsia="楷体_GB2312"/>
          <w:bCs/>
          <w:kern w:val="0"/>
        </w:rPr>
        <w:t>抗震防灾规划</w:t>
      </w:r>
    </w:p>
    <w:p w14:paraId="7E307382">
      <w:pPr>
        <w:ind w:firstLine="640" w:firstLineChars="200"/>
        <w:jc w:val="both"/>
        <w:rPr>
          <w:rFonts w:eastAsia="仿宋_GB2312"/>
        </w:rPr>
      </w:pPr>
      <w:r>
        <w:rPr>
          <w:rFonts w:eastAsia="楷体_GB2312"/>
        </w:rPr>
        <w:t>设防标准。</w:t>
      </w:r>
      <w:r>
        <w:rPr>
          <w:rFonts w:eastAsia="仿宋_GB2312"/>
          <w:u w:val="single"/>
        </w:rPr>
        <w:t>横头山镇处在地震抗震烈度</w:t>
      </w:r>
      <w:r>
        <w:rPr>
          <w:rFonts w:hint="eastAsia" w:eastAsia="仿宋_GB2312"/>
          <w:u w:val="single"/>
        </w:rPr>
        <w:t>Ⅵ</w:t>
      </w:r>
      <w:r>
        <w:rPr>
          <w:rFonts w:eastAsia="仿宋_GB2312"/>
          <w:u w:val="single"/>
        </w:rPr>
        <w:t>度区。建筑应根据其使用功能的重要性按不同类别抗震设防；重大建设工程和可能发生严重次生灾害的建设工程和设施必须进行抗震安全性评价。新区抗震设防采取“小震不坏、中震可修、大震不倒”的标准，</w:t>
      </w:r>
      <w:r>
        <w:rPr>
          <w:rFonts w:eastAsia="仿宋_GB2312"/>
        </w:rPr>
        <w:t>结合道路网完善城镇环路系统，形成避震网络。</w:t>
      </w:r>
    </w:p>
    <w:p w14:paraId="1474FC15">
      <w:pPr>
        <w:keepNext/>
        <w:numPr>
          <w:ilvl w:val="0"/>
          <w:numId w:val="1"/>
        </w:numPr>
        <w:spacing w:before="156" w:beforeLines="50" w:after="156" w:afterLines="50"/>
        <w:jc w:val="both"/>
        <w:outlineLvl w:val="2"/>
        <w:rPr>
          <w:rFonts w:eastAsia="楷体_GB2312"/>
          <w:bCs/>
          <w:kern w:val="0"/>
        </w:rPr>
      </w:pPr>
      <w:r>
        <w:rPr>
          <w:rFonts w:eastAsia="楷体_GB2312"/>
          <w:bCs/>
          <w:kern w:val="0"/>
        </w:rPr>
        <w:t>防洪排涝工程规划</w:t>
      </w:r>
    </w:p>
    <w:p w14:paraId="67E6F924">
      <w:pPr>
        <w:ind w:firstLine="640" w:firstLineChars="200"/>
        <w:jc w:val="both"/>
        <w:rPr>
          <w:rFonts w:eastAsia="仿宋_GB2312"/>
        </w:rPr>
      </w:pPr>
      <w:r>
        <w:rPr>
          <w:rFonts w:eastAsia="仿宋_GB2312"/>
          <w:u w:val="single"/>
        </w:rPr>
        <w:t>村庄防洪标准按20年一遇，排涝按10年一遇设防。</w:t>
      </w:r>
      <w:r>
        <w:rPr>
          <w:rFonts w:eastAsia="仿宋_GB2312"/>
        </w:rPr>
        <w:t>采用工程措施与生物措施相结合的方式消除洪涝危害。工程措施主要在居民点四周修建截洪沟；生物措施主要植树、种草，控制水土流失，削减水势。</w:t>
      </w:r>
    </w:p>
    <w:p w14:paraId="2DDB3BE4">
      <w:pPr>
        <w:keepNext/>
        <w:numPr>
          <w:ilvl w:val="0"/>
          <w:numId w:val="1"/>
        </w:numPr>
        <w:spacing w:before="156" w:beforeLines="50" w:after="156" w:afterLines="50"/>
        <w:jc w:val="both"/>
        <w:outlineLvl w:val="2"/>
        <w:rPr>
          <w:rFonts w:eastAsia="楷体_GB2312"/>
          <w:bCs/>
          <w:kern w:val="0"/>
        </w:rPr>
      </w:pPr>
      <w:r>
        <w:rPr>
          <w:rFonts w:eastAsia="楷体_GB2312"/>
          <w:bCs/>
          <w:kern w:val="0"/>
        </w:rPr>
        <w:t>森林防火规划</w:t>
      </w:r>
    </w:p>
    <w:p w14:paraId="05E70718">
      <w:pPr>
        <w:ind w:firstLine="640" w:firstLineChars="200"/>
        <w:jc w:val="both"/>
        <w:rPr>
          <w:rFonts w:eastAsia="仿宋_GB2312"/>
        </w:rPr>
      </w:pPr>
      <w:r>
        <w:rPr>
          <w:rFonts w:eastAsia="楷体_GB2312"/>
        </w:rPr>
        <w:t>加强火源管控，消除火灾隐患。</w:t>
      </w:r>
      <w:r>
        <w:rPr>
          <w:rFonts w:eastAsia="仿宋_GB2312"/>
        </w:rPr>
        <w:t>紧抓重点时段、重点部位和重点人群监管，全面提升火源管控水平。突出清明、“五一”等高火险时段，持续开展森林火灾隐患大排查大整治专项行动，对重点林区开展不间断拉网式巡查，坚决整治火灾隐患。重点部位和重要进山入林路口安排专人把守，对烧荒烧地堰、上坟烧纸、林内吸烟、野炊等野外用火行为实施严厉打击，全面消除森林火灾发生风险。</w:t>
      </w:r>
    </w:p>
    <w:p w14:paraId="77918A7D">
      <w:pPr>
        <w:keepNext/>
        <w:spacing w:before="156" w:beforeLines="50" w:after="156" w:afterLines="50"/>
        <w:outlineLvl w:val="0"/>
        <w:rPr>
          <w:bCs/>
          <w:sz w:val="36"/>
          <w:szCs w:val="36"/>
        </w:rPr>
      </w:pPr>
      <w:bookmarkStart w:id="73" w:name="_Toc31970"/>
      <w:r>
        <w:rPr>
          <w:bCs/>
          <w:sz w:val="36"/>
          <w:szCs w:val="36"/>
        </w:rPr>
        <w:br w:type="column"/>
      </w:r>
      <w:r>
        <w:rPr>
          <w:bCs/>
          <w:sz w:val="36"/>
          <w:szCs w:val="36"/>
        </w:rPr>
        <w:t>第七章 历史文化与地方特色风貌</w:t>
      </w:r>
      <w:bookmarkEnd w:id="73"/>
    </w:p>
    <w:p w14:paraId="4DAF1884">
      <w:pPr>
        <w:keepNext/>
        <w:spacing w:before="156" w:beforeLines="50" w:after="156" w:afterLines="50"/>
        <w:outlineLvl w:val="1"/>
        <w:rPr>
          <w:rFonts w:eastAsia="黑体"/>
        </w:rPr>
      </w:pPr>
      <w:bookmarkStart w:id="74" w:name="_Toc17238"/>
      <w:r>
        <w:rPr>
          <w:rFonts w:eastAsia="黑体"/>
        </w:rPr>
        <w:t>第一节 历史文化保护</w:t>
      </w:r>
      <w:bookmarkEnd w:id="74"/>
    </w:p>
    <w:p w14:paraId="0B95F84F">
      <w:pPr>
        <w:keepNext/>
        <w:numPr>
          <w:ilvl w:val="0"/>
          <w:numId w:val="1"/>
        </w:numPr>
        <w:spacing w:before="156" w:beforeLines="50" w:after="156" w:afterLines="50"/>
        <w:jc w:val="both"/>
        <w:outlineLvl w:val="2"/>
        <w:rPr>
          <w:rFonts w:eastAsia="楷体_GB2312"/>
          <w:bCs/>
          <w:kern w:val="0"/>
        </w:rPr>
      </w:pPr>
      <w:r>
        <w:rPr>
          <w:rFonts w:eastAsia="楷体_GB2312"/>
          <w:bCs/>
          <w:kern w:val="0"/>
        </w:rPr>
        <w:t>保护措施</w:t>
      </w:r>
    </w:p>
    <w:p w14:paraId="07EDB702">
      <w:pPr>
        <w:ind w:firstLine="640" w:firstLineChars="200"/>
        <w:jc w:val="both"/>
        <w:rPr>
          <w:rFonts w:eastAsia="仿宋"/>
          <w:kern w:val="0"/>
        </w:rPr>
      </w:pPr>
      <w:r>
        <w:rPr>
          <w:rFonts w:eastAsia="仿宋"/>
          <w:kern w:val="0"/>
        </w:rPr>
        <w:t>按照《中华人民共和国文物保护法》及相关法律法规文件执行管理，统筹划定各类文化遗产的保护范围与建设控制地带。</w:t>
      </w:r>
    </w:p>
    <w:p w14:paraId="0DCBA2F8">
      <w:pPr>
        <w:ind w:firstLine="640" w:firstLineChars="200"/>
        <w:jc w:val="both"/>
      </w:pPr>
      <w:r>
        <w:rPr>
          <w:rFonts w:eastAsia="仿宋"/>
          <w:kern w:val="0"/>
        </w:rPr>
        <w:t>建立合理的活化利用模式。坚持保持原有外形和风貌的原则，加大对文物保护单位的保护力度，加快挂牌、测绘、建档等工作。明确文物保护单位的保护管理要求，完善保护利用政策，充分发挥历史建筑的社会教育作用和使用价值。深入发掘革命斗争历史和红色文化资源，推动红色文化历史遗存、遗迹、遗址的保护和利用，推动革命文物保护与红色旅游深度融合。</w:t>
      </w:r>
    </w:p>
    <w:p w14:paraId="7C3EEF5F">
      <w:pPr>
        <w:keepNext/>
        <w:spacing w:before="156" w:beforeLines="50" w:after="156" w:afterLines="50"/>
        <w:outlineLvl w:val="1"/>
        <w:rPr>
          <w:rFonts w:eastAsia="黑体"/>
        </w:rPr>
      </w:pPr>
      <w:bookmarkStart w:id="75" w:name="_Toc14510"/>
      <w:r>
        <w:rPr>
          <w:rFonts w:eastAsia="黑体"/>
        </w:rPr>
        <w:t>第二节 地方特色风貌</w:t>
      </w:r>
      <w:bookmarkEnd w:id="75"/>
    </w:p>
    <w:p w14:paraId="15163B0F">
      <w:pPr>
        <w:keepNext/>
        <w:numPr>
          <w:ilvl w:val="0"/>
          <w:numId w:val="1"/>
        </w:numPr>
        <w:spacing w:before="156" w:beforeLines="50" w:after="156" w:afterLines="50"/>
        <w:jc w:val="both"/>
        <w:outlineLvl w:val="2"/>
        <w:rPr>
          <w:rFonts w:eastAsia="楷体_GB2312"/>
          <w:bCs/>
          <w:kern w:val="0"/>
        </w:rPr>
      </w:pPr>
      <w:r>
        <w:rPr>
          <w:rFonts w:eastAsia="楷体_GB2312"/>
          <w:bCs/>
          <w:kern w:val="0"/>
        </w:rPr>
        <w:t>绿地景观格局</w:t>
      </w:r>
    </w:p>
    <w:p w14:paraId="451267B6">
      <w:pPr>
        <w:ind w:firstLine="640" w:firstLineChars="200"/>
        <w:jc w:val="both"/>
        <w:rPr>
          <w:rFonts w:eastAsia="仿宋_GB2312"/>
        </w:rPr>
      </w:pPr>
      <w:r>
        <w:rPr>
          <w:rFonts w:eastAsia="仿宋_GB2312"/>
        </w:rPr>
        <w:t>根据全镇景观</w:t>
      </w:r>
      <w:r>
        <w:rPr>
          <w:rFonts w:hint="eastAsia" w:eastAsia="仿宋_GB2312"/>
        </w:rPr>
        <w:t>的</w:t>
      </w:r>
      <w:r>
        <w:rPr>
          <w:rFonts w:eastAsia="仿宋_GB2312"/>
        </w:rPr>
        <w:t>特殊</w:t>
      </w:r>
      <w:r>
        <w:rPr>
          <w:rFonts w:hint="eastAsia" w:eastAsia="仿宋_GB2312"/>
        </w:rPr>
        <w:t>性</w:t>
      </w:r>
      <w:r>
        <w:rPr>
          <w:rFonts w:eastAsia="仿宋_GB2312"/>
        </w:rPr>
        <w:t>，在周边环境特点和尊重现状的原则指导下，</w:t>
      </w:r>
      <w:r>
        <w:rPr>
          <w:rFonts w:eastAsia="仿宋_GB2312"/>
          <w:u w:val="single"/>
        </w:rPr>
        <w:t>规划横头山镇镇域景观形成“一带、一心、一区、多点”的景观格局体系。</w:t>
      </w:r>
    </w:p>
    <w:p w14:paraId="520F2C71">
      <w:pPr>
        <w:ind w:firstLine="640" w:firstLineChars="200"/>
        <w:jc w:val="both"/>
        <w:rPr>
          <w:rFonts w:eastAsia="仿宋_GB2312"/>
        </w:rPr>
      </w:pPr>
      <w:r>
        <w:rPr>
          <w:rFonts w:eastAsia="楷体_GB2312"/>
        </w:rPr>
        <w:t>“一带”：</w:t>
      </w:r>
      <w:r>
        <w:rPr>
          <w:rFonts w:eastAsia="仿宋_GB2312"/>
        </w:rPr>
        <w:t>指沿省道桦横线公路（S513）道路两侧道路绿化形成的纵向景观轴线。</w:t>
      </w:r>
    </w:p>
    <w:p w14:paraId="56ADFC5A">
      <w:pPr>
        <w:ind w:firstLine="640" w:firstLineChars="200"/>
        <w:jc w:val="both"/>
        <w:rPr>
          <w:rFonts w:eastAsia="仿宋_GB2312"/>
        </w:rPr>
      </w:pPr>
      <w:r>
        <w:rPr>
          <w:rFonts w:eastAsia="楷体_GB2312"/>
        </w:rPr>
        <w:t>“一心”：</w:t>
      </w:r>
      <w:r>
        <w:rPr>
          <w:rFonts w:eastAsia="仿宋_GB2312"/>
        </w:rPr>
        <w:t>指镇政府驻地的门户城镇景观核心。</w:t>
      </w:r>
    </w:p>
    <w:p w14:paraId="14BE2EEB">
      <w:pPr>
        <w:ind w:firstLine="640" w:firstLineChars="200"/>
        <w:jc w:val="both"/>
        <w:rPr>
          <w:rFonts w:eastAsia="仿宋_GB2312"/>
        </w:rPr>
      </w:pPr>
      <w:r>
        <w:rPr>
          <w:rFonts w:eastAsia="楷体_GB2312"/>
        </w:rPr>
        <w:t>“一区”：</w:t>
      </w:r>
      <w:r>
        <w:rPr>
          <w:rFonts w:eastAsia="仿宋_GB2312"/>
        </w:rPr>
        <w:t>指镇域南部形成的生态景观旅游区。</w:t>
      </w:r>
    </w:p>
    <w:p w14:paraId="54D579BD">
      <w:pPr>
        <w:ind w:firstLine="640" w:firstLineChars="200"/>
        <w:jc w:val="both"/>
        <w:rPr>
          <w:rFonts w:eastAsia="仿宋_GB2312"/>
        </w:rPr>
      </w:pPr>
      <w:r>
        <w:rPr>
          <w:rFonts w:eastAsia="楷体_GB2312"/>
        </w:rPr>
        <w:t>“多点”：</w:t>
      </w:r>
      <w:r>
        <w:rPr>
          <w:rFonts w:eastAsia="仿宋_GB2312"/>
        </w:rPr>
        <w:t>指镇域内各个村落的传统民俗景观节点。</w:t>
      </w:r>
    </w:p>
    <w:p w14:paraId="7E90B8E4">
      <w:pPr>
        <w:keepNext/>
        <w:numPr>
          <w:ilvl w:val="0"/>
          <w:numId w:val="1"/>
        </w:numPr>
        <w:spacing w:before="156" w:beforeLines="50" w:after="156" w:afterLines="50"/>
        <w:jc w:val="both"/>
        <w:outlineLvl w:val="2"/>
        <w:rPr>
          <w:rFonts w:eastAsia="楷体_GB2312"/>
          <w:bCs/>
          <w:kern w:val="0"/>
        </w:rPr>
      </w:pPr>
      <w:r>
        <w:rPr>
          <w:rFonts w:eastAsia="楷体_GB2312"/>
          <w:bCs/>
          <w:kern w:val="0"/>
        </w:rPr>
        <w:t>城镇风貌引导</w:t>
      </w:r>
    </w:p>
    <w:p w14:paraId="74D5A75A">
      <w:pPr>
        <w:ind w:firstLine="640" w:firstLineChars="200"/>
        <w:jc w:val="both"/>
        <w:rPr>
          <w:rFonts w:eastAsia="仿宋_GB2312"/>
        </w:rPr>
      </w:pPr>
      <w:r>
        <w:rPr>
          <w:rFonts w:eastAsia="仿宋_GB2312"/>
        </w:rPr>
        <w:t>镇政府驻地的景观是展示横头山镇形象的重要组成部分，按照横头山镇的地形地貌特征、聚落风貌形态、大地景观环境和文化特色等资源特色，</w:t>
      </w:r>
      <w:r>
        <w:rPr>
          <w:rFonts w:eastAsia="仿宋_GB2312"/>
          <w:u w:val="single"/>
        </w:rPr>
        <w:t>将横头山镇划分为“两轴、四心”的景观风貌：</w:t>
      </w:r>
    </w:p>
    <w:p w14:paraId="4AA803DC">
      <w:pPr>
        <w:ind w:firstLine="640" w:firstLineChars="200"/>
        <w:jc w:val="both"/>
        <w:rPr>
          <w:rFonts w:eastAsia="仿宋_GB2312"/>
        </w:rPr>
      </w:pPr>
      <w:r>
        <w:rPr>
          <w:rFonts w:eastAsia="楷体_GB2312"/>
        </w:rPr>
        <w:t>“两轴”：</w:t>
      </w:r>
      <w:r>
        <w:rPr>
          <w:rFonts w:eastAsia="仿宋_GB2312"/>
        </w:rPr>
        <w:t>沿省道佳桦公路绿化轴线、沿镇区干路绿化轴线。</w:t>
      </w:r>
    </w:p>
    <w:p w14:paraId="71F7A0F3">
      <w:pPr>
        <w:ind w:firstLine="640" w:firstLineChars="200"/>
        <w:jc w:val="both"/>
        <w:rPr>
          <w:rFonts w:eastAsia="仿宋_GB2312"/>
        </w:rPr>
      </w:pPr>
      <w:r>
        <w:rPr>
          <w:rFonts w:eastAsia="楷体_GB2312"/>
        </w:rPr>
        <w:t>“四心”：</w:t>
      </w:r>
      <w:r>
        <w:rPr>
          <w:rFonts w:eastAsia="仿宋_GB2312"/>
        </w:rPr>
        <w:t>综合服务区1处主要景观节点，生活配套区内2处次要景观节点，产业集聚区1处次要景观节点。</w:t>
      </w:r>
    </w:p>
    <w:p w14:paraId="00A52C2A">
      <w:pPr>
        <w:keepNext/>
        <w:numPr>
          <w:ilvl w:val="0"/>
          <w:numId w:val="1"/>
        </w:numPr>
        <w:spacing w:before="156" w:beforeLines="50" w:after="156" w:afterLines="50"/>
        <w:jc w:val="both"/>
        <w:outlineLvl w:val="2"/>
        <w:rPr>
          <w:rFonts w:eastAsia="楷体_GB2312"/>
          <w:bCs/>
          <w:kern w:val="0"/>
        </w:rPr>
      </w:pPr>
      <w:r>
        <w:rPr>
          <w:rFonts w:eastAsia="楷体_GB2312"/>
          <w:bCs/>
          <w:kern w:val="0"/>
        </w:rPr>
        <w:t>开发强度分区</w:t>
      </w:r>
    </w:p>
    <w:p w14:paraId="59973800">
      <w:pPr>
        <w:ind w:firstLine="640" w:firstLineChars="200"/>
        <w:jc w:val="both"/>
        <w:rPr>
          <w:rFonts w:eastAsia="仿宋_GB2312"/>
        </w:rPr>
      </w:pPr>
      <w:r>
        <w:rPr>
          <w:rFonts w:eastAsia="仿宋_GB2312"/>
        </w:rPr>
        <w:t>镇政府驻地划分为两个强度分区，其中南侧以居住、商业为主，为I级强度区，整体容积率1.0≤f≤1.6，整体建筑密度控制在25</w:t>
      </w:r>
      <w:r>
        <w:rPr>
          <w:rFonts w:hint="eastAsia" w:eastAsia="仿宋_GB2312"/>
        </w:rPr>
        <w:t>—</w:t>
      </w:r>
      <w:r>
        <w:rPr>
          <w:rFonts w:eastAsia="仿宋_GB2312"/>
        </w:rPr>
        <w:t>30％之间，特殊地块除外。</w:t>
      </w:r>
    </w:p>
    <w:p w14:paraId="4FCB9CA5">
      <w:pPr>
        <w:ind w:firstLine="640" w:firstLineChars="200"/>
        <w:jc w:val="both"/>
        <w:rPr>
          <w:rFonts w:eastAsia="仿宋_GB2312"/>
        </w:rPr>
      </w:pPr>
      <w:r>
        <w:rPr>
          <w:rFonts w:eastAsia="仿宋_GB2312"/>
        </w:rPr>
        <w:t>北侧以物流仓储</w:t>
      </w:r>
      <w:r>
        <w:rPr>
          <w:rFonts w:hint="eastAsia" w:eastAsia="仿宋_GB2312"/>
        </w:rPr>
        <w:t>用地</w:t>
      </w:r>
      <w:r>
        <w:rPr>
          <w:rFonts w:eastAsia="仿宋_GB2312"/>
        </w:rPr>
        <w:t>为主，为</w:t>
      </w:r>
      <w:r>
        <w:rPr>
          <w:rFonts w:hint="eastAsia" w:eastAsia="仿宋_GB2312"/>
        </w:rPr>
        <w:t>Ⅱ</w:t>
      </w:r>
      <w:r>
        <w:rPr>
          <w:rFonts w:eastAsia="仿宋_GB2312"/>
        </w:rPr>
        <w:t>级强度区，整体容积率0.8≤f≤1.0，整体建筑密度控制在30</w:t>
      </w:r>
      <w:r>
        <w:rPr>
          <w:rFonts w:hint="eastAsia" w:eastAsia="仿宋_GB2312"/>
        </w:rPr>
        <w:t>—</w:t>
      </w:r>
      <w:r>
        <w:rPr>
          <w:rFonts w:eastAsia="仿宋_GB2312"/>
        </w:rPr>
        <w:t>35％之间，特殊地块除外。</w:t>
      </w:r>
    </w:p>
    <w:p w14:paraId="4B30CEFA">
      <w:pPr>
        <w:ind w:firstLine="640" w:firstLineChars="200"/>
        <w:jc w:val="both"/>
        <w:rPr>
          <w:rFonts w:eastAsia="仿宋_GB2312"/>
        </w:rPr>
      </w:pPr>
      <w:r>
        <w:rPr>
          <w:rFonts w:eastAsia="仿宋_GB2312"/>
        </w:rPr>
        <w:t>具体建设用地的容积率和建筑密度在详细规划中予以落实。</w:t>
      </w:r>
    </w:p>
    <w:p w14:paraId="64061262">
      <w:pPr>
        <w:keepNext/>
        <w:numPr>
          <w:ilvl w:val="0"/>
          <w:numId w:val="1"/>
        </w:numPr>
        <w:spacing w:before="156" w:beforeLines="50" w:after="156" w:afterLines="50"/>
        <w:jc w:val="both"/>
        <w:outlineLvl w:val="2"/>
        <w:rPr>
          <w:rFonts w:eastAsia="楷体_GB2312"/>
          <w:bCs/>
          <w:kern w:val="0"/>
        </w:rPr>
      </w:pPr>
      <w:r>
        <w:rPr>
          <w:rFonts w:eastAsia="楷体_GB2312"/>
          <w:bCs/>
          <w:kern w:val="0"/>
        </w:rPr>
        <w:t>村庄风貌引导</w:t>
      </w:r>
    </w:p>
    <w:p w14:paraId="116829E1">
      <w:pPr>
        <w:ind w:firstLine="640" w:firstLineChars="200"/>
        <w:jc w:val="both"/>
        <w:rPr>
          <w:rFonts w:eastAsia="仿宋_GB2312"/>
        </w:rPr>
      </w:pPr>
      <w:r>
        <w:rPr>
          <w:rFonts w:eastAsia="楷体_GB2312"/>
        </w:rPr>
        <w:t>整体风貌：</w:t>
      </w:r>
      <w:r>
        <w:rPr>
          <w:rFonts w:eastAsia="仿宋_GB2312"/>
        </w:rPr>
        <w:t>传统北方建筑风貌。</w:t>
      </w:r>
    </w:p>
    <w:p w14:paraId="62038B39">
      <w:pPr>
        <w:ind w:firstLine="640" w:firstLineChars="200"/>
        <w:jc w:val="both"/>
        <w:rPr>
          <w:rFonts w:eastAsia="仿宋_GB2312"/>
        </w:rPr>
      </w:pPr>
      <w:r>
        <w:rPr>
          <w:rFonts w:eastAsia="楷体_GB2312"/>
        </w:rPr>
        <w:t>屋顶形式：</w:t>
      </w:r>
      <w:r>
        <w:rPr>
          <w:rFonts w:eastAsia="仿宋_GB2312"/>
        </w:rPr>
        <w:t>村庄建筑采用坡屋顶，屋面瓦材料颜色宜选用深灰色。避免采用元素强烈的建筑构件。</w:t>
      </w:r>
    </w:p>
    <w:p w14:paraId="756CFC0C">
      <w:pPr>
        <w:ind w:firstLine="640" w:firstLineChars="200"/>
        <w:jc w:val="both"/>
        <w:rPr>
          <w:rFonts w:eastAsia="仿宋_GB2312"/>
        </w:rPr>
      </w:pPr>
      <w:r>
        <w:rPr>
          <w:rFonts w:eastAsia="楷体_GB2312"/>
        </w:rPr>
        <w:t>外墙形式：</w:t>
      </w:r>
      <w:r>
        <w:rPr>
          <w:rFonts w:eastAsia="仿宋_GB2312"/>
        </w:rPr>
        <w:t>新建或原有建筑外墙未做外饰面的，外墙饰面材料颜色推荐采用白色系涂料或灰色系面砖。对现有建筑外围搭建的钢结构雨棚的外露</w:t>
      </w:r>
      <w:r>
        <w:rPr>
          <w:rFonts w:hint="eastAsia" w:eastAsia="仿宋_GB2312"/>
        </w:rPr>
        <w:t>构件</w:t>
      </w:r>
      <w:r>
        <w:rPr>
          <w:rFonts w:eastAsia="仿宋_GB2312"/>
        </w:rPr>
        <w:t>，涂刷仿木纹漆。鼓励形成统一立面颜色，经常对外墙进行维修保养或小改进，以保持整体外观相似。</w:t>
      </w:r>
    </w:p>
    <w:p w14:paraId="0961E3F7">
      <w:pPr>
        <w:ind w:firstLine="640" w:firstLineChars="200"/>
        <w:jc w:val="both"/>
        <w:rPr>
          <w:rFonts w:eastAsia="仿宋_GB2312"/>
        </w:rPr>
      </w:pPr>
      <w:r>
        <w:rPr>
          <w:rFonts w:eastAsia="楷体_GB2312"/>
        </w:rPr>
        <w:t>门窗形式</w:t>
      </w:r>
      <w:r>
        <w:rPr>
          <w:rFonts w:eastAsia="仿宋_GB2312"/>
        </w:rPr>
        <w:t>：铝合金外窗宜采用白色框料透明无色玻璃。入户大门宜采用暗红色门。鼓励对老旧建筑门窗进行维修、维护（如清洗、重新油漆窗框和门框）。</w:t>
      </w:r>
    </w:p>
    <w:p w14:paraId="33358187">
      <w:pPr>
        <w:ind w:firstLine="640" w:firstLineChars="200"/>
        <w:jc w:val="both"/>
        <w:rPr>
          <w:rFonts w:eastAsia="仿宋_GB2312"/>
        </w:rPr>
      </w:pPr>
      <w:r>
        <w:rPr>
          <w:rFonts w:eastAsia="楷体_GB2312"/>
        </w:rPr>
        <w:t>建筑层数、高度：</w:t>
      </w:r>
      <w:r>
        <w:rPr>
          <w:rFonts w:eastAsia="仿宋_GB2312"/>
        </w:rPr>
        <w:t>建筑层数宜控制在三层以下，高度小于12米，特殊情况可按实际情况确定。</w:t>
      </w:r>
    </w:p>
    <w:p w14:paraId="5E163DC7">
      <w:pPr>
        <w:ind w:firstLine="640" w:firstLineChars="200"/>
        <w:jc w:val="both"/>
        <w:rPr>
          <w:rFonts w:eastAsia="仿宋_GB2312"/>
        </w:rPr>
      </w:pPr>
      <w:r>
        <w:rPr>
          <w:rFonts w:eastAsia="楷体_GB2312"/>
        </w:rPr>
        <w:t>建筑朝向：</w:t>
      </w:r>
      <w:r>
        <w:rPr>
          <w:rFonts w:eastAsia="仿宋_GB2312"/>
        </w:rPr>
        <w:t>居住建筑、养老建筑以南向为主。其他类建筑不</w:t>
      </w:r>
      <w:r>
        <w:rPr>
          <w:rFonts w:hint="eastAsia" w:eastAsia="仿宋_GB2312"/>
        </w:rPr>
        <w:t>作</w:t>
      </w:r>
      <w:r>
        <w:rPr>
          <w:rFonts w:eastAsia="仿宋_GB2312"/>
        </w:rPr>
        <w:t>要求。</w:t>
      </w:r>
    </w:p>
    <w:p w14:paraId="2F04A857">
      <w:pPr>
        <w:ind w:firstLine="640" w:firstLineChars="200"/>
        <w:jc w:val="both"/>
        <w:rPr>
          <w:rFonts w:eastAsia="仿宋_GB2312"/>
        </w:rPr>
      </w:pPr>
      <w:r>
        <w:rPr>
          <w:rFonts w:eastAsia="楷体_GB2312"/>
        </w:rPr>
        <w:t>户型设计指引：</w:t>
      </w:r>
      <w:r>
        <w:rPr>
          <w:rFonts w:eastAsia="仿宋_GB2312"/>
        </w:rPr>
        <w:t>根据“一户一宅”的相关规定，结合对村庄限制建筑质量、建筑风格等相关因素分析，改造及新建住宅风貌应参考新的规划设计引导建设。</w:t>
      </w:r>
    </w:p>
    <w:p w14:paraId="0F9A55A6">
      <w:pPr>
        <w:ind w:firstLine="640" w:firstLineChars="200"/>
        <w:jc w:val="both"/>
        <w:rPr>
          <w:rFonts w:eastAsia="仿宋_GB2312"/>
        </w:rPr>
      </w:pPr>
      <w:r>
        <w:rPr>
          <w:rFonts w:eastAsia="楷体_GB2312"/>
        </w:rPr>
        <w:t>公共建筑风貌引导：</w:t>
      </w:r>
      <w:r>
        <w:rPr>
          <w:rFonts w:eastAsia="仿宋_GB2312"/>
        </w:rPr>
        <w:t>公共建筑主要集中在村委会，村委会及大院是村内最主要的公共场所空间，设计中将村委会建筑立面进行特色文化要素装饰，包括建筑色彩、窗户装饰等。</w:t>
      </w:r>
    </w:p>
    <w:p w14:paraId="61DBC809">
      <w:pPr>
        <w:ind w:firstLine="640" w:firstLineChars="200"/>
        <w:jc w:val="both"/>
        <w:rPr>
          <w:rFonts w:eastAsia="仿宋_GB2312"/>
        </w:rPr>
      </w:pPr>
      <w:bookmarkStart w:id="76" w:name="_Toc14950"/>
      <w:r>
        <w:rPr>
          <w:rFonts w:eastAsia="楷体_GB2312"/>
        </w:rPr>
        <w:t>商业建筑风貌引导</w:t>
      </w:r>
      <w:bookmarkEnd w:id="76"/>
      <w:r>
        <w:rPr>
          <w:rFonts w:eastAsia="楷体_GB2312"/>
        </w:rPr>
        <w:t>：</w:t>
      </w:r>
      <w:r>
        <w:rPr>
          <w:rFonts w:eastAsia="仿宋_GB2312"/>
        </w:rPr>
        <w:t>保留和延续了北方传统民居的硬山建筑形式及建筑色彩，突出了村庄的民族特色。规划在前院空间中增加绿化、遮阳构筑物、蔬菜种植区及庭院餐饮娱乐区，并将村民日常生活的工具作为景观小品进行重点设计。</w:t>
      </w:r>
    </w:p>
    <w:p w14:paraId="2D830FBF">
      <w:pPr>
        <w:ind w:firstLine="640" w:firstLineChars="200"/>
        <w:jc w:val="both"/>
        <w:rPr>
          <w:rFonts w:eastAsia="仿宋_GB2312"/>
        </w:rPr>
      </w:pPr>
      <w:bookmarkStart w:id="77" w:name="_Toc1140"/>
      <w:r>
        <w:rPr>
          <w:rFonts w:eastAsia="楷体_GB2312"/>
        </w:rPr>
        <w:t>绿化整治引导</w:t>
      </w:r>
      <w:bookmarkEnd w:id="77"/>
      <w:r>
        <w:rPr>
          <w:rFonts w:eastAsia="楷体_GB2312"/>
        </w:rPr>
        <w:t>：</w:t>
      </w:r>
      <w:r>
        <w:rPr>
          <w:rFonts w:eastAsia="仿宋_GB2312"/>
        </w:rPr>
        <w:t>植物配置与村庄山形水体、建筑相协调，充分利用现有自然条件。植物种类选择应考虑当地的自然环境条件及植物的生长习性，以乡土树种为主，适当引进观赏性植物。大力推进村边、路边、水边、房边以及村口、庭院、公共活动空间等绿化美化。</w:t>
      </w:r>
    </w:p>
    <w:p w14:paraId="40759B56">
      <w:pPr>
        <w:ind w:firstLine="640" w:firstLineChars="200"/>
        <w:jc w:val="both"/>
        <w:rPr>
          <w:rFonts w:eastAsia="仿宋_GB2312"/>
        </w:rPr>
      </w:pPr>
      <w:bookmarkStart w:id="78" w:name="_Toc21735"/>
      <w:r>
        <w:rPr>
          <w:rFonts w:eastAsia="楷体_GB2312"/>
        </w:rPr>
        <w:t>村庄节点美化设计引导</w:t>
      </w:r>
      <w:bookmarkEnd w:id="78"/>
      <w:r>
        <w:rPr>
          <w:rFonts w:eastAsia="楷体_GB2312"/>
        </w:rPr>
        <w:t>：</w:t>
      </w:r>
      <w:r>
        <w:rPr>
          <w:rFonts w:eastAsia="仿宋_GB2312"/>
        </w:rPr>
        <w:t>村中心小公园、村民广场或邻里休闲活动中心等村民日常聚集较多的公共活动空间和重要的景观节点，以及村庄主要出入口绿化景观应做到自然、亲切、宜人，并能体现地方特色与标志性。</w:t>
      </w:r>
    </w:p>
    <w:p w14:paraId="3E3E2DEA">
      <w:pPr>
        <w:keepNext/>
        <w:numPr>
          <w:ilvl w:val="0"/>
          <w:numId w:val="1"/>
        </w:numPr>
        <w:spacing w:before="156" w:beforeLines="50" w:after="156" w:afterLines="50"/>
        <w:jc w:val="both"/>
        <w:outlineLvl w:val="2"/>
        <w:rPr>
          <w:rFonts w:eastAsia="楷体_GB2312"/>
          <w:bCs/>
          <w:kern w:val="0"/>
        </w:rPr>
      </w:pPr>
      <w:r>
        <w:rPr>
          <w:rFonts w:eastAsia="楷体_GB2312"/>
          <w:bCs/>
          <w:kern w:val="0"/>
        </w:rPr>
        <w:t>加强地名管理，保护地方传统特色</w:t>
      </w:r>
    </w:p>
    <w:p w14:paraId="028A7CE0">
      <w:pPr>
        <w:ind w:firstLine="640" w:firstLineChars="200"/>
        <w:jc w:val="both"/>
        <w:rPr>
          <w:rFonts w:eastAsia="仿宋_GB2312"/>
        </w:rPr>
      </w:pPr>
      <w:r>
        <w:rPr>
          <w:rFonts w:eastAsia="仿宋_GB2312"/>
        </w:rPr>
        <w:t>加强乡村地名命名管理，健全乡村地名标志体系，传承弘扬乡村地名文化，助力乡村全面振兴。</w:t>
      </w:r>
    </w:p>
    <w:p w14:paraId="28EC3A48">
      <w:pPr>
        <w:ind w:firstLine="640" w:firstLineChars="200"/>
        <w:jc w:val="both"/>
      </w:pPr>
      <w:r>
        <w:rPr>
          <w:rFonts w:eastAsia="仿宋_GB2312"/>
        </w:rPr>
        <w:t>根据《地名管理条例》《关于印发黑龙江省开展“乡村著名行动”助力乡村振兴实施方案的通知》（黑民发〔2024〕4号）、《关于印发〈黑龙江省地名文化遗产保护名录〉推荐工作实施方案的通知》（黑民函〔2023〕150号）、《佳木斯市地名方案（2024</w:t>
      </w:r>
      <w:r>
        <w:rPr>
          <w:rFonts w:hint="eastAsia" w:eastAsia="仿宋_GB2312"/>
        </w:rPr>
        <w:t>—</w:t>
      </w:r>
      <w:r>
        <w:rPr>
          <w:rFonts w:eastAsia="仿宋_GB2312"/>
        </w:rPr>
        <w:t>2026年）》等相关要求，主要针对社区、行政村、自然村（屯），道路、街巷，建筑物、住宅区（群），桥梁，公园、广场、绿地，自然、人文景观等进行规范命名，以保持地名稳定，突出本地特点、与城市建设规划紧密结合，整体与局部相协调，同时要具有时代特征、实操性。</w:t>
      </w:r>
    </w:p>
    <w:p w14:paraId="7C8CFFE1">
      <w:pPr>
        <w:keepNext/>
        <w:spacing w:before="156" w:beforeLines="50" w:after="156" w:afterLines="50"/>
        <w:outlineLvl w:val="0"/>
        <w:rPr>
          <w:bCs/>
          <w:sz w:val="36"/>
          <w:szCs w:val="36"/>
        </w:rPr>
      </w:pPr>
      <w:bookmarkStart w:id="79" w:name="_Toc8759"/>
      <w:r>
        <w:rPr>
          <w:bCs/>
          <w:sz w:val="36"/>
          <w:szCs w:val="36"/>
        </w:rPr>
        <w:br w:type="column"/>
      </w:r>
      <w:r>
        <w:rPr>
          <w:bCs/>
          <w:sz w:val="36"/>
          <w:szCs w:val="36"/>
        </w:rPr>
        <w:t>第八章 生态修复与国土综合整治</w:t>
      </w:r>
      <w:bookmarkEnd w:id="79"/>
    </w:p>
    <w:p w14:paraId="7E5F1409">
      <w:pPr>
        <w:keepNext/>
        <w:spacing w:before="156" w:beforeLines="50" w:after="156" w:afterLines="50"/>
        <w:outlineLvl w:val="1"/>
        <w:rPr>
          <w:rFonts w:eastAsia="黑体"/>
        </w:rPr>
      </w:pPr>
      <w:bookmarkStart w:id="80" w:name="_Toc24027"/>
      <w:r>
        <w:rPr>
          <w:rFonts w:eastAsia="黑体"/>
        </w:rPr>
        <w:t>第一节 生态修复</w:t>
      </w:r>
      <w:bookmarkEnd w:id="80"/>
    </w:p>
    <w:p w14:paraId="394BF60E">
      <w:pPr>
        <w:keepNext/>
        <w:numPr>
          <w:ilvl w:val="0"/>
          <w:numId w:val="1"/>
        </w:numPr>
        <w:spacing w:before="156" w:beforeLines="50" w:after="156" w:afterLines="50"/>
        <w:jc w:val="both"/>
        <w:outlineLvl w:val="2"/>
        <w:rPr>
          <w:rFonts w:eastAsia="楷体_GB2312"/>
          <w:bCs/>
          <w:kern w:val="0"/>
        </w:rPr>
      </w:pPr>
      <w:r>
        <w:rPr>
          <w:rFonts w:eastAsia="楷体_GB2312"/>
          <w:bCs/>
          <w:kern w:val="0"/>
        </w:rPr>
        <w:t>水环境和水生态修复</w:t>
      </w:r>
    </w:p>
    <w:p w14:paraId="7A90201D">
      <w:pPr>
        <w:ind w:firstLine="640" w:firstLineChars="200"/>
        <w:jc w:val="both"/>
        <w:rPr>
          <w:rFonts w:eastAsia="仿宋_GB2312"/>
        </w:rPr>
      </w:pPr>
      <w:r>
        <w:rPr>
          <w:rFonts w:eastAsia="楷体_GB2312"/>
        </w:rPr>
        <w:t>水资源保护监测设施工程：</w:t>
      </w:r>
      <w:r>
        <w:rPr>
          <w:rFonts w:eastAsia="仿宋_GB2312"/>
        </w:rPr>
        <w:t>铃铛麦河水资源信息系统设备采购安装、信息中心、检测室建设。铃铛麦河水域岸线水质监测系统建设。</w:t>
      </w:r>
    </w:p>
    <w:p w14:paraId="5499D036">
      <w:pPr>
        <w:ind w:firstLine="640" w:firstLineChars="200"/>
        <w:jc w:val="both"/>
        <w:rPr>
          <w:rFonts w:eastAsia="仿宋_GB2312"/>
        </w:rPr>
      </w:pPr>
      <w:r>
        <w:rPr>
          <w:rFonts w:eastAsia="楷体_GB2312"/>
        </w:rPr>
        <w:t>防洪减灾工程：</w:t>
      </w:r>
      <w:r>
        <w:rPr>
          <w:rFonts w:eastAsia="仿宋_GB2312"/>
        </w:rPr>
        <w:t>重点推进铃铛麦河防洪工程，防洪标准20年一遇。</w:t>
      </w:r>
    </w:p>
    <w:p w14:paraId="16DAB5CF">
      <w:pPr>
        <w:keepNext/>
        <w:numPr>
          <w:ilvl w:val="0"/>
          <w:numId w:val="1"/>
        </w:numPr>
        <w:spacing w:before="156" w:beforeLines="50" w:after="156" w:afterLines="50"/>
        <w:jc w:val="both"/>
        <w:outlineLvl w:val="2"/>
        <w:rPr>
          <w:rFonts w:eastAsia="楷体_GB2312"/>
          <w:bCs/>
          <w:kern w:val="0"/>
        </w:rPr>
      </w:pPr>
      <w:r>
        <w:rPr>
          <w:rFonts w:eastAsia="楷体_GB2312"/>
          <w:bCs/>
          <w:kern w:val="0"/>
        </w:rPr>
        <w:t>森林生态修复</w:t>
      </w:r>
    </w:p>
    <w:p w14:paraId="6CA76651">
      <w:pPr>
        <w:ind w:firstLine="640" w:firstLineChars="200"/>
        <w:jc w:val="both"/>
        <w:rPr>
          <w:rFonts w:eastAsia="仿宋_GB2312"/>
        </w:rPr>
      </w:pPr>
      <w:r>
        <w:rPr>
          <w:rFonts w:eastAsia="仿宋_GB2312"/>
        </w:rPr>
        <w:t>根据生态公益林地保护等级和措施，落实需要腾退还绿、退耕还绿的造林地块。落实封山育林等修复工程。</w:t>
      </w:r>
    </w:p>
    <w:p w14:paraId="7041D73E">
      <w:pPr>
        <w:keepNext/>
        <w:numPr>
          <w:ilvl w:val="0"/>
          <w:numId w:val="1"/>
        </w:numPr>
        <w:spacing w:before="156" w:beforeLines="50" w:after="156" w:afterLines="50"/>
        <w:jc w:val="both"/>
        <w:outlineLvl w:val="2"/>
        <w:rPr>
          <w:rFonts w:eastAsia="楷体_GB2312"/>
          <w:bCs/>
          <w:kern w:val="0"/>
        </w:rPr>
      </w:pPr>
      <w:r>
        <w:rPr>
          <w:rFonts w:eastAsia="楷体_GB2312"/>
          <w:bCs/>
          <w:kern w:val="0"/>
        </w:rPr>
        <w:t>水土流失治理</w:t>
      </w:r>
    </w:p>
    <w:p w14:paraId="66BE8B46">
      <w:pPr>
        <w:ind w:firstLine="640" w:firstLineChars="200"/>
        <w:jc w:val="both"/>
        <w:rPr>
          <w:rFonts w:eastAsia="仿宋_GB2312"/>
        </w:rPr>
      </w:pPr>
      <w:r>
        <w:rPr>
          <w:rFonts w:eastAsia="仿宋_GB2312"/>
        </w:rPr>
        <w:t>推进河湖、湿地保护和林草恢复，全面加强公益林建设和管护，稳步推进封山育林、人工造林、退耕还林还草，加强水土保持林、水源涵养林和防护林建设，加强森林抚育和退化林修复。治理小流域、侵蚀沟，新增治理水土流失面积。</w:t>
      </w:r>
    </w:p>
    <w:p w14:paraId="128881B3">
      <w:pPr>
        <w:keepNext/>
        <w:numPr>
          <w:ilvl w:val="0"/>
          <w:numId w:val="1"/>
        </w:numPr>
        <w:spacing w:before="156" w:beforeLines="50" w:after="156" w:afterLines="50"/>
        <w:jc w:val="both"/>
        <w:outlineLvl w:val="2"/>
        <w:rPr>
          <w:rFonts w:eastAsia="楷体_GB2312"/>
          <w:bCs/>
          <w:kern w:val="0"/>
        </w:rPr>
      </w:pPr>
      <w:r>
        <w:rPr>
          <w:rFonts w:eastAsia="楷体_GB2312"/>
          <w:bCs/>
          <w:kern w:val="0"/>
        </w:rPr>
        <w:t>矿山修复</w:t>
      </w:r>
    </w:p>
    <w:p w14:paraId="3B9523B0">
      <w:pPr>
        <w:ind w:firstLine="640" w:firstLineChars="200"/>
        <w:jc w:val="both"/>
        <w:rPr>
          <w:rFonts w:eastAsia="楷体_GB2312"/>
        </w:rPr>
      </w:pPr>
      <w:r>
        <w:rPr>
          <w:rFonts w:eastAsia="仿宋_GB2312"/>
        </w:rPr>
        <w:t>工矿废弃地复垦措施：将历史遗留的工矿用地，按照“宜耕则耕、宜林则林、宜草则草”的原则，坚持因地制宜、综合治理方针，通过土地平整、植被恢复、给排水及道路等基础设施建设项目等对工矿废弃地进行复垦，合理调整用地布局，促进土地资源节约、合理和高效利用，改善生态环境，提升土地资源的综合承载能力。</w:t>
      </w:r>
    </w:p>
    <w:p w14:paraId="18B548D0">
      <w:pPr>
        <w:keepNext/>
        <w:spacing w:before="156" w:beforeLines="50" w:after="156" w:afterLines="50"/>
        <w:outlineLvl w:val="1"/>
        <w:rPr>
          <w:rFonts w:eastAsia="黑体"/>
        </w:rPr>
      </w:pPr>
      <w:bookmarkStart w:id="81" w:name="_Toc869"/>
      <w:r>
        <w:rPr>
          <w:rFonts w:eastAsia="黑体"/>
        </w:rPr>
        <w:t>第二节 国土综合整治</w:t>
      </w:r>
      <w:bookmarkEnd w:id="81"/>
    </w:p>
    <w:p w14:paraId="7131CDD8">
      <w:pPr>
        <w:keepNext/>
        <w:numPr>
          <w:ilvl w:val="0"/>
          <w:numId w:val="1"/>
        </w:numPr>
        <w:spacing w:before="156" w:beforeLines="50" w:after="156" w:afterLines="50"/>
        <w:jc w:val="both"/>
        <w:outlineLvl w:val="2"/>
        <w:rPr>
          <w:rFonts w:eastAsia="楷体_GB2312"/>
          <w:bCs/>
          <w:kern w:val="0"/>
        </w:rPr>
      </w:pPr>
      <w:r>
        <w:rPr>
          <w:rFonts w:eastAsia="楷体_GB2312"/>
          <w:bCs/>
          <w:kern w:val="0"/>
        </w:rPr>
        <w:t>农用地整治</w:t>
      </w:r>
    </w:p>
    <w:p w14:paraId="263BE6FB">
      <w:pPr>
        <w:ind w:firstLine="640" w:firstLineChars="200"/>
        <w:jc w:val="both"/>
        <w:rPr>
          <w:rFonts w:eastAsia="黑体"/>
        </w:rPr>
      </w:pPr>
      <w:r>
        <w:rPr>
          <w:rFonts w:eastAsia="仿宋_GB2312"/>
        </w:rPr>
        <w:t>全域农用地整治项目主要为高标准农田建设项目、黑土地保护利用试点项目和桦川县横头山镇国土综合整治项目。</w:t>
      </w:r>
    </w:p>
    <w:p w14:paraId="42C88F6F">
      <w:pPr>
        <w:keepNext/>
        <w:numPr>
          <w:ilvl w:val="0"/>
          <w:numId w:val="1"/>
        </w:numPr>
        <w:spacing w:before="156" w:beforeLines="50" w:after="156" w:afterLines="50"/>
        <w:jc w:val="both"/>
        <w:outlineLvl w:val="2"/>
        <w:rPr>
          <w:rFonts w:eastAsia="楷体_GB2312"/>
          <w:bCs/>
          <w:kern w:val="0"/>
        </w:rPr>
      </w:pPr>
      <w:r>
        <w:rPr>
          <w:rFonts w:eastAsia="楷体_GB2312"/>
          <w:bCs/>
          <w:kern w:val="0"/>
        </w:rPr>
        <w:t>建设用地综合整治</w:t>
      </w:r>
    </w:p>
    <w:p w14:paraId="13D9509C">
      <w:pPr>
        <w:ind w:firstLine="640" w:firstLineChars="200"/>
        <w:jc w:val="both"/>
        <w:rPr>
          <w:rFonts w:eastAsia="仿宋_GB2312"/>
        </w:rPr>
      </w:pPr>
      <w:r>
        <w:rPr>
          <w:rFonts w:eastAsia="楷体_GB2312"/>
        </w:rPr>
        <w:t>农村建设用地：</w:t>
      </w:r>
      <w:r>
        <w:rPr>
          <w:rFonts w:eastAsia="仿宋_GB2312"/>
        </w:rPr>
        <w:t>有序开展农村宅基地优化整理，充分利用农村</w:t>
      </w:r>
      <w:r>
        <w:rPr>
          <w:rFonts w:hint="eastAsia" w:eastAsia="仿宋_GB2312"/>
        </w:rPr>
        <w:t>闲置</w:t>
      </w:r>
      <w:r>
        <w:rPr>
          <w:rFonts w:eastAsia="仿宋_GB2312"/>
        </w:rPr>
        <w:t>集体经营性建设用地。在村庄建设用地规划范围内，可优先将腾退的宅基地等闲散建设用地，集中用于乡村产业发展。</w:t>
      </w:r>
    </w:p>
    <w:p w14:paraId="10D046EE">
      <w:pPr>
        <w:ind w:firstLine="640" w:firstLineChars="200"/>
        <w:jc w:val="both"/>
        <w:rPr>
          <w:rFonts w:eastAsia="仿宋_GB2312"/>
        </w:rPr>
      </w:pPr>
      <w:r>
        <w:rPr>
          <w:rFonts w:eastAsia="楷体_GB2312"/>
        </w:rPr>
        <w:t>增减挂钩用地：</w:t>
      </w:r>
      <w:r>
        <w:rPr>
          <w:rFonts w:eastAsia="仿宋_GB2312"/>
        </w:rPr>
        <w:t>明确增减挂钩用地位置与规模，通过农村建设用地、工矿废弃地整理，解决新增城镇建设用地指标不足的问题，提高乡镇土地整体利用效率。增减挂钩项目的减量建设用地和整体搬迁村庄应纳入农用地整理复垦项目，且在实施搬迁改造之前，相应置换的城乡建设用地指标不得使用。待实施搬迁改造后，以增减挂钩、指标统筹为原则，进行布局。</w:t>
      </w:r>
    </w:p>
    <w:p w14:paraId="7FAD5643">
      <w:pPr>
        <w:pStyle w:val="2"/>
      </w:pPr>
      <w:r>
        <w:br w:type="page"/>
      </w:r>
    </w:p>
    <w:p w14:paraId="47235DF9">
      <w:pPr>
        <w:keepNext/>
        <w:spacing w:before="156" w:beforeLines="50" w:after="156" w:afterLines="50"/>
        <w:outlineLvl w:val="0"/>
        <w:rPr>
          <w:bCs/>
          <w:sz w:val="36"/>
          <w:szCs w:val="36"/>
        </w:rPr>
      </w:pPr>
      <w:bookmarkStart w:id="82" w:name="_Toc1498"/>
      <w:r>
        <w:rPr>
          <w:bCs/>
          <w:sz w:val="36"/>
          <w:szCs w:val="36"/>
        </w:rPr>
        <w:t>第九章 规划传导与实施</w:t>
      </w:r>
      <w:bookmarkEnd w:id="82"/>
    </w:p>
    <w:p w14:paraId="4D18340D">
      <w:pPr>
        <w:keepNext/>
        <w:spacing w:before="156" w:beforeLines="50" w:after="156" w:afterLines="50"/>
        <w:outlineLvl w:val="1"/>
        <w:rPr>
          <w:rFonts w:eastAsia="黑体"/>
        </w:rPr>
      </w:pPr>
      <w:bookmarkStart w:id="83" w:name="_Toc28658"/>
      <w:r>
        <w:rPr>
          <w:rFonts w:eastAsia="黑体"/>
        </w:rPr>
        <w:t>第一节 规划传导与管控</w:t>
      </w:r>
      <w:bookmarkEnd w:id="83"/>
    </w:p>
    <w:p w14:paraId="61836106">
      <w:pPr>
        <w:keepNext/>
        <w:numPr>
          <w:ilvl w:val="0"/>
          <w:numId w:val="1"/>
        </w:numPr>
        <w:spacing w:before="156" w:beforeLines="50" w:after="156" w:afterLines="50"/>
        <w:jc w:val="both"/>
        <w:outlineLvl w:val="2"/>
        <w:rPr>
          <w:rFonts w:eastAsia="楷体_GB2312"/>
          <w:bCs/>
          <w:kern w:val="0"/>
        </w:rPr>
      </w:pPr>
      <w:r>
        <w:rPr>
          <w:rFonts w:eastAsia="楷体_GB2312"/>
          <w:bCs/>
          <w:kern w:val="0"/>
        </w:rPr>
        <w:t>城镇开发边界内管控</w:t>
      </w:r>
    </w:p>
    <w:p w14:paraId="20213575">
      <w:pPr>
        <w:ind w:firstLine="640" w:firstLineChars="200"/>
        <w:jc w:val="both"/>
        <w:rPr>
          <w:rFonts w:eastAsia="仿宋_GB2312"/>
        </w:rPr>
      </w:pPr>
      <w:r>
        <w:rPr>
          <w:rFonts w:eastAsia="仿宋_GB2312"/>
        </w:rPr>
        <w:t>明确需要向各编制单元传导的功能定位、核心指标、管控边界和要求。其中建设用地规模、容积率、建筑密度以及绿地和水域面积、道路网密度等应作为约束性指标向下传递，黄线、蓝线、绿线、紫线以及主次干路的走向、红线宽度应作为刚性要素层层落实。总体规划层面无法具体落位的公共服务设施和市政基础设施，应对总量、结构、布局等提出分解落实要求。根据不同控制单元主导功能，提出差异化的引导要求，生活区应突出不同等级社区生活圈的构建，生产区应突出土地效能的提升，生态区应突出生态价值的发挥。还应对高度、风貌等空间形态、历史遗产保护、城市设计及其他内容提出控制引导要求。</w:t>
      </w:r>
    </w:p>
    <w:p w14:paraId="6BEBFA54">
      <w:pPr>
        <w:keepNext/>
        <w:numPr>
          <w:ilvl w:val="0"/>
          <w:numId w:val="1"/>
        </w:numPr>
        <w:spacing w:before="156" w:beforeLines="50" w:after="156" w:afterLines="50"/>
        <w:jc w:val="both"/>
        <w:outlineLvl w:val="2"/>
        <w:rPr>
          <w:rFonts w:eastAsia="楷体_GB2312"/>
          <w:bCs/>
          <w:kern w:val="0"/>
        </w:rPr>
      </w:pPr>
      <w:r>
        <w:rPr>
          <w:rFonts w:eastAsia="楷体_GB2312"/>
          <w:bCs/>
          <w:kern w:val="0"/>
        </w:rPr>
        <w:t>城镇开发边界外管控</w:t>
      </w:r>
    </w:p>
    <w:p w14:paraId="1F18FDD7">
      <w:pPr>
        <w:ind w:firstLine="640" w:firstLineChars="200"/>
        <w:jc w:val="both"/>
        <w:rPr>
          <w:rFonts w:eastAsia="仿宋_GB2312"/>
        </w:rPr>
      </w:pPr>
      <w:r>
        <w:rPr>
          <w:rFonts w:eastAsia="楷体_GB2312"/>
        </w:rPr>
        <w:t>指标约束。</w:t>
      </w:r>
      <w:r>
        <w:rPr>
          <w:rFonts w:eastAsia="仿宋_GB2312"/>
        </w:rPr>
        <w:t>横头山镇10个村庄及4个县属农林牧场，推进有需求、有条件的村庄编制村庄规划，对没有需求、不具备条件的村庄可暂不编制规划，制定“通则式”规划管理规定。制定约束性指标分解方案，下达横头山镇各村的调控指标。</w:t>
      </w:r>
    </w:p>
    <w:p w14:paraId="540928A4">
      <w:pPr>
        <w:ind w:firstLine="640" w:firstLineChars="200"/>
        <w:jc w:val="both"/>
        <w:rPr>
          <w:rFonts w:eastAsia="仿宋_GB2312"/>
        </w:rPr>
      </w:pPr>
      <w:r>
        <w:rPr>
          <w:rFonts w:eastAsia="楷体_GB2312"/>
        </w:rPr>
        <w:t>底线管控。</w:t>
      </w:r>
      <w:r>
        <w:rPr>
          <w:rFonts w:eastAsia="仿宋_GB2312"/>
        </w:rPr>
        <w:t>明确需要落实的重要生态保护红线、永久基本农田保护红线、城镇开发边界，区域性基础设施及其廊道，重要的历史文化保护界线、名录和管控要求等强制性内容。</w:t>
      </w:r>
    </w:p>
    <w:p w14:paraId="10BBAE1F">
      <w:pPr>
        <w:keepNext/>
        <w:spacing w:before="156" w:beforeLines="50" w:after="156" w:afterLines="50"/>
        <w:outlineLvl w:val="1"/>
        <w:rPr>
          <w:rFonts w:eastAsia="黑体"/>
        </w:rPr>
      </w:pPr>
      <w:bookmarkStart w:id="84" w:name="_Toc15668"/>
      <w:r>
        <w:rPr>
          <w:rFonts w:eastAsia="黑体"/>
        </w:rPr>
        <w:t>第二节 规划实施</w:t>
      </w:r>
      <w:bookmarkEnd w:id="84"/>
    </w:p>
    <w:p w14:paraId="1162993C">
      <w:pPr>
        <w:keepNext/>
        <w:numPr>
          <w:ilvl w:val="0"/>
          <w:numId w:val="1"/>
        </w:numPr>
        <w:spacing w:before="156" w:beforeLines="50" w:after="156" w:afterLines="50"/>
        <w:jc w:val="both"/>
        <w:outlineLvl w:val="2"/>
        <w:rPr>
          <w:rFonts w:eastAsia="楷体_GB2312"/>
          <w:bCs/>
          <w:kern w:val="0"/>
        </w:rPr>
      </w:pPr>
      <w:r>
        <w:rPr>
          <w:rFonts w:eastAsia="楷体_GB2312"/>
          <w:bCs/>
          <w:kern w:val="0"/>
        </w:rPr>
        <w:t>近期重点建设项目</w:t>
      </w:r>
    </w:p>
    <w:p w14:paraId="14CC46EE">
      <w:pPr>
        <w:ind w:firstLine="640" w:firstLineChars="200"/>
        <w:jc w:val="both"/>
        <w:rPr>
          <w:rFonts w:eastAsia="仿宋_GB2312"/>
        </w:rPr>
      </w:pPr>
      <w:r>
        <w:rPr>
          <w:rFonts w:eastAsia="仿宋_GB2312"/>
        </w:rPr>
        <w:t>编制城市更新、土地整治、生态修复、基础设施、公共服务设施和防洪排涝工程等重大项目清单，提出资金保障方案与实施支撑政策，对近期实施项目库做出统筹安排和行动计划。</w:t>
      </w:r>
    </w:p>
    <w:p w14:paraId="767B1FB2">
      <w:pPr>
        <w:ind w:firstLine="640" w:firstLineChars="200"/>
        <w:jc w:val="both"/>
        <w:rPr>
          <w:rFonts w:eastAsia="仿宋_GB2312"/>
        </w:rPr>
      </w:pPr>
      <w:r>
        <w:rPr>
          <w:rFonts w:eastAsia="仿宋_GB2312"/>
        </w:rPr>
        <w:t>根据不同发展时期，提出分期实施目标、重点任务和发展时序，编制重大项目清单。</w:t>
      </w:r>
    </w:p>
    <w:p w14:paraId="76D40F7D">
      <w:pPr>
        <w:keepNext/>
        <w:numPr>
          <w:ilvl w:val="0"/>
          <w:numId w:val="1"/>
        </w:numPr>
        <w:spacing w:before="156" w:beforeLines="50" w:after="156" w:afterLines="50"/>
        <w:jc w:val="both"/>
        <w:outlineLvl w:val="2"/>
        <w:rPr>
          <w:rFonts w:eastAsia="楷体_GB2312"/>
          <w:bCs/>
          <w:kern w:val="0"/>
        </w:rPr>
      </w:pPr>
      <w:r>
        <w:rPr>
          <w:rFonts w:eastAsia="楷体_GB2312"/>
          <w:bCs/>
          <w:kern w:val="0"/>
        </w:rPr>
        <w:t>实施保障</w:t>
      </w:r>
    </w:p>
    <w:p w14:paraId="6FA0FCA3">
      <w:pPr>
        <w:ind w:firstLine="640" w:firstLineChars="200"/>
        <w:jc w:val="both"/>
        <w:rPr>
          <w:rFonts w:eastAsia="仿宋_GB2312"/>
        </w:rPr>
      </w:pPr>
      <w:r>
        <w:rPr>
          <w:rFonts w:eastAsia="仿宋_GB2312"/>
        </w:rPr>
        <w:t>全域范围内的一切城乡建设活动必须严格遵守本规划。全域范围内的所有单位必须严格遵循本规划，努力把城镇建设好，管理好。各部门单位及行政管理人员都必须熟悉和掌握本规划、遵守和服从本规划。</w:t>
      </w:r>
    </w:p>
    <w:p w14:paraId="7A388DE5">
      <w:pPr>
        <w:ind w:firstLine="640" w:firstLineChars="200"/>
        <w:jc w:val="both"/>
        <w:rPr>
          <w:rFonts w:eastAsia="仿宋_GB2312"/>
        </w:rPr>
      </w:pPr>
      <w:r>
        <w:rPr>
          <w:rFonts w:eastAsia="仿宋_GB2312"/>
        </w:rPr>
        <w:t>进一步深化规划，在本规划指导下，加强控制性详细规划、修建性详细规划、城市设计和近期建设规划的编制和管理，指导村庄规划，经规划行政主管部门审查，报人民政府批准后，纳入统一管理。进一步完善规划编制及管理程序，努力提高规划设计和规划管理质量，加强对各级规划工作的领导。</w:t>
      </w:r>
    </w:p>
    <w:p w14:paraId="70781D3C">
      <w:pPr>
        <w:ind w:firstLine="640" w:firstLineChars="200"/>
        <w:jc w:val="both"/>
        <w:rPr>
          <w:rFonts w:eastAsia="仿宋_GB2312"/>
        </w:rPr>
      </w:pPr>
      <w:r>
        <w:rPr>
          <w:rFonts w:eastAsia="仿宋_GB2312"/>
        </w:rPr>
        <w:t>本规划中确定的铁路、公路、道路、绿地、输配电设施及输电线路走廊、通信设施、河道、环境卫生设施等基础设施和学校、医院、文体、科技等公共服务设施的用地以及其他依法需要保护的用地，禁止擅自改变用途。</w:t>
      </w:r>
    </w:p>
    <w:p w14:paraId="79A384A5">
      <w:pPr>
        <w:ind w:firstLine="640" w:firstLineChars="200"/>
        <w:jc w:val="both"/>
        <w:rPr>
          <w:rFonts w:eastAsia="仿宋_GB2312"/>
        </w:rPr>
      </w:pPr>
      <w:r>
        <w:rPr>
          <w:rFonts w:eastAsia="仿宋_GB2312"/>
        </w:rPr>
        <w:t>城镇建设要量力而行，突出重点，逐步实施，以局部带动整体，逐步建设成美丽的生态乡村。贯彻落实总体规划的战略</w:t>
      </w:r>
      <w:r>
        <w:rPr>
          <w:rFonts w:hint="eastAsia" w:eastAsia="仿宋_GB2312"/>
        </w:rPr>
        <w:t>部署</w:t>
      </w:r>
      <w:r>
        <w:rPr>
          <w:rFonts w:eastAsia="仿宋_GB2312"/>
        </w:rPr>
        <w:t>，为改善并创造良好的乡村生活、生产和投资环境起到超前服务作用。</w:t>
      </w:r>
    </w:p>
    <w:p w14:paraId="39F2B35A">
      <w:pPr>
        <w:ind w:firstLine="640" w:firstLineChars="200"/>
        <w:jc w:val="both"/>
        <w:rPr>
          <w:rFonts w:eastAsia="仿宋_GB2312"/>
        </w:rPr>
      </w:pPr>
      <w:r>
        <w:rPr>
          <w:rFonts w:eastAsia="仿宋_GB2312"/>
        </w:rPr>
        <w:t>城乡建设和发展，应当切实保护林地、城镇公共绿地、广场等生态用地和城镇公共空间，任何单位和个人不得改变其用地性质。</w:t>
      </w:r>
    </w:p>
    <w:p w14:paraId="10D35CFC">
      <w:pPr>
        <w:ind w:firstLine="640" w:firstLineChars="200"/>
        <w:jc w:val="both"/>
        <w:rPr>
          <w:rFonts w:eastAsia="仿宋_GB2312"/>
        </w:rPr>
      </w:pPr>
      <w:r>
        <w:rPr>
          <w:rFonts w:eastAsia="仿宋_GB2312"/>
        </w:rPr>
        <w:t>机制创新，市场运作，建设有特色小城镇建设要坚持政府引导、企业主体、市场化运作的理念，政府要在规划编制、宣传推介等方面发挥积极作用，鼓励和支持企业参与小城镇建设和发展，充分发挥市场在资源配置中的决定性作用，着力深化体制机制改革，激发创业创新活力。</w:t>
      </w:r>
    </w:p>
    <w:p w14:paraId="4C004FEC">
      <w:pPr>
        <w:ind w:firstLine="640" w:firstLineChars="200"/>
        <w:jc w:val="both"/>
        <w:rPr>
          <w:rFonts w:eastAsia="仿宋_GB2312"/>
        </w:rPr>
      </w:pPr>
      <w:r>
        <w:rPr>
          <w:rFonts w:eastAsia="仿宋_GB2312"/>
        </w:rPr>
        <w:t>吸引多元主体参与小镇建设和发展。特色突出、发展潜力大的特色小镇越来越受到战略投资者的青睐。战略投资者对小镇进行统筹规划和建设，可以有效防止小镇建设过程中的碎片化，因此，要尽可能地吸引战略投资者对小镇进行统一规划和开发。同时也积极吸引多元主体参与小镇建设，发挥多元主体参与小镇建设的积极性。</w:t>
      </w:r>
    </w:p>
    <w:p w14:paraId="2D06A289">
      <w:pPr>
        <w:ind w:firstLine="640" w:firstLineChars="200"/>
        <w:jc w:val="both"/>
        <w:rPr>
          <w:rFonts w:eastAsia="仿宋_GB2312"/>
        </w:rPr>
      </w:pPr>
      <w:r>
        <w:rPr>
          <w:rFonts w:eastAsia="仿宋_GB2312"/>
        </w:rPr>
        <w:t>充分考虑防灾减灾、人民防空和通信等需要，适应经济和技术发展水平，统筹合理开发城镇地下空间。</w:t>
      </w:r>
    </w:p>
    <w:p w14:paraId="77F007A8">
      <w:pPr>
        <w:ind w:firstLine="640" w:firstLineChars="200"/>
        <w:jc w:val="both"/>
        <w:rPr>
          <w:rFonts w:eastAsia="仿宋_GB2312"/>
        </w:rPr>
      </w:pPr>
      <w:r>
        <w:rPr>
          <w:rFonts w:eastAsia="仿宋_GB2312"/>
        </w:rPr>
        <w:t>保证城镇防灾设施、防灾通道和避难场所用</w:t>
      </w:r>
      <w:r>
        <w:rPr>
          <w:rFonts w:hint="eastAsia" w:eastAsia="仿宋_GB2312"/>
        </w:rPr>
        <w:t>地</w:t>
      </w:r>
      <w:r>
        <w:rPr>
          <w:rFonts w:eastAsia="仿宋_GB2312"/>
        </w:rPr>
        <w:t>和安全，确保防灾避难系统的正常运转。</w:t>
      </w:r>
    </w:p>
    <w:p w14:paraId="6EC3FF31">
      <w:pPr>
        <w:ind w:firstLine="640" w:firstLineChars="200"/>
        <w:jc w:val="both"/>
        <w:rPr>
          <w:rFonts w:eastAsia="仿宋_GB2312"/>
        </w:rPr>
      </w:pPr>
      <w:r>
        <w:rPr>
          <w:rFonts w:hint="eastAsia" w:eastAsia="仿宋_GB2312"/>
        </w:rPr>
        <w:t>依据</w:t>
      </w:r>
      <w:r>
        <w:rPr>
          <w:rFonts w:eastAsia="仿宋_GB2312"/>
        </w:rPr>
        <w:t>《中华人民共和国城乡规划法》《中华人民共和国土地管理法》等法律法规的规定，定期组织乡镇国土空间总体规划的实施评估。广泛深入宣传本规划，增强各级领导和全镇人民的</w:t>
      </w:r>
      <w:r>
        <w:rPr>
          <w:rFonts w:hint="eastAsia" w:eastAsia="仿宋_GB2312"/>
        </w:rPr>
        <w:t>法治</w:t>
      </w:r>
      <w:r>
        <w:rPr>
          <w:rFonts w:eastAsia="仿宋_GB2312"/>
        </w:rPr>
        <w:t>观念和规划意识。并根据本规划的各项规定和要求，依法进行城乡规划、建设和管理，严格查处违法占地和违法建设行为，保证本规划的落实。</w:t>
      </w:r>
    </w:p>
    <w:p w14:paraId="7D61E828">
      <w:pPr>
        <w:pStyle w:val="2"/>
      </w:pPr>
      <w:r>
        <w:br w:type="page"/>
      </w:r>
    </w:p>
    <w:p w14:paraId="5C647628">
      <w:pPr>
        <w:keepNext/>
        <w:spacing w:before="156" w:beforeLines="50" w:after="156" w:afterLines="50"/>
        <w:outlineLvl w:val="0"/>
        <w:rPr>
          <w:bCs/>
          <w:sz w:val="36"/>
          <w:szCs w:val="36"/>
        </w:rPr>
      </w:pPr>
      <w:bookmarkStart w:id="85" w:name="_Toc21246"/>
      <w:r>
        <w:rPr>
          <w:bCs/>
          <w:sz w:val="36"/>
          <w:szCs w:val="36"/>
        </w:rPr>
        <w:t>第十章 村庄“通则式”规划管理规定</w:t>
      </w:r>
      <w:bookmarkEnd w:id="85"/>
    </w:p>
    <w:p w14:paraId="46A60A72">
      <w:pPr>
        <w:ind w:firstLine="640" w:firstLineChars="200"/>
        <w:jc w:val="both"/>
        <w:rPr>
          <w:rFonts w:ascii="Times New Roman" w:hAnsi="Times New Roman" w:cs="Times New Roman"/>
          <w:b w:val="0"/>
          <w:sz w:val="32"/>
          <w:szCs w:val="32"/>
        </w:rPr>
      </w:pPr>
      <w:r>
        <w:rPr>
          <w:rFonts w:eastAsia="仿宋_GB2312"/>
        </w:rPr>
        <w:t>村庄</w:t>
      </w:r>
      <w:r>
        <w:rPr>
          <w:rFonts w:hint="eastAsia" w:eastAsia="仿宋_GB2312"/>
        </w:rPr>
        <w:t>“</w:t>
      </w:r>
      <w:r>
        <w:rPr>
          <w:rFonts w:eastAsia="仿宋_GB2312"/>
        </w:rPr>
        <w:t>通则式</w:t>
      </w:r>
      <w:r>
        <w:rPr>
          <w:rFonts w:hint="eastAsia" w:eastAsia="仿宋_GB2312"/>
        </w:rPr>
        <w:t>”</w:t>
      </w:r>
      <w:r>
        <w:rPr>
          <w:rFonts w:eastAsia="仿宋_GB2312"/>
        </w:rPr>
        <w:t>规划管理规定适用于</w:t>
      </w:r>
      <w:r>
        <w:rPr>
          <w:rFonts w:hint="eastAsia" w:eastAsia="仿宋_GB2312"/>
        </w:rPr>
        <w:t>桦川县乡镇内未编制村庄规划的行政村，包括</w:t>
      </w:r>
      <w:r>
        <w:rPr>
          <w:rFonts w:eastAsia="仿宋_GB2312"/>
        </w:rPr>
        <w:t>城镇开发边界外暂不编制村庄规划的村庄</w:t>
      </w:r>
      <w:r>
        <w:rPr>
          <w:rFonts w:hint="eastAsia" w:eastAsia="仿宋_GB2312"/>
        </w:rPr>
        <w:t>（含镇政府驻地村庄）以及城镇开发边界内（主要为镇政府驻地）未明确城镇化任务的村庄。</w:t>
      </w:r>
      <w:r>
        <w:rPr>
          <w:rFonts w:eastAsia="仿宋_GB2312"/>
        </w:rPr>
        <w:t>村庄建设项目的规划管理</w:t>
      </w:r>
      <w:r>
        <w:rPr>
          <w:rFonts w:hint="eastAsia" w:eastAsia="仿宋_GB2312"/>
        </w:rPr>
        <w:t>，</w:t>
      </w:r>
      <w:r>
        <w:rPr>
          <w:rFonts w:eastAsia="仿宋_GB2312"/>
        </w:rPr>
        <w:t>主要包括宅</w:t>
      </w:r>
      <w:r>
        <w:rPr>
          <w:rFonts w:hint="eastAsia" w:eastAsia="仿宋_GB2312"/>
        </w:rPr>
        <w:t>基</w:t>
      </w:r>
      <w:r>
        <w:rPr>
          <w:rFonts w:eastAsia="仿宋_GB2312"/>
        </w:rPr>
        <w:t>地、</w:t>
      </w:r>
      <w:r>
        <w:rPr>
          <w:rFonts w:hint="eastAsia" w:eastAsia="仿宋_GB2312"/>
        </w:rPr>
        <w:t>公共服务</w:t>
      </w:r>
      <w:r>
        <w:rPr>
          <w:rFonts w:eastAsia="仿宋_GB2312"/>
        </w:rPr>
        <w:t>设施用地、乡村产业用地</w:t>
      </w:r>
      <w:r>
        <w:rPr>
          <w:rFonts w:hint="eastAsia" w:eastAsia="仿宋_GB2312"/>
        </w:rPr>
        <w:t>、基础设施用地</w:t>
      </w:r>
      <w:r>
        <w:rPr>
          <w:rFonts w:eastAsia="仿宋_GB2312"/>
        </w:rPr>
        <w:t>等各类项目的新建、改建、扩建。</w:t>
      </w:r>
      <w:r>
        <w:rPr>
          <w:rFonts w:hint="eastAsia" w:eastAsia="仿宋_GB2312"/>
        </w:rPr>
        <w:t>已编制并</w:t>
      </w:r>
      <w:r>
        <w:rPr>
          <w:rFonts w:eastAsia="仿宋_GB2312"/>
        </w:rPr>
        <w:t>依法批准详细规划（村庄规划）</w:t>
      </w:r>
      <w:r>
        <w:rPr>
          <w:rFonts w:hint="eastAsia" w:eastAsia="仿宋_GB2312"/>
        </w:rPr>
        <w:t>的，以</w:t>
      </w:r>
      <w:r>
        <w:rPr>
          <w:rFonts w:eastAsia="仿宋_GB2312"/>
        </w:rPr>
        <w:t>详细规划（村庄规划）</w:t>
      </w:r>
      <w:r>
        <w:rPr>
          <w:rFonts w:hint="eastAsia" w:eastAsia="仿宋_GB2312"/>
        </w:rPr>
        <w:t>为依据。城镇开发边界内及边界处已明确城镇化任务的村庄，可纳入城镇控制性详细规划统筹编制。</w:t>
      </w:r>
    </w:p>
    <w:sectPr>
      <w:footerReference r:id="rId8" w:type="default"/>
      <w:pgSz w:w="11906" w:h="16838"/>
      <w:pgMar w:top="1440" w:right="1797" w:bottom="1440" w:left="1797" w:header="851" w:footer="992" w:gutter="0"/>
      <w:pgNumType w:start="1"/>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9389A">
    <w:pPr>
      <w:tabs>
        <w:tab w:val="center" w:pos="4153"/>
        <w:tab w:val="right" w:pos="8306"/>
      </w:tabs>
      <w:snapToGrid w:val="0"/>
      <w:jc w:val="left"/>
      <w:rPr>
        <w:sz w:val="18"/>
      </w:rPr>
    </w:pPr>
    <w:r>
      <w:rPr>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CCE0D">
    <w:pPr>
      <w:pStyle w:val="10"/>
      <w:rPr>
        <w:sz w:val="21"/>
        <w:szCs w:val="21"/>
      </w:rP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44A37">
    <w:pPr>
      <w:pStyle w:val="10"/>
      <w:rPr>
        <w:sz w:val="21"/>
        <w:szCs w:val="21"/>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064574">
                          <w:pPr>
                            <w:pStyle w:val="10"/>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F064574">
                    <w:pPr>
                      <w:pStyle w:val="10"/>
                    </w:pPr>
                    <w:r>
                      <w:fldChar w:fldCharType="begin"/>
                    </w:r>
                    <w:r>
                      <w:instrText xml:space="preserve"> PAGE  \* MERGEFORMAT </w:instrText>
                    </w:r>
                    <w:r>
                      <w:fldChar w:fldCharType="separate"/>
                    </w:r>
                    <w:r>
                      <w:t>i</w:t>
                    </w:r>
                    <w:r>
                      <w:fldChar w:fldCharType="end"/>
                    </w:r>
                  </w:p>
                </w:txbxContent>
              </v:textbox>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C5CFB">
    <w:pPr>
      <w:pStyle w:val="10"/>
      <w:rPr>
        <w:sz w:val="21"/>
        <w:szCs w:val="21"/>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DBCA6">
                          <w:pPr>
                            <w:pStyle w:val="10"/>
                          </w:pPr>
                          <w:r>
                            <w:fldChar w:fldCharType="begin"/>
                          </w:r>
                          <w:r>
                            <w:instrText xml:space="preserve"> PAGE  \* MERGEFORMAT </w:instrText>
                          </w:r>
                          <w:r>
                            <w:fldChar w:fldCharType="separate"/>
                          </w:r>
                          <w:r>
                            <w:t>17</w:t>
                          </w:r>
                          <w: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6BDBCA6">
                    <w:pPr>
                      <w:pStyle w:val="10"/>
                    </w:pPr>
                    <w:r>
                      <w:fldChar w:fldCharType="begin"/>
                    </w:r>
                    <w:r>
                      <w:instrText xml:space="preserve"> PAGE  \* MERGEFORMAT </w:instrText>
                    </w:r>
                    <w:r>
                      <w:fldChar w:fldCharType="separate"/>
                    </w:r>
                    <w:r>
                      <w:t>17</w:t>
                    </w:r>
                    <w:r>
                      <w:fldChar w:fldCharType="end"/>
                    </w:r>
                    <w:r>
                      <w:rPr>
                        <w:rFonts w:hint="eastAsia"/>
                      </w:rPr>
                      <w:t xml:space="preserve">  </w:t>
                    </w:r>
                  </w:p>
                </w:txbxContent>
              </v:textbox>
            </v:shape>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C7E0B8"/>
    <w:multiLevelType w:val="multilevel"/>
    <w:tmpl w:val="A9C7E0B8"/>
    <w:lvl w:ilvl="0" w:tentative="0">
      <w:start w:val="1"/>
      <w:numFmt w:val="decimal"/>
      <w:lvlText w:val="第%1条"/>
      <w:lvlJc w:val="left"/>
      <w:pPr>
        <w:tabs>
          <w:tab w:val="left" w:pos="0"/>
        </w:tabs>
        <w:ind w:left="0" w:firstLine="0"/>
      </w:pPr>
      <w:rPr>
        <w:rFonts w:hint="default" w:ascii="Times New Roman" w:hAnsi="Times New Roman" w:eastAsia="楷体_GB2312" w:cs="Times New Roman"/>
        <w:b w:val="0"/>
        <w:bCs w:val="0"/>
        <w:color w:val="auto"/>
        <w:sz w:val="32"/>
        <w:szCs w:val="32"/>
        <w:lang w:val="en-US"/>
      </w:rPr>
    </w:lvl>
    <w:lvl w:ilvl="1" w:tentative="0">
      <w:start w:val="2"/>
      <w:numFmt w:val="decimal"/>
      <w:lvlText w:val="%2、"/>
      <w:lvlJc w:val="left"/>
      <w:pPr>
        <w:ind w:left="1140" w:hanging="720"/>
      </w:pPr>
      <w:rPr>
        <w:rFonts w:hint="default"/>
        <w:b/>
      </w:rPr>
    </w:lvl>
    <w:lvl w:ilvl="2" w:tentative="0">
      <w:start w:val="1"/>
      <w:numFmt w:val="decimal"/>
      <w:lvlText w:val="%3."/>
      <w:lvlJc w:val="left"/>
      <w:pPr>
        <w:ind w:left="1260" w:hanging="420"/>
      </w:pPr>
      <w:rPr>
        <w:rFonts w:hint="default"/>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iNTMzODlkMGZkNDBkZGE3ZTc0MTRkYWQ5YzkxOWUifQ=="/>
  </w:docVars>
  <w:rsids>
    <w:rsidRoot w:val="003764E8"/>
    <w:rsid w:val="00000DD3"/>
    <w:rsid w:val="00001992"/>
    <w:rsid w:val="00003196"/>
    <w:rsid w:val="00003589"/>
    <w:rsid w:val="00005D77"/>
    <w:rsid w:val="000062E6"/>
    <w:rsid w:val="000063DA"/>
    <w:rsid w:val="00006A36"/>
    <w:rsid w:val="000101F7"/>
    <w:rsid w:val="00012E62"/>
    <w:rsid w:val="00013145"/>
    <w:rsid w:val="00013DAA"/>
    <w:rsid w:val="0001451C"/>
    <w:rsid w:val="0001554D"/>
    <w:rsid w:val="000165DB"/>
    <w:rsid w:val="00017E62"/>
    <w:rsid w:val="00023F35"/>
    <w:rsid w:val="00024849"/>
    <w:rsid w:val="000309C7"/>
    <w:rsid w:val="00032446"/>
    <w:rsid w:val="0003275E"/>
    <w:rsid w:val="00032DB8"/>
    <w:rsid w:val="00035EF2"/>
    <w:rsid w:val="000361E0"/>
    <w:rsid w:val="00036AFD"/>
    <w:rsid w:val="000370FC"/>
    <w:rsid w:val="00037C76"/>
    <w:rsid w:val="000412C2"/>
    <w:rsid w:val="00042B5F"/>
    <w:rsid w:val="00042DBD"/>
    <w:rsid w:val="00045072"/>
    <w:rsid w:val="00046643"/>
    <w:rsid w:val="00050354"/>
    <w:rsid w:val="00050AB0"/>
    <w:rsid w:val="00050B99"/>
    <w:rsid w:val="0005262A"/>
    <w:rsid w:val="00054622"/>
    <w:rsid w:val="0005472B"/>
    <w:rsid w:val="000557DC"/>
    <w:rsid w:val="00060F80"/>
    <w:rsid w:val="000620A3"/>
    <w:rsid w:val="00062BFF"/>
    <w:rsid w:val="000654F9"/>
    <w:rsid w:val="00066CAD"/>
    <w:rsid w:val="00067479"/>
    <w:rsid w:val="00074D46"/>
    <w:rsid w:val="000752CA"/>
    <w:rsid w:val="00076190"/>
    <w:rsid w:val="0007679F"/>
    <w:rsid w:val="0007692A"/>
    <w:rsid w:val="00080E8C"/>
    <w:rsid w:val="00081702"/>
    <w:rsid w:val="00082F8A"/>
    <w:rsid w:val="000833EA"/>
    <w:rsid w:val="000835BF"/>
    <w:rsid w:val="00086BE2"/>
    <w:rsid w:val="000876D9"/>
    <w:rsid w:val="0009015B"/>
    <w:rsid w:val="00090773"/>
    <w:rsid w:val="000927E0"/>
    <w:rsid w:val="0009321B"/>
    <w:rsid w:val="00094619"/>
    <w:rsid w:val="00095788"/>
    <w:rsid w:val="000A0A0A"/>
    <w:rsid w:val="000A0C60"/>
    <w:rsid w:val="000A0CE6"/>
    <w:rsid w:val="000A1AA1"/>
    <w:rsid w:val="000A2451"/>
    <w:rsid w:val="000A658C"/>
    <w:rsid w:val="000A7515"/>
    <w:rsid w:val="000B036A"/>
    <w:rsid w:val="000B0DFC"/>
    <w:rsid w:val="000B37FA"/>
    <w:rsid w:val="000B3AE4"/>
    <w:rsid w:val="000B4AFF"/>
    <w:rsid w:val="000B73E7"/>
    <w:rsid w:val="000C1DB9"/>
    <w:rsid w:val="000C295D"/>
    <w:rsid w:val="000C43F3"/>
    <w:rsid w:val="000C51DE"/>
    <w:rsid w:val="000C51E7"/>
    <w:rsid w:val="000D172C"/>
    <w:rsid w:val="000D232A"/>
    <w:rsid w:val="000D3978"/>
    <w:rsid w:val="000D4CCB"/>
    <w:rsid w:val="000D6DD0"/>
    <w:rsid w:val="000D746A"/>
    <w:rsid w:val="000E1CFA"/>
    <w:rsid w:val="000E44A3"/>
    <w:rsid w:val="000E6AA8"/>
    <w:rsid w:val="000E6FE5"/>
    <w:rsid w:val="000E7F4F"/>
    <w:rsid w:val="000F3BBB"/>
    <w:rsid w:val="000F3E71"/>
    <w:rsid w:val="00100F08"/>
    <w:rsid w:val="00103FB4"/>
    <w:rsid w:val="001058B1"/>
    <w:rsid w:val="00107B7D"/>
    <w:rsid w:val="00110747"/>
    <w:rsid w:val="001109D6"/>
    <w:rsid w:val="00110BF1"/>
    <w:rsid w:val="00112A47"/>
    <w:rsid w:val="00113FE1"/>
    <w:rsid w:val="001202CE"/>
    <w:rsid w:val="001211CF"/>
    <w:rsid w:val="00121C4F"/>
    <w:rsid w:val="00122D04"/>
    <w:rsid w:val="00123C98"/>
    <w:rsid w:val="001254E7"/>
    <w:rsid w:val="001269FB"/>
    <w:rsid w:val="00126C9C"/>
    <w:rsid w:val="0013387C"/>
    <w:rsid w:val="001339FC"/>
    <w:rsid w:val="00133EE2"/>
    <w:rsid w:val="00134570"/>
    <w:rsid w:val="0013475B"/>
    <w:rsid w:val="00134B6C"/>
    <w:rsid w:val="00135C3F"/>
    <w:rsid w:val="00140547"/>
    <w:rsid w:val="001440C6"/>
    <w:rsid w:val="00145F65"/>
    <w:rsid w:val="00146898"/>
    <w:rsid w:val="0015068F"/>
    <w:rsid w:val="00150AFB"/>
    <w:rsid w:val="00152D6D"/>
    <w:rsid w:val="00153317"/>
    <w:rsid w:val="00154406"/>
    <w:rsid w:val="00155B58"/>
    <w:rsid w:val="0015688C"/>
    <w:rsid w:val="00156BB0"/>
    <w:rsid w:val="00157AFD"/>
    <w:rsid w:val="00160967"/>
    <w:rsid w:val="00162D95"/>
    <w:rsid w:val="001642D3"/>
    <w:rsid w:val="00165316"/>
    <w:rsid w:val="00165FB4"/>
    <w:rsid w:val="00165FC0"/>
    <w:rsid w:val="00167D8A"/>
    <w:rsid w:val="00170463"/>
    <w:rsid w:val="00171611"/>
    <w:rsid w:val="00172BBA"/>
    <w:rsid w:val="0017334C"/>
    <w:rsid w:val="00177018"/>
    <w:rsid w:val="001778BE"/>
    <w:rsid w:val="001778FC"/>
    <w:rsid w:val="00180922"/>
    <w:rsid w:val="00180BCE"/>
    <w:rsid w:val="0018559E"/>
    <w:rsid w:val="0018708D"/>
    <w:rsid w:val="00193893"/>
    <w:rsid w:val="001939A7"/>
    <w:rsid w:val="00194C42"/>
    <w:rsid w:val="0019658B"/>
    <w:rsid w:val="001A08AC"/>
    <w:rsid w:val="001A0A69"/>
    <w:rsid w:val="001A31A8"/>
    <w:rsid w:val="001A33CC"/>
    <w:rsid w:val="001A46AA"/>
    <w:rsid w:val="001A48F1"/>
    <w:rsid w:val="001A4EDC"/>
    <w:rsid w:val="001A4FC3"/>
    <w:rsid w:val="001B1FC4"/>
    <w:rsid w:val="001B32CE"/>
    <w:rsid w:val="001B39AC"/>
    <w:rsid w:val="001B607E"/>
    <w:rsid w:val="001C129F"/>
    <w:rsid w:val="001C2D89"/>
    <w:rsid w:val="001C55EF"/>
    <w:rsid w:val="001D118E"/>
    <w:rsid w:val="001D3DB1"/>
    <w:rsid w:val="001D4A6F"/>
    <w:rsid w:val="001D5F0C"/>
    <w:rsid w:val="001D7D95"/>
    <w:rsid w:val="001E1546"/>
    <w:rsid w:val="001E6414"/>
    <w:rsid w:val="001E6899"/>
    <w:rsid w:val="001E6D03"/>
    <w:rsid w:val="001F1B06"/>
    <w:rsid w:val="001F3CA7"/>
    <w:rsid w:val="001F6A25"/>
    <w:rsid w:val="001F765F"/>
    <w:rsid w:val="00200B4D"/>
    <w:rsid w:val="00202515"/>
    <w:rsid w:val="00202AF1"/>
    <w:rsid w:val="00203ED1"/>
    <w:rsid w:val="00205905"/>
    <w:rsid w:val="002077E6"/>
    <w:rsid w:val="00210991"/>
    <w:rsid w:val="00213E85"/>
    <w:rsid w:val="002140EE"/>
    <w:rsid w:val="00215816"/>
    <w:rsid w:val="00215E63"/>
    <w:rsid w:val="00216CE8"/>
    <w:rsid w:val="00221093"/>
    <w:rsid w:val="00221437"/>
    <w:rsid w:val="002264FF"/>
    <w:rsid w:val="002267EE"/>
    <w:rsid w:val="00232C83"/>
    <w:rsid w:val="002338F1"/>
    <w:rsid w:val="00233D4A"/>
    <w:rsid w:val="00236603"/>
    <w:rsid w:val="002412AA"/>
    <w:rsid w:val="00241E1E"/>
    <w:rsid w:val="00241E75"/>
    <w:rsid w:val="002422A1"/>
    <w:rsid w:val="0024481B"/>
    <w:rsid w:val="00244C5B"/>
    <w:rsid w:val="002478B2"/>
    <w:rsid w:val="00247DA4"/>
    <w:rsid w:val="00250235"/>
    <w:rsid w:val="002525E1"/>
    <w:rsid w:val="002528FF"/>
    <w:rsid w:val="0025396B"/>
    <w:rsid w:val="00256157"/>
    <w:rsid w:val="00256834"/>
    <w:rsid w:val="00257B60"/>
    <w:rsid w:val="0026015B"/>
    <w:rsid w:val="00260C55"/>
    <w:rsid w:val="00261A68"/>
    <w:rsid w:val="00262993"/>
    <w:rsid w:val="00262D6F"/>
    <w:rsid w:val="00264324"/>
    <w:rsid w:val="0026566C"/>
    <w:rsid w:val="00265A5B"/>
    <w:rsid w:val="00266AB6"/>
    <w:rsid w:val="00270200"/>
    <w:rsid w:val="00274616"/>
    <w:rsid w:val="0027470F"/>
    <w:rsid w:val="0027514B"/>
    <w:rsid w:val="002759E4"/>
    <w:rsid w:val="0027723B"/>
    <w:rsid w:val="00280F10"/>
    <w:rsid w:val="00281214"/>
    <w:rsid w:val="00283CCF"/>
    <w:rsid w:val="00284102"/>
    <w:rsid w:val="0028474D"/>
    <w:rsid w:val="00285A47"/>
    <w:rsid w:val="00285C5E"/>
    <w:rsid w:val="00287220"/>
    <w:rsid w:val="00291D96"/>
    <w:rsid w:val="00292226"/>
    <w:rsid w:val="002926FC"/>
    <w:rsid w:val="0029487F"/>
    <w:rsid w:val="00296260"/>
    <w:rsid w:val="002A168F"/>
    <w:rsid w:val="002A1C3D"/>
    <w:rsid w:val="002A7D2A"/>
    <w:rsid w:val="002B0BE4"/>
    <w:rsid w:val="002B213E"/>
    <w:rsid w:val="002B299A"/>
    <w:rsid w:val="002B36B2"/>
    <w:rsid w:val="002B6C42"/>
    <w:rsid w:val="002B71E6"/>
    <w:rsid w:val="002C0037"/>
    <w:rsid w:val="002C2C3F"/>
    <w:rsid w:val="002C3744"/>
    <w:rsid w:val="002C4D82"/>
    <w:rsid w:val="002C6DB6"/>
    <w:rsid w:val="002C74ED"/>
    <w:rsid w:val="002D1FCF"/>
    <w:rsid w:val="002D319A"/>
    <w:rsid w:val="002D46BB"/>
    <w:rsid w:val="002D52CF"/>
    <w:rsid w:val="002D58F7"/>
    <w:rsid w:val="002D76E4"/>
    <w:rsid w:val="002D7F33"/>
    <w:rsid w:val="002E0193"/>
    <w:rsid w:val="002E1BB8"/>
    <w:rsid w:val="002E4144"/>
    <w:rsid w:val="002E526E"/>
    <w:rsid w:val="002E52BC"/>
    <w:rsid w:val="002E5DB5"/>
    <w:rsid w:val="002E6B3B"/>
    <w:rsid w:val="002F1595"/>
    <w:rsid w:val="002F47D1"/>
    <w:rsid w:val="002F512B"/>
    <w:rsid w:val="0030250E"/>
    <w:rsid w:val="00305143"/>
    <w:rsid w:val="00306FE2"/>
    <w:rsid w:val="00314638"/>
    <w:rsid w:val="00315EB3"/>
    <w:rsid w:val="00316B36"/>
    <w:rsid w:val="00317801"/>
    <w:rsid w:val="003200F1"/>
    <w:rsid w:val="003214A7"/>
    <w:rsid w:val="003222B5"/>
    <w:rsid w:val="003244CC"/>
    <w:rsid w:val="00331080"/>
    <w:rsid w:val="0033152B"/>
    <w:rsid w:val="0033438F"/>
    <w:rsid w:val="00334F09"/>
    <w:rsid w:val="00336B2F"/>
    <w:rsid w:val="0033729B"/>
    <w:rsid w:val="00343CCE"/>
    <w:rsid w:val="00344C30"/>
    <w:rsid w:val="00344C87"/>
    <w:rsid w:val="0034535B"/>
    <w:rsid w:val="0034613F"/>
    <w:rsid w:val="00346911"/>
    <w:rsid w:val="003479BD"/>
    <w:rsid w:val="003503B1"/>
    <w:rsid w:val="00351BA3"/>
    <w:rsid w:val="00352653"/>
    <w:rsid w:val="0035462E"/>
    <w:rsid w:val="00355B70"/>
    <w:rsid w:val="00356584"/>
    <w:rsid w:val="00357AE1"/>
    <w:rsid w:val="00357CF8"/>
    <w:rsid w:val="00362384"/>
    <w:rsid w:val="00362A4B"/>
    <w:rsid w:val="00365673"/>
    <w:rsid w:val="0036587F"/>
    <w:rsid w:val="003672BA"/>
    <w:rsid w:val="00370489"/>
    <w:rsid w:val="00370F54"/>
    <w:rsid w:val="00371AC8"/>
    <w:rsid w:val="00375653"/>
    <w:rsid w:val="003760F2"/>
    <w:rsid w:val="003764E8"/>
    <w:rsid w:val="00376A8B"/>
    <w:rsid w:val="00376B5E"/>
    <w:rsid w:val="00377403"/>
    <w:rsid w:val="00377E29"/>
    <w:rsid w:val="00381AF2"/>
    <w:rsid w:val="003835FF"/>
    <w:rsid w:val="0038475A"/>
    <w:rsid w:val="003876DB"/>
    <w:rsid w:val="003932D0"/>
    <w:rsid w:val="00394BDF"/>
    <w:rsid w:val="00394CC5"/>
    <w:rsid w:val="0039541A"/>
    <w:rsid w:val="00397A5F"/>
    <w:rsid w:val="003A3456"/>
    <w:rsid w:val="003A43D6"/>
    <w:rsid w:val="003A6409"/>
    <w:rsid w:val="003A7351"/>
    <w:rsid w:val="003A7AF4"/>
    <w:rsid w:val="003A7BF4"/>
    <w:rsid w:val="003B362A"/>
    <w:rsid w:val="003B3DCA"/>
    <w:rsid w:val="003B467E"/>
    <w:rsid w:val="003B4C4E"/>
    <w:rsid w:val="003B6450"/>
    <w:rsid w:val="003B6F69"/>
    <w:rsid w:val="003B7D0D"/>
    <w:rsid w:val="003C033F"/>
    <w:rsid w:val="003C15A9"/>
    <w:rsid w:val="003C1880"/>
    <w:rsid w:val="003C3D07"/>
    <w:rsid w:val="003C4B57"/>
    <w:rsid w:val="003C5A99"/>
    <w:rsid w:val="003D04E3"/>
    <w:rsid w:val="003D5A7C"/>
    <w:rsid w:val="003D7A4A"/>
    <w:rsid w:val="003E0E87"/>
    <w:rsid w:val="003E20C4"/>
    <w:rsid w:val="003E2F8E"/>
    <w:rsid w:val="003E5678"/>
    <w:rsid w:val="003E753D"/>
    <w:rsid w:val="003F05A8"/>
    <w:rsid w:val="003F1664"/>
    <w:rsid w:val="003F33A2"/>
    <w:rsid w:val="003F5314"/>
    <w:rsid w:val="003F58B3"/>
    <w:rsid w:val="003F5FA3"/>
    <w:rsid w:val="003F7D0B"/>
    <w:rsid w:val="004010CA"/>
    <w:rsid w:val="004030B4"/>
    <w:rsid w:val="00403EA1"/>
    <w:rsid w:val="00404821"/>
    <w:rsid w:val="00405CEA"/>
    <w:rsid w:val="00405EF4"/>
    <w:rsid w:val="00406193"/>
    <w:rsid w:val="00407BDA"/>
    <w:rsid w:val="00410F8E"/>
    <w:rsid w:val="00414152"/>
    <w:rsid w:val="00414482"/>
    <w:rsid w:val="004146E7"/>
    <w:rsid w:val="00415BDF"/>
    <w:rsid w:val="00421847"/>
    <w:rsid w:val="00421FF9"/>
    <w:rsid w:val="00422743"/>
    <w:rsid w:val="004234C4"/>
    <w:rsid w:val="0042542D"/>
    <w:rsid w:val="004265E9"/>
    <w:rsid w:val="00430EC2"/>
    <w:rsid w:val="004314A9"/>
    <w:rsid w:val="0043178F"/>
    <w:rsid w:val="00431869"/>
    <w:rsid w:val="00432FCC"/>
    <w:rsid w:val="00433548"/>
    <w:rsid w:val="00434C5A"/>
    <w:rsid w:val="00436B4D"/>
    <w:rsid w:val="0043764B"/>
    <w:rsid w:val="00437C1E"/>
    <w:rsid w:val="00437E54"/>
    <w:rsid w:val="0044305B"/>
    <w:rsid w:val="004440A4"/>
    <w:rsid w:val="0044624D"/>
    <w:rsid w:val="004464FA"/>
    <w:rsid w:val="00446F6C"/>
    <w:rsid w:val="004477E3"/>
    <w:rsid w:val="00447A04"/>
    <w:rsid w:val="00451D55"/>
    <w:rsid w:val="004544C4"/>
    <w:rsid w:val="00455851"/>
    <w:rsid w:val="00455E77"/>
    <w:rsid w:val="00457F21"/>
    <w:rsid w:val="004625C4"/>
    <w:rsid w:val="0046608E"/>
    <w:rsid w:val="004667C0"/>
    <w:rsid w:val="00467320"/>
    <w:rsid w:val="00467B24"/>
    <w:rsid w:val="00470321"/>
    <w:rsid w:val="00473450"/>
    <w:rsid w:val="00474EEC"/>
    <w:rsid w:val="00476C8B"/>
    <w:rsid w:val="004808EB"/>
    <w:rsid w:val="00480F86"/>
    <w:rsid w:val="00481563"/>
    <w:rsid w:val="00481C53"/>
    <w:rsid w:val="004824EE"/>
    <w:rsid w:val="00484C38"/>
    <w:rsid w:val="00485C54"/>
    <w:rsid w:val="0048755C"/>
    <w:rsid w:val="00487AD1"/>
    <w:rsid w:val="0049007A"/>
    <w:rsid w:val="00493184"/>
    <w:rsid w:val="00494386"/>
    <w:rsid w:val="00494A98"/>
    <w:rsid w:val="004956E5"/>
    <w:rsid w:val="00495F67"/>
    <w:rsid w:val="00495FDE"/>
    <w:rsid w:val="004967B6"/>
    <w:rsid w:val="004A0819"/>
    <w:rsid w:val="004A11C2"/>
    <w:rsid w:val="004A1CDA"/>
    <w:rsid w:val="004A3036"/>
    <w:rsid w:val="004A30FC"/>
    <w:rsid w:val="004A4716"/>
    <w:rsid w:val="004A588F"/>
    <w:rsid w:val="004A68FA"/>
    <w:rsid w:val="004A6941"/>
    <w:rsid w:val="004A698B"/>
    <w:rsid w:val="004B4595"/>
    <w:rsid w:val="004B5D8B"/>
    <w:rsid w:val="004B68A2"/>
    <w:rsid w:val="004B7A66"/>
    <w:rsid w:val="004B7ABF"/>
    <w:rsid w:val="004C2457"/>
    <w:rsid w:val="004C2A8E"/>
    <w:rsid w:val="004C3639"/>
    <w:rsid w:val="004C3B42"/>
    <w:rsid w:val="004C4A1A"/>
    <w:rsid w:val="004C4F04"/>
    <w:rsid w:val="004C5351"/>
    <w:rsid w:val="004C5552"/>
    <w:rsid w:val="004D2C7E"/>
    <w:rsid w:val="004D4489"/>
    <w:rsid w:val="004D45BD"/>
    <w:rsid w:val="004D7D56"/>
    <w:rsid w:val="004E1640"/>
    <w:rsid w:val="004E22EC"/>
    <w:rsid w:val="004E33DB"/>
    <w:rsid w:val="004E3414"/>
    <w:rsid w:val="004E4C9A"/>
    <w:rsid w:val="004E5406"/>
    <w:rsid w:val="004E7F6D"/>
    <w:rsid w:val="004F4D36"/>
    <w:rsid w:val="004F626E"/>
    <w:rsid w:val="004F6E88"/>
    <w:rsid w:val="00501550"/>
    <w:rsid w:val="00505D7E"/>
    <w:rsid w:val="0050648A"/>
    <w:rsid w:val="00510A8D"/>
    <w:rsid w:val="005115AA"/>
    <w:rsid w:val="00511FC7"/>
    <w:rsid w:val="00512EDE"/>
    <w:rsid w:val="00514EFF"/>
    <w:rsid w:val="005174FD"/>
    <w:rsid w:val="00520D92"/>
    <w:rsid w:val="00523A1D"/>
    <w:rsid w:val="00523E10"/>
    <w:rsid w:val="00525B1A"/>
    <w:rsid w:val="00530093"/>
    <w:rsid w:val="00532634"/>
    <w:rsid w:val="00536FEE"/>
    <w:rsid w:val="0054141F"/>
    <w:rsid w:val="0054257D"/>
    <w:rsid w:val="00542DDB"/>
    <w:rsid w:val="00543028"/>
    <w:rsid w:val="005449EF"/>
    <w:rsid w:val="00544A6A"/>
    <w:rsid w:val="005468E1"/>
    <w:rsid w:val="00547A46"/>
    <w:rsid w:val="0055012D"/>
    <w:rsid w:val="005525C0"/>
    <w:rsid w:val="00552E76"/>
    <w:rsid w:val="00555C35"/>
    <w:rsid w:val="005566F7"/>
    <w:rsid w:val="0055696A"/>
    <w:rsid w:val="005629BA"/>
    <w:rsid w:val="005629C1"/>
    <w:rsid w:val="005630A2"/>
    <w:rsid w:val="0056424F"/>
    <w:rsid w:val="0056441D"/>
    <w:rsid w:val="00564C17"/>
    <w:rsid w:val="00567054"/>
    <w:rsid w:val="00567D86"/>
    <w:rsid w:val="005711CE"/>
    <w:rsid w:val="005726B6"/>
    <w:rsid w:val="00572DE4"/>
    <w:rsid w:val="00596488"/>
    <w:rsid w:val="00596EAC"/>
    <w:rsid w:val="005A0C67"/>
    <w:rsid w:val="005A240B"/>
    <w:rsid w:val="005A2463"/>
    <w:rsid w:val="005A3241"/>
    <w:rsid w:val="005A3379"/>
    <w:rsid w:val="005A363E"/>
    <w:rsid w:val="005A658D"/>
    <w:rsid w:val="005A7893"/>
    <w:rsid w:val="005A7BF4"/>
    <w:rsid w:val="005B374F"/>
    <w:rsid w:val="005B38DA"/>
    <w:rsid w:val="005B69BE"/>
    <w:rsid w:val="005B6F02"/>
    <w:rsid w:val="005B754C"/>
    <w:rsid w:val="005B7EC2"/>
    <w:rsid w:val="005C02B3"/>
    <w:rsid w:val="005C0458"/>
    <w:rsid w:val="005C382D"/>
    <w:rsid w:val="005C4369"/>
    <w:rsid w:val="005C680C"/>
    <w:rsid w:val="005C76C3"/>
    <w:rsid w:val="005D0B23"/>
    <w:rsid w:val="005D1647"/>
    <w:rsid w:val="005D342B"/>
    <w:rsid w:val="005D37B6"/>
    <w:rsid w:val="005D3BC4"/>
    <w:rsid w:val="005D4553"/>
    <w:rsid w:val="005D5ADF"/>
    <w:rsid w:val="005D5C23"/>
    <w:rsid w:val="005D6413"/>
    <w:rsid w:val="005D725A"/>
    <w:rsid w:val="005D7EFD"/>
    <w:rsid w:val="005E1FCE"/>
    <w:rsid w:val="005E2398"/>
    <w:rsid w:val="005E3A14"/>
    <w:rsid w:val="005E47BA"/>
    <w:rsid w:val="005E5946"/>
    <w:rsid w:val="005E68AC"/>
    <w:rsid w:val="005E6EF8"/>
    <w:rsid w:val="005E7FF3"/>
    <w:rsid w:val="005F12F4"/>
    <w:rsid w:val="005F1D4D"/>
    <w:rsid w:val="005F3DA0"/>
    <w:rsid w:val="005F5566"/>
    <w:rsid w:val="005F60AF"/>
    <w:rsid w:val="005F6633"/>
    <w:rsid w:val="005F7201"/>
    <w:rsid w:val="0060294F"/>
    <w:rsid w:val="00603776"/>
    <w:rsid w:val="0060386D"/>
    <w:rsid w:val="00605947"/>
    <w:rsid w:val="00605CA8"/>
    <w:rsid w:val="00606E20"/>
    <w:rsid w:val="006071BA"/>
    <w:rsid w:val="006122F7"/>
    <w:rsid w:val="00613477"/>
    <w:rsid w:val="0061397E"/>
    <w:rsid w:val="006143A4"/>
    <w:rsid w:val="0061616D"/>
    <w:rsid w:val="006165F5"/>
    <w:rsid w:val="006166B5"/>
    <w:rsid w:val="00617290"/>
    <w:rsid w:val="0062232F"/>
    <w:rsid w:val="00623C02"/>
    <w:rsid w:val="00624754"/>
    <w:rsid w:val="00625D9D"/>
    <w:rsid w:val="00625E81"/>
    <w:rsid w:val="00633187"/>
    <w:rsid w:val="00634F6D"/>
    <w:rsid w:val="00636AEA"/>
    <w:rsid w:val="00637362"/>
    <w:rsid w:val="00637AA9"/>
    <w:rsid w:val="00637E1B"/>
    <w:rsid w:val="006401E9"/>
    <w:rsid w:val="00640857"/>
    <w:rsid w:val="0064102A"/>
    <w:rsid w:val="00641E17"/>
    <w:rsid w:val="006420ED"/>
    <w:rsid w:val="00642FC4"/>
    <w:rsid w:val="00643B86"/>
    <w:rsid w:val="006442FD"/>
    <w:rsid w:val="00644552"/>
    <w:rsid w:val="006466DB"/>
    <w:rsid w:val="00647E4F"/>
    <w:rsid w:val="00650496"/>
    <w:rsid w:val="006518EA"/>
    <w:rsid w:val="00653259"/>
    <w:rsid w:val="00653735"/>
    <w:rsid w:val="0065585D"/>
    <w:rsid w:val="00655EF0"/>
    <w:rsid w:val="006572A3"/>
    <w:rsid w:val="00657E12"/>
    <w:rsid w:val="00663F74"/>
    <w:rsid w:val="00664C4B"/>
    <w:rsid w:val="006676D1"/>
    <w:rsid w:val="006679AB"/>
    <w:rsid w:val="00671DD2"/>
    <w:rsid w:val="006734C1"/>
    <w:rsid w:val="006743C8"/>
    <w:rsid w:val="00676BB4"/>
    <w:rsid w:val="00676C82"/>
    <w:rsid w:val="006800F7"/>
    <w:rsid w:val="00680FA5"/>
    <w:rsid w:val="006833C9"/>
    <w:rsid w:val="006848F2"/>
    <w:rsid w:val="00687620"/>
    <w:rsid w:val="00687AAE"/>
    <w:rsid w:val="006906C9"/>
    <w:rsid w:val="0069166E"/>
    <w:rsid w:val="00691CF5"/>
    <w:rsid w:val="00691EF9"/>
    <w:rsid w:val="00693638"/>
    <w:rsid w:val="0069387D"/>
    <w:rsid w:val="006952A7"/>
    <w:rsid w:val="006A085E"/>
    <w:rsid w:val="006A177F"/>
    <w:rsid w:val="006A334E"/>
    <w:rsid w:val="006B07A5"/>
    <w:rsid w:val="006B5069"/>
    <w:rsid w:val="006B65CA"/>
    <w:rsid w:val="006B7325"/>
    <w:rsid w:val="006C1E71"/>
    <w:rsid w:val="006C3930"/>
    <w:rsid w:val="006C572E"/>
    <w:rsid w:val="006C5A1C"/>
    <w:rsid w:val="006C7164"/>
    <w:rsid w:val="006D00F4"/>
    <w:rsid w:val="006D0278"/>
    <w:rsid w:val="006D356E"/>
    <w:rsid w:val="006D4A8C"/>
    <w:rsid w:val="006D50FA"/>
    <w:rsid w:val="006D6598"/>
    <w:rsid w:val="006D6808"/>
    <w:rsid w:val="006D742B"/>
    <w:rsid w:val="006E0829"/>
    <w:rsid w:val="006E1230"/>
    <w:rsid w:val="006F0156"/>
    <w:rsid w:val="006F24C1"/>
    <w:rsid w:val="006F3546"/>
    <w:rsid w:val="006F4F8A"/>
    <w:rsid w:val="006F524F"/>
    <w:rsid w:val="006F6647"/>
    <w:rsid w:val="006F6F98"/>
    <w:rsid w:val="007020B9"/>
    <w:rsid w:val="00702372"/>
    <w:rsid w:val="0070457E"/>
    <w:rsid w:val="00710E39"/>
    <w:rsid w:val="007110FA"/>
    <w:rsid w:val="007116AC"/>
    <w:rsid w:val="0071308D"/>
    <w:rsid w:val="00713544"/>
    <w:rsid w:val="0071587B"/>
    <w:rsid w:val="0072060D"/>
    <w:rsid w:val="00721DA7"/>
    <w:rsid w:val="00722FD6"/>
    <w:rsid w:val="00725309"/>
    <w:rsid w:val="0072718B"/>
    <w:rsid w:val="00727CC0"/>
    <w:rsid w:val="00730610"/>
    <w:rsid w:val="007308B7"/>
    <w:rsid w:val="00734A7A"/>
    <w:rsid w:val="00741CBD"/>
    <w:rsid w:val="00741E94"/>
    <w:rsid w:val="0074328C"/>
    <w:rsid w:val="00744809"/>
    <w:rsid w:val="00745325"/>
    <w:rsid w:val="007455FB"/>
    <w:rsid w:val="00750737"/>
    <w:rsid w:val="00750CA7"/>
    <w:rsid w:val="00751A6E"/>
    <w:rsid w:val="00751E27"/>
    <w:rsid w:val="00752A89"/>
    <w:rsid w:val="00753063"/>
    <w:rsid w:val="00755D7A"/>
    <w:rsid w:val="0076091A"/>
    <w:rsid w:val="00761AF4"/>
    <w:rsid w:val="0076235B"/>
    <w:rsid w:val="00764059"/>
    <w:rsid w:val="00764387"/>
    <w:rsid w:val="0076624A"/>
    <w:rsid w:val="00770A42"/>
    <w:rsid w:val="00771740"/>
    <w:rsid w:val="00772CF4"/>
    <w:rsid w:val="007748D9"/>
    <w:rsid w:val="00781FC9"/>
    <w:rsid w:val="00782433"/>
    <w:rsid w:val="00782B2C"/>
    <w:rsid w:val="00784138"/>
    <w:rsid w:val="00784862"/>
    <w:rsid w:val="00787FF7"/>
    <w:rsid w:val="007908E0"/>
    <w:rsid w:val="007919F4"/>
    <w:rsid w:val="00793476"/>
    <w:rsid w:val="007934A5"/>
    <w:rsid w:val="0079360B"/>
    <w:rsid w:val="0079539F"/>
    <w:rsid w:val="007960A0"/>
    <w:rsid w:val="007A2788"/>
    <w:rsid w:val="007A47A9"/>
    <w:rsid w:val="007A6177"/>
    <w:rsid w:val="007A6203"/>
    <w:rsid w:val="007A6F6F"/>
    <w:rsid w:val="007B340E"/>
    <w:rsid w:val="007B43D8"/>
    <w:rsid w:val="007B4532"/>
    <w:rsid w:val="007B5676"/>
    <w:rsid w:val="007B6080"/>
    <w:rsid w:val="007C019C"/>
    <w:rsid w:val="007C0392"/>
    <w:rsid w:val="007C0E03"/>
    <w:rsid w:val="007C1CF8"/>
    <w:rsid w:val="007C21F6"/>
    <w:rsid w:val="007C6D56"/>
    <w:rsid w:val="007D1B5D"/>
    <w:rsid w:val="007D3B44"/>
    <w:rsid w:val="007D541A"/>
    <w:rsid w:val="007D732B"/>
    <w:rsid w:val="007D744D"/>
    <w:rsid w:val="007D7D15"/>
    <w:rsid w:val="007E02D2"/>
    <w:rsid w:val="007E0DA7"/>
    <w:rsid w:val="007E2186"/>
    <w:rsid w:val="007E3020"/>
    <w:rsid w:val="007E4B92"/>
    <w:rsid w:val="007E5E23"/>
    <w:rsid w:val="007E5F02"/>
    <w:rsid w:val="007E63EB"/>
    <w:rsid w:val="007E6D4B"/>
    <w:rsid w:val="007F03E3"/>
    <w:rsid w:val="007F0660"/>
    <w:rsid w:val="007F4EA1"/>
    <w:rsid w:val="007F622C"/>
    <w:rsid w:val="007F7559"/>
    <w:rsid w:val="00801C24"/>
    <w:rsid w:val="008026E4"/>
    <w:rsid w:val="0080419C"/>
    <w:rsid w:val="00805593"/>
    <w:rsid w:val="00805B23"/>
    <w:rsid w:val="008062F7"/>
    <w:rsid w:val="008064C9"/>
    <w:rsid w:val="00806792"/>
    <w:rsid w:val="00810404"/>
    <w:rsid w:val="00811ADB"/>
    <w:rsid w:val="00811E8E"/>
    <w:rsid w:val="00812217"/>
    <w:rsid w:val="008126AF"/>
    <w:rsid w:val="00812B6C"/>
    <w:rsid w:val="00812FE8"/>
    <w:rsid w:val="0081395E"/>
    <w:rsid w:val="0081573B"/>
    <w:rsid w:val="00816520"/>
    <w:rsid w:val="00816AC7"/>
    <w:rsid w:val="00817C4B"/>
    <w:rsid w:val="00820C7F"/>
    <w:rsid w:val="008220C5"/>
    <w:rsid w:val="00823959"/>
    <w:rsid w:val="0082533B"/>
    <w:rsid w:val="00827012"/>
    <w:rsid w:val="00830A81"/>
    <w:rsid w:val="00831206"/>
    <w:rsid w:val="008318C1"/>
    <w:rsid w:val="00831B5E"/>
    <w:rsid w:val="00833319"/>
    <w:rsid w:val="008353ED"/>
    <w:rsid w:val="008360B9"/>
    <w:rsid w:val="008379BA"/>
    <w:rsid w:val="00840996"/>
    <w:rsid w:val="00842714"/>
    <w:rsid w:val="0084661F"/>
    <w:rsid w:val="00846F94"/>
    <w:rsid w:val="008515E2"/>
    <w:rsid w:val="00852DB9"/>
    <w:rsid w:val="0085392F"/>
    <w:rsid w:val="0085484A"/>
    <w:rsid w:val="0085728B"/>
    <w:rsid w:val="00857FA7"/>
    <w:rsid w:val="00861196"/>
    <w:rsid w:val="00862419"/>
    <w:rsid w:val="008629E4"/>
    <w:rsid w:val="008637F5"/>
    <w:rsid w:val="00864632"/>
    <w:rsid w:val="00865AE2"/>
    <w:rsid w:val="008671D6"/>
    <w:rsid w:val="008672FD"/>
    <w:rsid w:val="00870AC2"/>
    <w:rsid w:val="00870F1F"/>
    <w:rsid w:val="008746E5"/>
    <w:rsid w:val="00874AC4"/>
    <w:rsid w:val="00876A55"/>
    <w:rsid w:val="00880303"/>
    <w:rsid w:val="0088780A"/>
    <w:rsid w:val="00887A3C"/>
    <w:rsid w:val="00887C1B"/>
    <w:rsid w:val="0089081D"/>
    <w:rsid w:val="00890BBD"/>
    <w:rsid w:val="00892C91"/>
    <w:rsid w:val="008958D7"/>
    <w:rsid w:val="0089711F"/>
    <w:rsid w:val="008972AC"/>
    <w:rsid w:val="008979C8"/>
    <w:rsid w:val="008A3FD1"/>
    <w:rsid w:val="008A556E"/>
    <w:rsid w:val="008B0416"/>
    <w:rsid w:val="008B0BFC"/>
    <w:rsid w:val="008B434C"/>
    <w:rsid w:val="008B59CD"/>
    <w:rsid w:val="008B761C"/>
    <w:rsid w:val="008C11C6"/>
    <w:rsid w:val="008C1FF5"/>
    <w:rsid w:val="008C2AAF"/>
    <w:rsid w:val="008C527D"/>
    <w:rsid w:val="008D0D07"/>
    <w:rsid w:val="008D1E1D"/>
    <w:rsid w:val="008D2AFC"/>
    <w:rsid w:val="008D32BA"/>
    <w:rsid w:val="008D6B54"/>
    <w:rsid w:val="008E2057"/>
    <w:rsid w:val="008E266A"/>
    <w:rsid w:val="008E29AE"/>
    <w:rsid w:val="008E35AE"/>
    <w:rsid w:val="008E3B83"/>
    <w:rsid w:val="008E5799"/>
    <w:rsid w:val="008E739C"/>
    <w:rsid w:val="008F00A9"/>
    <w:rsid w:val="008F01CB"/>
    <w:rsid w:val="008F16CE"/>
    <w:rsid w:val="008F4305"/>
    <w:rsid w:val="008F7F26"/>
    <w:rsid w:val="0090032D"/>
    <w:rsid w:val="00902982"/>
    <w:rsid w:val="00904544"/>
    <w:rsid w:val="00905778"/>
    <w:rsid w:val="00905985"/>
    <w:rsid w:val="0090699C"/>
    <w:rsid w:val="0091215D"/>
    <w:rsid w:val="009126EA"/>
    <w:rsid w:val="00914D61"/>
    <w:rsid w:val="009153CB"/>
    <w:rsid w:val="00917610"/>
    <w:rsid w:val="00921704"/>
    <w:rsid w:val="00921F7A"/>
    <w:rsid w:val="00925A21"/>
    <w:rsid w:val="009318AE"/>
    <w:rsid w:val="00931E43"/>
    <w:rsid w:val="0093224E"/>
    <w:rsid w:val="00932C63"/>
    <w:rsid w:val="00940B74"/>
    <w:rsid w:val="00942738"/>
    <w:rsid w:val="0094362D"/>
    <w:rsid w:val="00945532"/>
    <w:rsid w:val="00950262"/>
    <w:rsid w:val="00951442"/>
    <w:rsid w:val="00951E28"/>
    <w:rsid w:val="009522F8"/>
    <w:rsid w:val="00954D37"/>
    <w:rsid w:val="009567C8"/>
    <w:rsid w:val="009578D2"/>
    <w:rsid w:val="00960AF6"/>
    <w:rsid w:val="0096146A"/>
    <w:rsid w:val="00963003"/>
    <w:rsid w:val="00965D34"/>
    <w:rsid w:val="00966331"/>
    <w:rsid w:val="00966D0E"/>
    <w:rsid w:val="00966D11"/>
    <w:rsid w:val="00973647"/>
    <w:rsid w:val="00977AB3"/>
    <w:rsid w:val="00980062"/>
    <w:rsid w:val="009815C7"/>
    <w:rsid w:val="00981FEF"/>
    <w:rsid w:val="00982AC3"/>
    <w:rsid w:val="009843DC"/>
    <w:rsid w:val="00984955"/>
    <w:rsid w:val="00985FD2"/>
    <w:rsid w:val="0098652A"/>
    <w:rsid w:val="0098670C"/>
    <w:rsid w:val="00990272"/>
    <w:rsid w:val="00994098"/>
    <w:rsid w:val="0099527C"/>
    <w:rsid w:val="009A00C1"/>
    <w:rsid w:val="009A0B9E"/>
    <w:rsid w:val="009A2CED"/>
    <w:rsid w:val="009A2F8B"/>
    <w:rsid w:val="009A5915"/>
    <w:rsid w:val="009B1E43"/>
    <w:rsid w:val="009B2521"/>
    <w:rsid w:val="009B283C"/>
    <w:rsid w:val="009B29BD"/>
    <w:rsid w:val="009B7CD8"/>
    <w:rsid w:val="009C06BE"/>
    <w:rsid w:val="009C173F"/>
    <w:rsid w:val="009C1788"/>
    <w:rsid w:val="009C1F58"/>
    <w:rsid w:val="009C2571"/>
    <w:rsid w:val="009C283D"/>
    <w:rsid w:val="009C4F91"/>
    <w:rsid w:val="009C6789"/>
    <w:rsid w:val="009C7872"/>
    <w:rsid w:val="009D08DF"/>
    <w:rsid w:val="009D29D3"/>
    <w:rsid w:val="009D2B8E"/>
    <w:rsid w:val="009D38FD"/>
    <w:rsid w:val="009D4495"/>
    <w:rsid w:val="009D6066"/>
    <w:rsid w:val="009D63DF"/>
    <w:rsid w:val="009D6B4A"/>
    <w:rsid w:val="009D7D0F"/>
    <w:rsid w:val="009E037B"/>
    <w:rsid w:val="009E049D"/>
    <w:rsid w:val="009E0902"/>
    <w:rsid w:val="009E154F"/>
    <w:rsid w:val="009E2A45"/>
    <w:rsid w:val="009E387D"/>
    <w:rsid w:val="009E4932"/>
    <w:rsid w:val="009E68E1"/>
    <w:rsid w:val="009E741C"/>
    <w:rsid w:val="009F2C91"/>
    <w:rsid w:val="009F316D"/>
    <w:rsid w:val="009F36F7"/>
    <w:rsid w:val="009F37A3"/>
    <w:rsid w:val="009F3BB9"/>
    <w:rsid w:val="009F7165"/>
    <w:rsid w:val="00A00D48"/>
    <w:rsid w:val="00A05704"/>
    <w:rsid w:val="00A06FB4"/>
    <w:rsid w:val="00A07923"/>
    <w:rsid w:val="00A11091"/>
    <w:rsid w:val="00A13296"/>
    <w:rsid w:val="00A14544"/>
    <w:rsid w:val="00A15BAE"/>
    <w:rsid w:val="00A16F88"/>
    <w:rsid w:val="00A21F77"/>
    <w:rsid w:val="00A24448"/>
    <w:rsid w:val="00A25231"/>
    <w:rsid w:val="00A3145D"/>
    <w:rsid w:val="00A31889"/>
    <w:rsid w:val="00A40880"/>
    <w:rsid w:val="00A419F6"/>
    <w:rsid w:val="00A433E7"/>
    <w:rsid w:val="00A47E5E"/>
    <w:rsid w:val="00A53D64"/>
    <w:rsid w:val="00A55A68"/>
    <w:rsid w:val="00A620CC"/>
    <w:rsid w:val="00A62A8B"/>
    <w:rsid w:val="00A6549F"/>
    <w:rsid w:val="00A67A57"/>
    <w:rsid w:val="00A67C13"/>
    <w:rsid w:val="00A70731"/>
    <w:rsid w:val="00A715BA"/>
    <w:rsid w:val="00A71AEA"/>
    <w:rsid w:val="00A71D22"/>
    <w:rsid w:val="00A71D3C"/>
    <w:rsid w:val="00A7293B"/>
    <w:rsid w:val="00A732E0"/>
    <w:rsid w:val="00A743E0"/>
    <w:rsid w:val="00A75975"/>
    <w:rsid w:val="00A76E6F"/>
    <w:rsid w:val="00A77159"/>
    <w:rsid w:val="00A77453"/>
    <w:rsid w:val="00A774DB"/>
    <w:rsid w:val="00A8205C"/>
    <w:rsid w:val="00A82417"/>
    <w:rsid w:val="00A82634"/>
    <w:rsid w:val="00A835E8"/>
    <w:rsid w:val="00A84506"/>
    <w:rsid w:val="00A84EA8"/>
    <w:rsid w:val="00A85486"/>
    <w:rsid w:val="00A902EF"/>
    <w:rsid w:val="00A91719"/>
    <w:rsid w:val="00A9302F"/>
    <w:rsid w:val="00A94A4A"/>
    <w:rsid w:val="00A959C0"/>
    <w:rsid w:val="00A95D98"/>
    <w:rsid w:val="00AA0066"/>
    <w:rsid w:val="00AA02AC"/>
    <w:rsid w:val="00AA1186"/>
    <w:rsid w:val="00AA27AE"/>
    <w:rsid w:val="00AA2D67"/>
    <w:rsid w:val="00AA3F51"/>
    <w:rsid w:val="00AA4E71"/>
    <w:rsid w:val="00AA621A"/>
    <w:rsid w:val="00AA63D9"/>
    <w:rsid w:val="00AA6FF3"/>
    <w:rsid w:val="00AB1C11"/>
    <w:rsid w:val="00AB1F3D"/>
    <w:rsid w:val="00AB2861"/>
    <w:rsid w:val="00AB2AC2"/>
    <w:rsid w:val="00AB7680"/>
    <w:rsid w:val="00AC08D3"/>
    <w:rsid w:val="00AC1B23"/>
    <w:rsid w:val="00AC2607"/>
    <w:rsid w:val="00AC2629"/>
    <w:rsid w:val="00AC37FB"/>
    <w:rsid w:val="00AC5913"/>
    <w:rsid w:val="00AD29EA"/>
    <w:rsid w:val="00AD2A8F"/>
    <w:rsid w:val="00AE0A84"/>
    <w:rsid w:val="00AE1AB5"/>
    <w:rsid w:val="00AE2CB4"/>
    <w:rsid w:val="00AE4169"/>
    <w:rsid w:val="00AE4633"/>
    <w:rsid w:val="00AE6D23"/>
    <w:rsid w:val="00AF333A"/>
    <w:rsid w:val="00AF5E0A"/>
    <w:rsid w:val="00AF7465"/>
    <w:rsid w:val="00B00365"/>
    <w:rsid w:val="00B0055D"/>
    <w:rsid w:val="00B0143A"/>
    <w:rsid w:val="00B043B8"/>
    <w:rsid w:val="00B04ABC"/>
    <w:rsid w:val="00B04E24"/>
    <w:rsid w:val="00B051F6"/>
    <w:rsid w:val="00B073C8"/>
    <w:rsid w:val="00B07441"/>
    <w:rsid w:val="00B076B8"/>
    <w:rsid w:val="00B12F03"/>
    <w:rsid w:val="00B1391E"/>
    <w:rsid w:val="00B14197"/>
    <w:rsid w:val="00B17B1F"/>
    <w:rsid w:val="00B2247A"/>
    <w:rsid w:val="00B23612"/>
    <w:rsid w:val="00B2452B"/>
    <w:rsid w:val="00B26380"/>
    <w:rsid w:val="00B2689E"/>
    <w:rsid w:val="00B27003"/>
    <w:rsid w:val="00B27712"/>
    <w:rsid w:val="00B30492"/>
    <w:rsid w:val="00B3090A"/>
    <w:rsid w:val="00B30F47"/>
    <w:rsid w:val="00B32241"/>
    <w:rsid w:val="00B32596"/>
    <w:rsid w:val="00B332D0"/>
    <w:rsid w:val="00B35027"/>
    <w:rsid w:val="00B369EF"/>
    <w:rsid w:val="00B36ADF"/>
    <w:rsid w:val="00B370F0"/>
    <w:rsid w:val="00B42BC1"/>
    <w:rsid w:val="00B44E31"/>
    <w:rsid w:val="00B45053"/>
    <w:rsid w:val="00B469FF"/>
    <w:rsid w:val="00B46B64"/>
    <w:rsid w:val="00B50F17"/>
    <w:rsid w:val="00B51989"/>
    <w:rsid w:val="00B5293D"/>
    <w:rsid w:val="00B52AF3"/>
    <w:rsid w:val="00B52C21"/>
    <w:rsid w:val="00B52C56"/>
    <w:rsid w:val="00B55178"/>
    <w:rsid w:val="00B55B25"/>
    <w:rsid w:val="00B60E77"/>
    <w:rsid w:val="00B64228"/>
    <w:rsid w:val="00B64522"/>
    <w:rsid w:val="00B65176"/>
    <w:rsid w:val="00B652E5"/>
    <w:rsid w:val="00B66DF6"/>
    <w:rsid w:val="00B70932"/>
    <w:rsid w:val="00B735EC"/>
    <w:rsid w:val="00B75AD5"/>
    <w:rsid w:val="00B767FD"/>
    <w:rsid w:val="00B77189"/>
    <w:rsid w:val="00B81000"/>
    <w:rsid w:val="00B829B6"/>
    <w:rsid w:val="00B83D81"/>
    <w:rsid w:val="00B84E14"/>
    <w:rsid w:val="00B85A9E"/>
    <w:rsid w:val="00B90BF2"/>
    <w:rsid w:val="00B911C4"/>
    <w:rsid w:val="00B9458F"/>
    <w:rsid w:val="00B95895"/>
    <w:rsid w:val="00B96D94"/>
    <w:rsid w:val="00B97372"/>
    <w:rsid w:val="00BA052C"/>
    <w:rsid w:val="00BA59D9"/>
    <w:rsid w:val="00BA64A7"/>
    <w:rsid w:val="00BA6FC7"/>
    <w:rsid w:val="00BB038A"/>
    <w:rsid w:val="00BB52EF"/>
    <w:rsid w:val="00BC08B1"/>
    <w:rsid w:val="00BC34F6"/>
    <w:rsid w:val="00BC3F6B"/>
    <w:rsid w:val="00BC5F1E"/>
    <w:rsid w:val="00BC7357"/>
    <w:rsid w:val="00BC7E6B"/>
    <w:rsid w:val="00BD28C6"/>
    <w:rsid w:val="00BD3FB6"/>
    <w:rsid w:val="00BD5B68"/>
    <w:rsid w:val="00BE0091"/>
    <w:rsid w:val="00BE0F6F"/>
    <w:rsid w:val="00BE340E"/>
    <w:rsid w:val="00BE34E0"/>
    <w:rsid w:val="00BE3561"/>
    <w:rsid w:val="00BE4F21"/>
    <w:rsid w:val="00BF1DEE"/>
    <w:rsid w:val="00BF49C2"/>
    <w:rsid w:val="00BF5CFB"/>
    <w:rsid w:val="00C00A47"/>
    <w:rsid w:val="00C01915"/>
    <w:rsid w:val="00C01BD7"/>
    <w:rsid w:val="00C01C87"/>
    <w:rsid w:val="00C04871"/>
    <w:rsid w:val="00C048FE"/>
    <w:rsid w:val="00C0568E"/>
    <w:rsid w:val="00C07024"/>
    <w:rsid w:val="00C1015C"/>
    <w:rsid w:val="00C12892"/>
    <w:rsid w:val="00C14680"/>
    <w:rsid w:val="00C14D0D"/>
    <w:rsid w:val="00C20935"/>
    <w:rsid w:val="00C21143"/>
    <w:rsid w:val="00C2124D"/>
    <w:rsid w:val="00C23A28"/>
    <w:rsid w:val="00C242CB"/>
    <w:rsid w:val="00C24877"/>
    <w:rsid w:val="00C24A36"/>
    <w:rsid w:val="00C25BBA"/>
    <w:rsid w:val="00C26A96"/>
    <w:rsid w:val="00C278D3"/>
    <w:rsid w:val="00C27E2C"/>
    <w:rsid w:val="00C30376"/>
    <w:rsid w:val="00C30665"/>
    <w:rsid w:val="00C32F94"/>
    <w:rsid w:val="00C347FB"/>
    <w:rsid w:val="00C36ACE"/>
    <w:rsid w:val="00C372B3"/>
    <w:rsid w:val="00C404ED"/>
    <w:rsid w:val="00C40B1E"/>
    <w:rsid w:val="00C41556"/>
    <w:rsid w:val="00C41C2C"/>
    <w:rsid w:val="00C441F5"/>
    <w:rsid w:val="00C4428A"/>
    <w:rsid w:val="00C458D4"/>
    <w:rsid w:val="00C45B4C"/>
    <w:rsid w:val="00C45C10"/>
    <w:rsid w:val="00C47560"/>
    <w:rsid w:val="00C47D31"/>
    <w:rsid w:val="00C50605"/>
    <w:rsid w:val="00C51882"/>
    <w:rsid w:val="00C51E18"/>
    <w:rsid w:val="00C54643"/>
    <w:rsid w:val="00C5569B"/>
    <w:rsid w:val="00C5697C"/>
    <w:rsid w:val="00C57A1F"/>
    <w:rsid w:val="00C63713"/>
    <w:rsid w:val="00C64EF7"/>
    <w:rsid w:val="00C732EB"/>
    <w:rsid w:val="00C73D65"/>
    <w:rsid w:val="00C74EC3"/>
    <w:rsid w:val="00C75A81"/>
    <w:rsid w:val="00C80175"/>
    <w:rsid w:val="00C81EEF"/>
    <w:rsid w:val="00C83C33"/>
    <w:rsid w:val="00C83D85"/>
    <w:rsid w:val="00C86835"/>
    <w:rsid w:val="00C91E54"/>
    <w:rsid w:val="00C92733"/>
    <w:rsid w:val="00C94034"/>
    <w:rsid w:val="00C96112"/>
    <w:rsid w:val="00C96EBD"/>
    <w:rsid w:val="00CA054D"/>
    <w:rsid w:val="00CA198C"/>
    <w:rsid w:val="00CA1D93"/>
    <w:rsid w:val="00CA3421"/>
    <w:rsid w:val="00CA67E4"/>
    <w:rsid w:val="00CA704D"/>
    <w:rsid w:val="00CB1813"/>
    <w:rsid w:val="00CB27CF"/>
    <w:rsid w:val="00CB3290"/>
    <w:rsid w:val="00CB34BC"/>
    <w:rsid w:val="00CC03BB"/>
    <w:rsid w:val="00CC05FE"/>
    <w:rsid w:val="00CC1CB2"/>
    <w:rsid w:val="00CC51CE"/>
    <w:rsid w:val="00CC65C6"/>
    <w:rsid w:val="00CC660D"/>
    <w:rsid w:val="00CC75ED"/>
    <w:rsid w:val="00CD00D8"/>
    <w:rsid w:val="00CD070C"/>
    <w:rsid w:val="00CD1B9F"/>
    <w:rsid w:val="00CD3156"/>
    <w:rsid w:val="00CD3421"/>
    <w:rsid w:val="00CD5E18"/>
    <w:rsid w:val="00CD627F"/>
    <w:rsid w:val="00CE18EC"/>
    <w:rsid w:val="00CE3909"/>
    <w:rsid w:val="00CE5331"/>
    <w:rsid w:val="00CE62AE"/>
    <w:rsid w:val="00CF04C1"/>
    <w:rsid w:val="00CF06A9"/>
    <w:rsid w:val="00CF1FAF"/>
    <w:rsid w:val="00CF4DBE"/>
    <w:rsid w:val="00CF717D"/>
    <w:rsid w:val="00D00358"/>
    <w:rsid w:val="00D003C0"/>
    <w:rsid w:val="00D0075B"/>
    <w:rsid w:val="00D049A7"/>
    <w:rsid w:val="00D07DBD"/>
    <w:rsid w:val="00D105FE"/>
    <w:rsid w:val="00D1196F"/>
    <w:rsid w:val="00D12677"/>
    <w:rsid w:val="00D126CD"/>
    <w:rsid w:val="00D17081"/>
    <w:rsid w:val="00D1722F"/>
    <w:rsid w:val="00D20495"/>
    <w:rsid w:val="00D20B70"/>
    <w:rsid w:val="00D224B7"/>
    <w:rsid w:val="00D22F6C"/>
    <w:rsid w:val="00D2372F"/>
    <w:rsid w:val="00D26156"/>
    <w:rsid w:val="00D261C3"/>
    <w:rsid w:val="00D27A73"/>
    <w:rsid w:val="00D30B65"/>
    <w:rsid w:val="00D350D0"/>
    <w:rsid w:val="00D35DCE"/>
    <w:rsid w:val="00D41D0F"/>
    <w:rsid w:val="00D42CA5"/>
    <w:rsid w:val="00D437C9"/>
    <w:rsid w:val="00D43EB6"/>
    <w:rsid w:val="00D44AD7"/>
    <w:rsid w:val="00D45DAB"/>
    <w:rsid w:val="00D46F4F"/>
    <w:rsid w:val="00D46FF0"/>
    <w:rsid w:val="00D502A6"/>
    <w:rsid w:val="00D503EF"/>
    <w:rsid w:val="00D511AB"/>
    <w:rsid w:val="00D55206"/>
    <w:rsid w:val="00D56C30"/>
    <w:rsid w:val="00D63D45"/>
    <w:rsid w:val="00D653DB"/>
    <w:rsid w:val="00D65C38"/>
    <w:rsid w:val="00D65DAA"/>
    <w:rsid w:val="00D66EC0"/>
    <w:rsid w:val="00D66FAC"/>
    <w:rsid w:val="00D67320"/>
    <w:rsid w:val="00D71131"/>
    <w:rsid w:val="00D75165"/>
    <w:rsid w:val="00D805AC"/>
    <w:rsid w:val="00D807A6"/>
    <w:rsid w:val="00D83E2F"/>
    <w:rsid w:val="00D84459"/>
    <w:rsid w:val="00D849C0"/>
    <w:rsid w:val="00D84FEB"/>
    <w:rsid w:val="00D85643"/>
    <w:rsid w:val="00D8770C"/>
    <w:rsid w:val="00D90755"/>
    <w:rsid w:val="00D908E4"/>
    <w:rsid w:val="00D90FAE"/>
    <w:rsid w:val="00D92351"/>
    <w:rsid w:val="00D93C39"/>
    <w:rsid w:val="00D951F1"/>
    <w:rsid w:val="00D973A7"/>
    <w:rsid w:val="00DA052F"/>
    <w:rsid w:val="00DA0BEC"/>
    <w:rsid w:val="00DA436A"/>
    <w:rsid w:val="00DA4EB7"/>
    <w:rsid w:val="00DB117B"/>
    <w:rsid w:val="00DB2029"/>
    <w:rsid w:val="00DB6C2E"/>
    <w:rsid w:val="00DB756A"/>
    <w:rsid w:val="00DB7D85"/>
    <w:rsid w:val="00DC18EE"/>
    <w:rsid w:val="00DC31D5"/>
    <w:rsid w:val="00DC32D0"/>
    <w:rsid w:val="00DC3A8C"/>
    <w:rsid w:val="00DC3DE9"/>
    <w:rsid w:val="00DC3FD0"/>
    <w:rsid w:val="00DC6A50"/>
    <w:rsid w:val="00DC6E2A"/>
    <w:rsid w:val="00DC703A"/>
    <w:rsid w:val="00DD45EA"/>
    <w:rsid w:val="00DD4D9A"/>
    <w:rsid w:val="00DD551C"/>
    <w:rsid w:val="00DD67BB"/>
    <w:rsid w:val="00DE0048"/>
    <w:rsid w:val="00DE081F"/>
    <w:rsid w:val="00DE14BB"/>
    <w:rsid w:val="00DE1BAB"/>
    <w:rsid w:val="00DE4829"/>
    <w:rsid w:val="00DE4EB5"/>
    <w:rsid w:val="00DE5205"/>
    <w:rsid w:val="00DE6BF5"/>
    <w:rsid w:val="00DE732A"/>
    <w:rsid w:val="00DF1D03"/>
    <w:rsid w:val="00DF3A8A"/>
    <w:rsid w:val="00DF4100"/>
    <w:rsid w:val="00DF4786"/>
    <w:rsid w:val="00DF5E60"/>
    <w:rsid w:val="00DF6EDD"/>
    <w:rsid w:val="00E00FB6"/>
    <w:rsid w:val="00E0259D"/>
    <w:rsid w:val="00E04485"/>
    <w:rsid w:val="00E04BFA"/>
    <w:rsid w:val="00E04D76"/>
    <w:rsid w:val="00E05D97"/>
    <w:rsid w:val="00E07AD4"/>
    <w:rsid w:val="00E14FD0"/>
    <w:rsid w:val="00E1627B"/>
    <w:rsid w:val="00E17CCF"/>
    <w:rsid w:val="00E207FC"/>
    <w:rsid w:val="00E22ADD"/>
    <w:rsid w:val="00E231ED"/>
    <w:rsid w:val="00E25434"/>
    <w:rsid w:val="00E2558C"/>
    <w:rsid w:val="00E25BB3"/>
    <w:rsid w:val="00E25EE0"/>
    <w:rsid w:val="00E25F5D"/>
    <w:rsid w:val="00E26F8E"/>
    <w:rsid w:val="00E30981"/>
    <w:rsid w:val="00E32198"/>
    <w:rsid w:val="00E34715"/>
    <w:rsid w:val="00E34840"/>
    <w:rsid w:val="00E34F51"/>
    <w:rsid w:val="00E35119"/>
    <w:rsid w:val="00E40EDB"/>
    <w:rsid w:val="00E410F6"/>
    <w:rsid w:val="00E427E2"/>
    <w:rsid w:val="00E43B7D"/>
    <w:rsid w:val="00E44C58"/>
    <w:rsid w:val="00E44EF8"/>
    <w:rsid w:val="00E467CC"/>
    <w:rsid w:val="00E46A61"/>
    <w:rsid w:val="00E4751F"/>
    <w:rsid w:val="00E502D4"/>
    <w:rsid w:val="00E54094"/>
    <w:rsid w:val="00E56061"/>
    <w:rsid w:val="00E61261"/>
    <w:rsid w:val="00E61922"/>
    <w:rsid w:val="00E61AED"/>
    <w:rsid w:val="00E6328C"/>
    <w:rsid w:val="00E6400E"/>
    <w:rsid w:val="00E66D79"/>
    <w:rsid w:val="00E6787D"/>
    <w:rsid w:val="00E679BE"/>
    <w:rsid w:val="00E705EA"/>
    <w:rsid w:val="00E70DE2"/>
    <w:rsid w:val="00E7132D"/>
    <w:rsid w:val="00E7204A"/>
    <w:rsid w:val="00E73270"/>
    <w:rsid w:val="00E73553"/>
    <w:rsid w:val="00E75455"/>
    <w:rsid w:val="00E75626"/>
    <w:rsid w:val="00E76A1A"/>
    <w:rsid w:val="00E76A43"/>
    <w:rsid w:val="00E778F5"/>
    <w:rsid w:val="00E80284"/>
    <w:rsid w:val="00E80C72"/>
    <w:rsid w:val="00E81C8F"/>
    <w:rsid w:val="00E83C05"/>
    <w:rsid w:val="00E846EE"/>
    <w:rsid w:val="00E84749"/>
    <w:rsid w:val="00E84C84"/>
    <w:rsid w:val="00E854CA"/>
    <w:rsid w:val="00E87711"/>
    <w:rsid w:val="00E9092D"/>
    <w:rsid w:val="00E90FB5"/>
    <w:rsid w:val="00E91DE3"/>
    <w:rsid w:val="00E9242C"/>
    <w:rsid w:val="00E9630A"/>
    <w:rsid w:val="00E963F0"/>
    <w:rsid w:val="00EA27E9"/>
    <w:rsid w:val="00EA64FE"/>
    <w:rsid w:val="00EA6CFB"/>
    <w:rsid w:val="00EB03A5"/>
    <w:rsid w:val="00EB191F"/>
    <w:rsid w:val="00EB2795"/>
    <w:rsid w:val="00EB420C"/>
    <w:rsid w:val="00EB4908"/>
    <w:rsid w:val="00EB4DA7"/>
    <w:rsid w:val="00EB503B"/>
    <w:rsid w:val="00EB53F8"/>
    <w:rsid w:val="00EC00A4"/>
    <w:rsid w:val="00EC0D40"/>
    <w:rsid w:val="00EC14E7"/>
    <w:rsid w:val="00EC1A5C"/>
    <w:rsid w:val="00EC2BB8"/>
    <w:rsid w:val="00EC3397"/>
    <w:rsid w:val="00EC33A7"/>
    <w:rsid w:val="00EC3779"/>
    <w:rsid w:val="00EC4C6E"/>
    <w:rsid w:val="00EC5617"/>
    <w:rsid w:val="00EC69D0"/>
    <w:rsid w:val="00ED029C"/>
    <w:rsid w:val="00ED1AED"/>
    <w:rsid w:val="00ED1FF5"/>
    <w:rsid w:val="00ED31FE"/>
    <w:rsid w:val="00ED4BD7"/>
    <w:rsid w:val="00EE38F4"/>
    <w:rsid w:val="00EE5CE5"/>
    <w:rsid w:val="00EE6897"/>
    <w:rsid w:val="00EE79A7"/>
    <w:rsid w:val="00EF0418"/>
    <w:rsid w:val="00EF138E"/>
    <w:rsid w:val="00EF47D0"/>
    <w:rsid w:val="00EF76B0"/>
    <w:rsid w:val="00F0024A"/>
    <w:rsid w:val="00F0117E"/>
    <w:rsid w:val="00F01868"/>
    <w:rsid w:val="00F03592"/>
    <w:rsid w:val="00F0370D"/>
    <w:rsid w:val="00F04D97"/>
    <w:rsid w:val="00F0670D"/>
    <w:rsid w:val="00F07CDC"/>
    <w:rsid w:val="00F117C9"/>
    <w:rsid w:val="00F11C13"/>
    <w:rsid w:val="00F13ED0"/>
    <w:rsid w:val="00F14BC4"/>
    <w:rsid w:val="00F164DB"/>
    <w:rsid w:val="00F218DD"/>
    <w:rsid w:val="00F23B6B"/>
    <w:rsid w:val="00F241EC"/>
    <w:rsid w:val="00F254B6"/>
    <w:rsid w:val="00F33FF3"/>
    <w:rsid w:val="00F3484D"/>
    <w:rsid w:val="00F349E2"/>
    <w:rsid w:val="00F35844"/>
    <w:rsid w:val="00F44F17"/>
    <w:rsid w:val="00F44FC7"/>
    <w:rsid w:val="00F458B7"/>
    <w:rsid w:val="00F46029"/>
    <w:rsid w:val="00F50542"/>
    <w:rsid w:val="00F56F82"/>
    <w:rsid w:val="00F60751"/>
    <w:rsid w:val="00F6143E"/>
    <w:rsid w:val="00F61C35"/>
    <w:rsid w:val="00F6229C"/>
    <w:rsid w:val="00F62EAB"/>
    <w:rsid w:val="00F63477"/>
    <w:rsid w:val="00F63A5A"/>
    <w:rsid w:val="00F663B5"/>
    <w:rsid w:val="00F677DD"/>
    <w:rsid w:val="00F67CC8"/>
    <w:rsid w:val="00F700E0"/>
    <w:rsid w:val="00F70293"/>
    <w:rsid w:val="00F70BDD"/>
    <w:rsid w:val="00F718D6"/>
    <w:rsid w:val="00F72440"/>
    <w:rsid w:val="00F731D4"/>
    <w:rsid w:val="00F750B4"/>
    <w:rsid w:val="00F801DA"/>
    <w:rsid w:val="00F80918"/>
    <w:rsid w:val="00F80A2A"/>
    <w:rsid w:val="00F80DCA"/>
    <w:rsid w:val="00F8304D"/>
    <w:rsid w:val="00F83973"/>
    <w:rsid w:val="00F83A16"/>
    <w:rsid w:val="00F840DD"/>
    <w:rsid w:val="00F85185"/>
    <w:rsid w:val="00F855D3"/>
    <w:rsid w:val="00F871CC"/>
    <w:rsid w:val="00F87F8F"/>
    <w:rsid w:val="00F9749B"/>
    <w:rsid w:val="00FA15F4"/>
    <w:rsid w:val="00FA6165"/>
    <w:rsid w:val="00FA7228"/>
    <w:rsid w:val="00FB0175"/>
    <w:rsid w:val="00FB067C"/>
    <w:rsid w:val="00FB0E9E"/>
    <w:rsid w:val="00FB35FF"/>
    <w:rsid w:val="00FB6355"/>
    <w:rsid w:val="00FB6843"/>
    <w:rsid w:val="00FB6BE5"/>
    <w:rsid w:val="00FC221F"/>
    <w:rsid w:val="00FC28D1"/>
    <w:rsid w:val="00FC4FA7"/>
    <w:rsid w:val="00FC5796"/>
    <w:rsid w:val="00FC5E11"/>
    <w:rsid w:val="00FC5F0F"/>
    <w:rsid w:val="00FC6137"/>
    <w:rsid w:val="00FC6BB9"/>
    <w:rsid w:val="00FD09BA"/>
    <w:rsid w:val="00FD2354"/>
    <w:rsid w:val="00FD41B3"/>
    <w:rsid w:val="00FE2D34"/>
    <w:rsid w:val="00FE3EF7"/>
    <w:rsid w:val="00FE4F3C"/>
    <w:rsid w:val="00FE6407"/>
    <w:rsid w:val="00FF0B3B"/>
    <w:rsid w:val="00FF11F4"/>
    <w:rsid w:val="00FF164A"/>
    <w:rsid w:val="00FF242C"/>
    <w:rsid w:val="00FF3BAF"/>
    <w:rsid w:val="00FF3BEE"/>
    <w:rsid w:val="00FF4927"/>
    <w:rsid w:val="00FF7896"/>
    <w:rsid w:val="010D4701"/>
    <w:rsid w:val="025D09D2"/>
    <w:rsid w:val="05EC5C08"/>
    <w:rsid w:val="068B1EC9"/>
    <w:rsid w:val="071A149F"/>
    <w:rsid w:val="09A17C56"/>
    <w:rsid w:val="0A71587A"/>
    <w:rsid w:val="0D2766C4"/>
    <w:rsid w:val="0D774F56"/>
    <w:rsid w:val="0F31382A"/>
    <w:rsid w:val="11421D1E"/>
    <w:rsid w:val="11477335"/>
    <w:rsid w:val="14AB3737"/>
    <w:rsid w:val="16881F81"/>
    <w:rsid w:val="19E82D37"/>
    <w:rsid w:val="1EED151B"/>
    <w:rsid w:val="1F3D3A3C"/>
    <w:rsid w:val="216D16D6"/>
    <w:rsid w:val="22CA3922"/>
    <w:rsid w:val="27027B2E"/>
    <w:rsid w:val="2829192F"/>
    <w:rsid w:val="28EA394A"/>
    <w:rsid w:val="29AA0009"/>
    <w:rsid w:val="30B05F05"/>
    <w:rsid w:val="326F3B9E"/>
    <w:rsid w:val="34376B87"/>
    <w:rsid w:val="348222AE"/>
    <w:rsid w:val="352B46F4"/>
    <w:rsid w:val="35F920FC"/>
    <w:rsid w:val="36E508D2"/>
    <w:rsid w:val="37357164"/>
    <w:rsid w:val="37955E55"/>
    <w:rsid w:val="380509B1"/>
    <w:rsid w:val="391B682D"/>
    <w:rsid w:val="397F500E"/>
    <w:rsid w:val="39C1016B"/>
    <w:rsid w:val="3C1F54FC"/>
    <w:rsid w:val="3DBE6E68"/>
    <w:rsid w:val="3E23240C"/>
    <w:rsid w:val="3FAE3F57"/>
    <w:rsid w:val="3FAE6F93"/>
    <w:rsid w:val="41426891"/>
    <w:rsid w:val="439B0C97"/>
    <w:rsid w:val="472C1694"/>
    <w:rsid w:val="48D6451F"/>
    <w:rsid w:val="49CA7BE0"/>
    <w:rsid w:val="4D9F1383"/>
    <w:rsid w:val="4EB33338"/>
    <w:rsid w:val="4F6B3C13"/>
    <w:rsid w:val="530625EF"/>
    <w:rsid w:val="53D53D51"/>
    <w:rsid w:val="55376345"/>
    <w:rsid w:val="56C41E5B"/>
    <w:rsid w:val="59503D81"/>
    <w:rsid w:val="59AF0332"/>
    <w:rsid w:val="5A00764E"/>
    <w:rsid w:val="5A6B2D19"/>
    <w:rsid w:val="5C2F5FC8"/>
    <w:rsid w:val="5D5455B6"/>
    <w:rsid w:val="5DFE1953"/>
    <w:rsid w:val="5E2733FB"/>
    <w:rsid w:val="5F1F4A13"/>
    <w:rsid w:val="61151C31"/>
    <w:rsid w:val="62BD665E"/>
    <w:rsid w:val="62EA2C49"/>
    <w:rsid w:val="63F4441E"/>
    <w:rsid w:val="653B7496"/>
    <w:rsid w:val="65491EA9"/>
    <w:rsid w:val="660202AA"/>
    <w:rsid w:val="68993147"/>
    <w:rsid w:val="6A0601C3"/>
    <w:rsid w:val="6C053A4B"/>
    <w:rsid w:val="6C335661"/>
    <w:rsid w:val="6C7D068A"/>
    <w:rsid w:val="6C9F76B6"/>
    <w:rsid w:val="6DC36570"/>
    <w:rsid w:val="6DE5298B"/>
    <w:rsid w:val="70622071"/>
    <w:rsid w:val="71327C95"/>
    <w:rsid w:val="71BC3A02"/>
    <w:rsid w:val="740F250F"/>
    <w:rsid w:val="74143FCA"/>
    <w:rsid w:val="75C7329F"/>
    <w:rsid w:val="77890204"/>
    <w:rsid w:val="784C0892"/>
    <w:rsid w:val="79C95791"/>
    <w:rsid w:val="7DA22646"/>
    <w:rsid w:val="7E350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center"/>
    </w:pPr>
    <w:rPr>
      <w:rFonts w:ascii="Times New Roman" w:hAnsi="Times New Roman" w:eastAsia="方正小标宋简体" w:cs="Times New Roman"/>
      <w:kern w:val="2"/>
      <w:sz w:val="32"/>
      <w:szCs w:val="32"/>
      <w:lang w:val="en-US" w:eastAsia="zh-CN" w:bidi="ar-SA"/>
    </w:rPr>
  </w:style>
  <w:style w:type="paragraph" w:styleId="4">
    <w:name w:val="heading 1"/>
    <w:basedOn w:val="1"/>
    <w:next w:val="1"/>
    <w:link w:val="18"/>
    <w:qFormat/>
    <w:uiPriority w:val="0"/>
    <w:pPr>
      <w:outlineLvl w:val="0"/>
    </w:pPr>
    <w:rPr>
      <w:rFonts w:eastAsia="方正小标宋_GBK" w:cs="宋体"/>
      <w:bCs/>
      <w:kern w:val="44"/>
      <w:sz w:val="36"/>
    </w:rPr>
  </w:style>
  <w:style w:type="paragraph" w:styleId="5">
    <w:name w:val="heading 3"/>
    <w:basedOn w:val="1"/>
    <w:next w:val="1"/>
    <w:link w:val="29"/>
    <w:semiHidden/>
    <w:unhideWhenUsed/>
    <w:qFormat/>
    <w:uiPriority w:val="0"/>
    <w:pPr>
      <w:keepNext/>
      <w:keepLines/>
      <w:spacing w:before="260" w:after="260" w:line="416" w:lineRule="atLeast"/>
      <w:outlineLvl w:val="2"/>
    </w:pPr>
    <w:rPr>
      <w:b/>
      <w:bCs/>
    </w:rPr>
  </w:style>
  <w:style w:type="character" w:default="1" w:styleId="15">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99"/>
    <w:pPr>
      <w:spacing w:before="156" w:beforeLines="50" w:after="156" w:afterLines="50"/>
      <w:ind w:left="0" w:leftChars="0" w:firstLine="686"/>
    </w:pPr>
    <w:rPr>
      <w:rFonts w:ascii="黑体" w:hAnsi="黑体" w:eastAsia="黑体"/>
      <w:w w:val="96"/>
      <w:kern w:val="44"/>
    </w:rPr>
  </w:style>
  <w:style w:type="paragraph" w:styleId="3">
    <w:name w:val="Body Text Indent"/>
    <w:basedOn w:val="1"/>
    <w:autoRedefine/>
    <w:unhideWhenUsed/>
    <w:qFormat/>
    <w:uiPriority w:val="99"/>
    <w:pPr>
      <w:spacing w:after="120"/>
      <w:ind w:left="420" w:leftChars="200"/>
    </w:pPr>
  </w:style>
  <w:style w:type="paragraph" w:styleId="6">
    <w:name w:val="Normal Indent"/>
    <w:basedOn w:val="1"/>
    <w:next w:val="1"/>
    <w:qFormat/>
    <w:uiPriority w:val="0"/>
    <w:pPr>
      <w:widowControl/>
      <w:ind w:firstLine="420" w:firstLineChars="200"/>
      <w:jc w:val="left"/>
    </w:pPr>
    <w:rPr>
      <w:rFonts w:eastAsia="仿宋_GB2312"/>
      <w:kern w:val="0"/>
      <w:szCs w:val="24"/>
      <w:lang w:eastAsia="en-US" w:bidi="en-US"/>
    </w:rPr>
  </w:style>
  <w:style w:type="paragraph" w:styleId="7">
    <w:name w:val="caption"/>
    <w:basedOn w:val="1"/>
    <w:next w:val="1"/>
    <w:qFormat/>
    <w:uiPriority w:val="0"/>
    <w:pPr>
      <w:ind w:firstLine="1044" w:firstLineChars="200"/>
      <w:jc w:val="both"/>
    </w:pPr>
    <w:rPr>
      <w:rFonts w:ascii="Arial" w:hAnsi="Arial" w:eastAsia="黑体"/>
      <w:sz w:val="20"/>
      <w:szCs w:val="24"/>
    </w:rPr>
  </w:style>
  <w:style w:type="paragraph" w:styleId="8">
    <w:name w:val="Body Text Indent 2"/>
    <w:basedOn w:val="1"/>
    <w:link w:val="30"/>
    <w:unhideWhenUsed/>
    <w:qFormat/>
    <w:uiPriority w:val="0"/>
    <w:pPr>
      <w:spacing w:after="120" w:line="480" w:lineRule="auto"/>
      <w:ind w:left="420" w:leftChars="200" w:firstLine="1044" w:firstLineChars="200"/>
      <w:jc w:val="both"/>
    </w:pPr>
    <w:rPr>
      <w:rFonts w:eastAsia="仿宋_GB2312"/>
      <w:szCs w:val="24"/>
    </w:rPr>
  </w:style>
  <w:style w:type="paragraph" w:styleId="9">
    <w:name w:val="Balloon Text"/>
    <w:basedOn w:val="1"/>
    <w:link w:val="27"/>
    <w:qFormat/>
    <w:uiPriority w:val="0"/>
    <w:pPr>
      <w:spacing w:line="240" w:lineRule="auto"/>
    </w:pPr>
    <w:rPr>
      <w:sz w:val="18"/>
      <w:szCs w:val="18"/>
    </w:rPr>
  </w:style>
  <w:style w:type="paragraph" w:styleId="10">
    <w:name w:val="footer"/>
    <w:basedOn w:val="1"/>
    <w:autoRedefine/>
    <w:unhideWhenUsed/>
    <w:qFormat/>
    <w:uiPriority w:val="99"/>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2">
    <w:name w:val="toc 1"/>
    <w:basedOn w:val="1"/>
    <w:next w:val="1"/>
    <w:autoRedefine/>
    <w:qFormat/>
    <w:uiPriority w:val="39"/>
    <w:pPr>
      <w:tabs>
        <w:tab w:val="right" w:leader="dot" w:pos="8302"/>
      </w:tabs>
      <w:jc w:val="both"/>
    </w:pPr>
    <w:rPr>
      <w:rFonts w:ascii="黑体" w:hAnsi="黑体" w:eastAsia="黑体"/>
      <w:bCs/>
      <w:sz w:val="28"/>
      <w:szCs w:val="28"/>
    </w:rPr>
  </w:style>
  <w:style w:type="paragraph" w:styleId="13">
    <w:name w:val="toc 2"/>
    <w:basedOn w:val="1"/>
    <w:next w:val="1"/>
    <w:autoRedefine/>
    <w:qFormat/>
    <w:uiPriority w:val="39"/>
    <w:pPr>
      <w:tabs>
        <w:tab w:val="right" w:leader="dot" w:pos="8302"/>
      </w:tabs>
      <w:ind w:left="640" w:leftChars="200"/>
    </w:pPr>
    <w:rPr>
      <w:rFonts w:eastAsia="仿宋_GB2312"/>
      <w:sz w:val="28"/>
      <w:szCs w:val="28"/>
    </w:rPr>
  </w:style>
  <w:style w:type="character" w:styleId="16">
    <w:name w:val="Hyperlink"/>
    <w:basedOn w:val="15"/>
    <w:unhideWhenUsed/>
    <w:qFormat/>
    <w:uiPriority w:val="99"/>
    <w:rPr>
      <w:color w:val="0026E5" w:themeColor="hyperlink"/>
      <w:u w:val="single"/>
      <w14:textFill>
        <w14:solidFill>
          <w14:schemeClr w14:val="hlink"/>
        </w14:solidFill>
      </w14:textFill>
    </w:rPr>
  </w:style>
  <w:style w:type="paragraph" w:customStyle="1" w:styleId="17">
    <w:name w:val="三级条"/>
    <w:basedOn w:val="1"/>
    <w:qFormat/>
    <w:uiPriority w:val="0"/>
    <w:pPr>
      <w:snapToGrid w:val="0"/>
      <w:spacing w:before="50" w:beforeLines="50" w:after="50" w:afterLines="50"/>
      <w:jc w:val="both"/>
      <w:outlineLvl w:val="2"/>
    </w:pPr>
    <w:rPr>
      <w:rFonts w:eastAsia="楷体_GB2312"/>
    </w:rPr>
  </w:style>
  <w:style w:type="character" w:customStyle="1" w:styleId="18">
    <w:name w:val="标题 1 字符"/>
    <w:basedOn w:val="15"/>
    <w:link w:val="4"/>
    <w:qFormat/>
    <w:uiPriority w:val="0"/>
    <w:rPr>
      <w:rFonts w:eastAsia="方正小标宋_GBK" w:cs="宋体"/>
      <w:bCs/>
      <w:kern w:val="44"/>
      <w:sz w:val="36"/>
      <w:szCs w:val="32"/>
    </w:rPr>
  </w:style>
  <w:style w:type="paragraph" w:customStyle="1" w:styleId="19">
    <w:name w:val="0条 福州文本"/>
    <w:basedOn w:val="1"/>
    <w:autoRedefine/>
    <w:qFormat/>
    <w:uiPriority w:val="0"/>
    <w:pPr>
      <w:spacing w:beforeLines="100" w:after="100" w:afterAutospacing="1"/>
      <w:outlineLvl w:val="2"/>
    </w:pPr>
    <w:rPr>
      <w:rFonts w:ascii="黑体" w:hAnsi="黑体" w:eastAsia="黑体" w:cs="宋体"/>
      <w:b/>
      <w:sz w:val="30"/>
      <w:szCs w:val="30"/>
    </w:rPr>
  </w:style>
  <w:style w:type="character" w:customStyle="1" w:styleId="20">
    <w:name w:val="font11"/>
    <w:basedOn w:val="15"/>
    <w:autoRedefine/>
    <w:qFormat/>
    <w:uiPriority w:val="0"/>
    <w:rPr>
      <w:rFonts w:hint="eastAsia" w:ascii="仿宋_GB2312" w:eastAsia="仿宋_GB2312" w:cs="仿宋_GB2312"/>
      <w:color w:val="000000"/>
      <w:sz w:val="21"/>
      <w:szCs w:val="21"/>
      <w:u w:val="none"/>
    </w:rPr>
  </w:style>
  <w:style w:type="character" w:customStyle="1" w:styleId="21">
    <w:name w:val="font21"/>
    <w:basedOn w:val="15"/>
    <w:autoRedefine/>
    <w:qFormat/>
    <w:uiPriority w:val="0"/>
    <w:rPr>
      <w:rFonts w:hint="eastAsia" w:ascii="等线" w:hAnsi="等线" w:eastAsia="等线" w:cs="等线"/>
      <w:color w:val="000000"/>
      <w:sz w:val="21"/>
      <w:szCs w:val="21"/>
      <w:u w:val="none"/>
    </w:rPr>
  </w:style>
  <w:style w:type="character" w:customStyle="1" w:styleId="22">
    <w:name w:val="font31"/>
    <w:basedOn w:val="15"/>
    <w:autoRedefine/>
    <w:qFormat/>
    <w:uiPriority w:val="0"/>
    <w:rPr>
      <w:rFonts w:hint="eastAsia" w:ascii="仿宋_GB2312" w:eastAsia="仿宋_GB2312" w:cs="仿宋_GB2312"/>
      <w:color w:val="000000"/>
      <w:sz w:val="21"/>
      <w:szCs w:val="21"/>
      <w:u w:val="none"/>
    </w:rPr>
  </w:style>
  <w:style w:type="character" w:customStyle="1" w:styleId="23">
    <w:name w:val="font41"/>
    <w:basedOn w:val="15"/>
    <w:autoRedefine/>
    <w:qFormat/>
    <w:uiPriority w:val="0"/>
    <w:rPr>
      <w:rFonts w:ascii="等线" w:hAnsi="等线" w:eastAsia="等线" w:cs="等线"/>
      <w:b/>
      <w:bCs/>
      <w:color w:val="000000"/>
      <w:sz w:val="21"/>
      <w:szCs w:val="21"/>
      <w:u w:val="none"/>
    </w:rPr>
  </w:style>
  <w:style w:type="character" w:customStyle="1" w:styleId="24">
    <w:name w:val="font51"/>
    <w:basedOn w:val="15"/>
    <w:autoRedefine/>
    <w:qFormat/>
    <w:uiPriority w:val="0"/>
    <w:rPr>
      <w:rFonts w:ascii="仿宋_GB2312" w:eastAsia="仿宋_GB2312" w:cs="仿宋_GB2312"/>
      <w:color w:val="000000"/>
      <w:sz w:val="21"/>
      <w:szCs w:val="21"/>
      <w:u w:val="none"/>
    </w:rPr>
  </w:style>
  <w:style w:type="paragraph" w:customStyle="1" w:styleId="25">
    <w:name w:val="WPSOffice手动目录 1"/>
    <w:autoRedefine/>
    <w:qFormat/>
    <w:uiPriority w:val="0"/>
    <w:rPr>
      <w:rFonts w:ascii="Times New Roman" w:hAnsi="Times New Roman" w:eastAsia="宋体" w:cs="Times New Roman"/>
      <w:lang w:val="en-US" w:eastAsia="zh-CN" w:bidi="ar-SA"/>
    </w:rPr>
  </w:style>
  <w:style w:type="paragraph" w:customStyle="1" w:styleId="26">
    <w:name w:val="WPSOffice手动目录 2"/>
    <w:autoRedefine/>
    <w:qFormat/>
    <w:uiPriority w:val="0"/>
    <w:pPr>
      <w:ind w:left="200" w:leftChars="200"/>
    </w:pPr>
    <w:rPr>
      <w:rFonts w:ascii="Times New Roman" w:hAnsi="Times New Roman" w:eastAsia="宋体" w:cs="Times New Roman"/>
      <w:lang w:val="en-US" w:eastAsia="zh-CN" w:bidi="ar-SA"/>
    </w:rPr>
  </w:style>
  <w:style w:type="character" w:customStyle="1" w:styleId="27">
    <w:name w:val="批注框文本 字符"/>
    <w:basedOn w:val="15"/>
    <w:link w:val="9"/>
    <w:qFormat/>
    <w:uiPriority w:val="0"/>
    <w:rPr>
      <w:rFonts w:eastAsia="方正小标宋简体"/>
      <w:kern w:val="2"/>
      <w:sz w:val="18"/>
      <w:szCs w:val="18"/>
    </w:rPr>
  </w:style>
  <w:style w:type="paragraph" w:styleId="28">
    <w:name w:val="List Paragraph"/>
    <w:basedOn w:val="1"/>
    <w:qFormat/>
    <w:uiPriority w:val="34"/>
    <w:pPr>
      <w:ind w:firstLine="420" w:firstLineChars="200"/>
    </w:pPr>
  </w:style>
  <w:style w:type="character" w:customStyle="1" w:styleId="29">
    <w:name w:val="标题 3 字符"/>
    <w:basedOn w:val="15"/>
    <w:link w:val="5"/>
    <w:semiHidden/>
    <w:qFormat/>
    <w:uiPriority w:val="0"/>
    <w:rPr>
      <w:rFonts w:eastAsia="方正小标宋简体"/>
      <w:b/>
      <w:bCs/>
      <w:kern w:val="2"/>
      <w:sz w:val="32"/>
      <w:szCs w:val="32"/>
    </w:rPr>
  </w:style>
  <w:style w:type="character" w:customStyle="1" w:styleId="30">
    <w:name w:val="正文文本缩进 2 字符"/>
    <w:basedOn w:val="15"/>
    <w:link w:val="8"/>
    <w:qFormat/>
    <w:uiPriority w:val="0"/>
    <w:rPr>
      <w:rFonts w:eastAsia="仿宋_GB2312"/>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12518</Words>
  <Characters>12925</Characters>
  <Lines>321</Lines>
  <Paragraphs>90</Paragraphs>
  <TotalTime>4</TotalTime>
  <ScaleCrop>false</ScaleCrop>
  <LinksUpToDate>false</LinksUpToDate>
  <CharactersWithSpaces>13177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2024-08-24T13:04:00Z</dcterms:created>
  <dc:creator>Administrator</dc:creator>
  <cp:lastModifiedBy>国富</cp:lastModifiedBy>
  <cp:lastPrinted>2025-08-18T08:39:00Z</cp:lastPrinted>
  <dcterms:modified xsi:type="dcterms:W3CDTF">2026-09-02T08:15:12Z</dcterms:modified>
  <cp:revision>1477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80AEBC5DC5D74F2B83647D6530C910E7_13</vt:lpwstr>
  </property>
  <property fmtid="{D5CDD505-2E9C-101B-9397-08002B2CF9AE}" pid="4" name="KSOTemplateDocerSaveRecord">
    <vt:lpwstr>eyJoZGlkIjoiZTFiNGU3MzM2ZDEwNTRlZTUwYzY4MGQ1NjVkMTJhOWUiLCJ1c2VySWQiOiI2MzU1Mjg2NzAifQ==</vt:lpwstr>
  </property>
</Properties>
</file>