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DCF2B">
      <w:pPr>
        <w:ind w:firstLine="640"/>
        <w:rPr>
          <w:rFonts w:cs="Times New Roman"/>
          <w:szCs w:val="32"/>
        </w:rPr>
      </w:pPr>
      <w:bookmarkStart w:id="0" w:name="_Toc27675"/>
      <w:bookmarkStart w:id="1" w:name="_Toc5512"/>
      <w:bookmarkStart w:id="2" w:name="_Toc3634"/>
      <w:bookmarkStart w:id="3" w:name="_Toc13881"/>
      <w:bookmarkStart w:id="4" w:name="_Toc14590"/>
      <w:bookmarkStart w:id="5" w:name="_Toc26360"/>
      <w:bookmarkStart w:id="6" w:name="_Toc7547"/>
    </w:p>
    <w:p w14:paraId="6D9175C4">
      <w:pPr>
        <w:ind w:firstLine="0" w:firstLineChars="0"/>
        <w:rPr>
          <w:rFonts w:cs="Times New Roman"/>
          <w:szCs w:val="32"/>
        </w:rPr>
      </w:pPr>
    </w:p>
    <w:p w14:paraId="005FD58C">
      <w:pPr>
        <w:ind w:firstLine="0" w:firstLineChars="0"/>
        <w:rPr>
          <w:rFonts w:cs="Times New Roman"/>
          <w:szCs w:val="32"/>
        </w:rPr>
      </w:pPr>
      <w:bookmarkStart w:id="210" w:name="_GoBack"/>
      <w:bookmarkEnd w:id="210"/>
    </w:p>
    <w:p w14:paraId="778FFA5A">
      <w:pPr>
        <w:ind w:firstLine="0" w:firstLineChars="0"/>
        <w:rPr>
          <w:rFonts w:cs="Times New Roman"/>
          <w:szCs w:val="32"/>
        </w:rPr>
      </w:pPr>
    </w:p>
    <w:p w14:paraId="69844C20">
      <w:pPr>
        <w:ind w:firstLine="0" w:firstLineChars="0"/>
        <w:rPr>
          <w:rFonts w:cs="Times New Roman"/>
          <w:szCs w:val="32"/>
        </w:rPr>
      </w:pPr>
    </w:p>
    <w:p w14:paraId="250DC9DC">
      <w:pPr>
        <w:spacing w:line="240" w:lineRule="auto"/>
        <w:ind w:firstLine="0" w:firstLineChars="0"/>
        <w:jc w:val="center"/>
        <w:rPr>
          <w:rFonts w:hint="eastAsia" w:eastAsia="方正小标宋简体" w:cs="Times New Roman"/>
          <w:sz w:val="44"/>
          <w:szCs w:val="44"/>
          <w:lang w:val="en-US" w:eastAsia="zh-CN"/>
        </w:rPr>
      </w:pPr>
      <w:r>
        <w:rPr>
          <w:rFonts w:hint="eastAsia" w:eastAsia="方正小标宋简体" w:cs="Times New Roman"/>
          <w:sz w:val="44"/>
          <w:szCs w:val="44"/>
          <w:lang w:val="en-US" w:eastAsia="zh-CN"/>
        </w:rPr>
        <w:t>桦川</w:t>
      </w:r>
      <w:r>
        <w:rPr>
          <w:rFonts w:eastAsia="方正小标宋简体" w:cs="Times New Roman"/>
          <w:sz w:val="44"/>
          <w:szCs w:val="44"/>
        </w:rPr>
        <w:t>县</w:t>
      </w:r>
      <w:r>
        <w:rPr>
          <w:rFonts w:hint="eastAsia" w:eastAsia="方正小标宋简体" w:cs="Times New Roman"/>
          <w:sz w:val="44"/>
          <w:szCs w:val="44"/>
          <w:lang w:val="en-US" w:eastAsia="zh-CN"/>
        </w:rPr>
        <w:t>红兴隆分局（桦川境内）农场</w:t>
      </w:r>
    </w:p>
    <w:p w14:paraId="05AC117F">
      <w:pPr>
        <w:spacing w:line="240" w:lineRule="auto"/>
        <w:ind w:firstLine="0" w:firstLineChars="0"/>
        <w:jc w:val="center"/>
        <w:rPr>
          <w:rFonts w:hint="eastAsia" w:eastAsia="方正小标宋简体" w:cs="Times New Roman"/>
          <w:sz w:val="44"/>
          <w:szCs w:val="44"/>
        </w:rPr>
      </w:pPr>
      <w:r>
        <w:rPr>
          <w:rFonts w:eastAsia="方正小标宋简体" w:cs="Times New Roman"/>
          <w:sz w:val="44"/>
          <w:szCs w:val="44"/>
        </w:rPr>
        <w:t>国土空间总体规划</w:t>
      </w:r>
    </w:p>
    <w:p w14:paraId="4A8AE6AD">
      <w:pPr>
        <w:spacing w:line="240" w:lineRule="auto"/>
        <w:ind w:firstLine="0" w:firstLineChars="0"/>
        <w:jc w:val="center"/>
        <w:rPr>
          <w:rFonts w:eastAsia="方正小标宋简体" w:cs="Times New Roman"/>
          <w:sz w:val="44"/>
          <w:szCs w:val="44"/>
        </w:rPr>
      </w:pPr>
      <w:r>
        <w:rPr>
          <w:rFonts w:eastAsia="方正小标宋简体" w:cs="Times New Roman"/>
          <w:sz w:val="44"/>
          <w:szCs w:val="44"/>
        </w:rPr>
        <w:t>（</w:t>
      </w:r>
      <w:r>
        <w:rPr>
          <w:rFonts w:hint="default" w:ascii="Times New Roman" w:hAnsi="Times New Roman" w:eastAsia="方正小标宋简体" w:cs="Times New Roman"/>
          <w:sz w:val="44"/>
          <w:szCs w:val="44"/>
        </w:rPr>
        <w:t>2021-2035</w:t>
      </w:r>
      <w:r>
        <w:rPr>
          <w:rFonts w:eastAsia="方正小标宋简体" w:cs="Times New Roman"/>
          <w:sz w:val="44"/>
          <w:szCs w:val="44"/>
        </w:rPr>
        <w:t>年）</w:t>
      </w:r>
    </w:p>
    <w:p w14:paraId="4DC04999">
      <w:pPr>
        <w:ind w:firstLine="0" w:firstLineChars="0"/>
        <w:jc w:val="center"/>
        <w:rPr>
          <w:rFonts w:eastAsia="方正小标宋简体" w:cs="Times New Roman"/>
          <w:sz w:val="44"/>
          <w:szCs w:val="44"/>
        </w:rPr>
      </w:pPr>
    </w:p>
    <w:p w14:paraId="64D448BF">
      <w:pPr>
        <w:ind w:firstLine="0" w:firstLineChars="0"/>
        <w:jc w:val="center"/>
        <w:rPr>
          <w:rFonts w:eastAsia="方正小标宋简体" w:cs="Times New Roman"/>
          <w:sz w:val="44"/>
          <w:szCs w:val="44"/>
        </w:rPr>
      </w:pPr>
    </w:p>
    <w:p w14:paraId="3EF7C33E">
      <w:pPr>
        <w:ind w:firstLine="0" w:firstLineChars="0"/>
        <w:jc w:val="center"/>
        <w:rPr>
          <w:rFonts w:eastAsia="方正小标宋简体" w:cs="Times New Roman"/>
          <w:sz w:val="44"/>
          <w:szCs w:val="44"/>
        </w:rPr>
      </w:pPr>
    </w:p>
    <w:p w14:paraId="420A0507">
      <w:pPr>
        <w:ind w:firstLine="0" w:firstLineChars="0"/>
        <w:jc w:val="center"/>
        <w:rPr>
          <w:rFonts w:eastAsia="方正小标宋简体" w:cs="Times New Roman"/>
          <w:sz w:val="44"/>
          <w:szCs w:val="44"/>
        </w:rPr>
      </w:pPr>
    </w:p>
    <w:p w14:paraId="156FBFC7">
      <w:pPr>
        <w:ind w:firstLine="0" w:firstLineChars="0"/>
        <w:jc w:val="center"/>
        <w:rPr>
          <w:rFonts w:eastAsia="方正小标宋简体" w:cs="Times New Roman"/>
          <w:sz w:val="44"/>
          <w:szCs w:val="44"/>
        </w:rPr>
      </w:pPr>
    </w:p>
    <w:p w14:paraId="7B1CEDC9">
      <w:pPr>
        <w:ind w:firstLine="0" w:firstLineChars="0"/>
        <w:jc w:val="center"/>
        <w:rPr>
          <w:rFonts w:eastAsia="方正小标宋简体" w:cs="Times New Roman"/>
          <w:sz w:val="44"/>
          <w:szCs w:val="44"/>
        </w:rPr>
      </w:pPr>
    </w:p>
    <w:p w14:paraId="37C9774D">
      <w:pPr>
        <w:ind w:firstLine="0" w:firstLineChars="0"/>
        <w:jc w:val="center"/>
        <w:rPr>
          <w:rFonts w:eastAsia="方正小标宋简体" w:cs="Times New Roman"/>
          <w:sz w:val="44"/>
          <w:szCs w:val="44"/>
        </w:rPr>
      </w:pPr>
    </w:p>
    <w:p w14:paraId="46F28CE7">
      <w:pPr>
        <w:ind w:firstLine="0" w:firstLineChars="0"/>
        <w:jc w:val="center"/>
        <w:rPr>
          <w:rFonts w:eastAsia="方正小标宋简体" w:cs="Times New Roman"/>
          <w:sz w:val="44"/>
          <w:szCs w:val="44"/>
        </w:rPr>
      </w:pPr>
    </w:p>
    <w:p w14:paraId="62146224">
      <w:pPr>
        <w:ind w:firstLine="0" w:firstLineChars="0"/>
        <w:jc w:val="center"/>
        <w:rPr>
          <w:rFonts w:eastAsia="方正小标宋简体" w:cs="Times New Roman"/>
          <w:sz w:val="44"/>
          <w:szCs w:val="44"/>
        </w:rPr>
      </w:pPr>
    </w:p>
    <w:p w14:paraId="4305F251">
      <w:pPr>
        <w:ind w:firstLine="0" w:firstLineChars="0"/>
        <w:jc w:val="center"/>
        <w:rPr>
          <w:rFonts w:eastAsia="方正小标宋简体" w:cs="Times New Roman"/>
          <w:sz w:val="44"/>
          <w:szCs w:val="44"/>
        </w:rPr>
      </w:pPr>
    </w:p>
    <w:p w14:paraId="562DF533">
      <w:pPr>
        <w:ind w:firstLine="0" w:firstLineChars="0"/>
        <w:jc w:val="center"/>
        <w:rPr>
          <w:rFonts w:eastAsia="方正小标宋简体" w:cs="Times New Roman"/>
          <w:sz w:val="44"/>
          <w:szCs w:val="44"/>
        </w:rPr>
      </w:pPr>
    </w:p>
    <w:p w14:paraId="3C249552">
      <w:pPr>
        <w:ind w:firstLine="0" w:firstLineChars="0"/>
        <w:jc w:val="center"/>
        <w:rPr>
          <w:rFonts w:hint="eastAsia" w:eastAsia="方正小标宋简体" w:cs="Times New Roman"/>
          <w:szCs w:val="32"/>
          <w:highlight w:val="none"/>
          <w:lang w:eastAsia="zh-CN"/>
        </w:rPr>
      </w:pPr>
      <w:r>
        <w:rPr>
          <w:rFonts w:hint="eastAsia" w:eastAsia="方正小标宋简体" w:cs="Times New Roman"/>
          <w:szCs w:val="32"/>
          <w:highlight w:val="none"/>
          <w:lang w:val="en-US" w:eastAsia="zh-CN"/>
        </w:rPr>
        <w:t>桦川</w:t>
      </w:r>
      <w:r>
        <w:rPr>
          <w:rFonts w:eastAsia="方正小标宋简体" w:cs="Times New Roman"/>
          <w:szCs w:val="32"/>
          <w:highlight w:val="none"/>
        </w:rPr>
        <w:t>县人民政府</w:t>
      </w:r>
    </w:p>
    <w:p w14:paraId="0DEB57D3">
      <w:pPr>
        <w:ind w:firstLine="0" w:firstLineChars="0"/>
        <w:jc w:val="center"/>
        <w:rPr>
          <w:rFonts w:eastAsia="方正小标宋简体" w:cs="Times New Roman"/>
          <w:szCs w:val="32"/>
        </w:rPr>
      </w:pPr>
      <w:r>
        <w:rPr>
          <w:rFonts w:eastAsia="方正小标宋简体" w:cs="Times New Roman"/>
          <w:szCs w:val="32"/>
        </w:rPr>
        <w:t>二</w:t>
      </w:r>
      <w:r>
        <w:rPr>
          <w:rFonts w:eastAsia="宋体" w:cs="Times New Roman"/>
          <w:szCs w:val="32"/>
        </w:rPr>
        <w:t>〇</w:t>
      </w:r>
      <w:r>
        <w:rPr>
          <w:rFonts w:eastAsia="方正小标宋简体" w:cs="Times New Roman"/>
          <w:szCs w:val="32"/>
        </w:rPr>
        <w:t>二</w:t>
      </w:r>
      <w:r>
        <w:rPr>
          <w:rFonts w:hint="eastAsia" w:eastAsia="方正小标宋简体" w:cs="Times New Roman"/>
          <w:szCs w:val="32"/>
          <w:lang w:val="en-US" w:eastAsia="zh-CN"/>
        </w:rPr>
        <w:t>五</w:t>
      </w:r>
      <w:r>
        <w:rPr>
          <w:rFonts w:eastAsia="方正小标宋简体" w:cs="Times New Roman"/>
          <w:szCs w:val="32"/>
        </w:rPr>
        <w:t>年</w:t>
      </w:r>
      <w:r>
        <w:rPr>
          <w:rFonts w:hint="eastAsia" w:eastAsia="方正小标宋简体" w:cs="Times New Roman"/>
          <w:szCs w:val="32"/>
          <w:lang w:val="en-US" w:eastAsia="zh-CN"/>
        </w:rPr>
        <w:t>五</w:t>
      </w:r>
      <w:r>
        <w:rPr>
          <w:rFonts w:eastAsia="方正小标宋简体" w:cs="Times New Roman"/>
          <w:szCs w:val="32"/>
        </w:rPr>
        <w:t>月</w:t>
      </w:r>
    </w:p>
    <w:p w14:paraId="426AD489">
      <w:pPr>
        <w:spacing w:line="240" w:lineRule="auto"/>
        <w:ind w:firstLine="640"/>
        <w:rPr>
          <w:rFonts w:hint="eastAsia" w:eastAsia="仿宋_GB2312" w:cs="Times New Roman"/>
          <w:szCs w:val="32"/>
          <w:lang w:eastAsia="zh-CN"/>
        </w:rPr>
        <w:sectPr>
          <w:footerReference r:id="rId5" w:type="default"/>
          <w:pgSz w:w="11906" w:h="16838"/>
          <w:pgMar w:top="1440" w:right="1800" w:bottom="1440" w:left="1800" w:header="851" w:footer="992" w:gutter="0"/>
          <w:pgNumType w:fmt="decimal" w:start="1"/>
          <w:cols w:space="425" w:num="1"/>
          <w:docGrid w:type="lines" w:linePitch="312" w:charSpace="0"/>
        </w:sectPr>
      </w:pPr>
    </w:p>
    <w:bookmarkEnd w:id="0"/>
    <w:bookmarkEnd w:id="1"/>
    <w:bookmarkEnd w:id="2"/>
    <w:bookmarkEnd w:id="3"/>
    <w:bookmarkEnd w:id="4"/>
    <w:bookmarkEnd w:id="5"/>
    <w:bookmarkEnd w:id="6"/>
    <w:sdt>
      <w:sdtPr>
        <w:rPr>
          <w:rFonts w:hint="eastAsia" w:eastAsia="黑体" w:cs="Times New Roman"/>
          <w:szCs w:val="32"/>
        </w:rPr>
        <w:id w:val="147453878"/>
        <w15:color w:val="DBDBDB"/>
        <w:docPartObj>
          <w:docPartGallery w:val="Table of Contents"/>
          <w:docPartUnique/>
        </w:docPartObj>
      </w:sdtPr>
      <w:sdtEndPr>
        <w:rPr>
          <w:rFonts w:hint="eastAsia" w:ascii="Times New Roman" w:hAnsi="Times New Roman" w:eastAsia="宋体" w:cs="Times New Roman"/>
          <w:b w:val="0"/>
          <w:bCs w:val="0"/>
          <w:sz w:val="20"/>
          <w:szCs w:val="20"/>
          <w:highlight w:val="none"/>
        </w:rPr>
      </w:sdtEndPr>
      <w:sdtContent>
        <w:p w14:paraId="27671719">
          <w:pPr>
            <w:spacing w:line="600" w:lineRule="atLeast"/>
            <w:jc w:val="center"/>
            <w:rPr>
              <w:rFonts w:ascii="Times New Roman" w:hAnsi="Times New Roman" w:eastAsia="仿宋_GB2312" w:cs="Times New Roman"/>
              <w:kern w:val="2"/>
              <w:sz w:val="36"/>
              <w:szCs w:val="36"/>
              <w:lang w:val="en-US" w:eastAsia="zh-CN" w:bidi="ar-SA"/>
            </w:rPr>
          </w:pPr>
          <w:r>
            <w:rPr>
              <w:rFonts w:hint="eastAsia" w:eastAsia="黑体" w:cs="Times New Roman"/>
              <w:szCs w:val="32"/>
            </w:rPr>
            <w:t xml:space="preserve">目 </w:t>
          </w:r>
          <w:r>
            <w:rPr>
              <w:rFonts w:eastAsia="黑体" w:cs="Times New Roman"/>
              <w:szCs w:val="32"/>
            </w:rPr>
            <w:t xml:space="preserve"> </w:t>
          </w:r>
          <w:r>
            <w:rPr>
              <w:rFonts w:hint="eastAsia" w:eastAsia="黑体" w:cs="Times New Roman"/>
              <w:szCs w:val="32"/>
            </w:rPr>
            <w:t>录</w:t>
          </w:r>
          <w:r>
            <w:rPr>
              <w:rFonts w:ascii="Times New Roman" w:hAnsi="Times New Roman" w:eastAsia="宋体" w:cs="Times New Roman"/>
              <w:kern w:val="0"/>
              <w:sz w:val="36"/>
              <w:szCs w:val="36"/>
            </w:rPr>
            <w:fldChar w:fldCharType="begin"/>
          </w:r>
          <w:r>
            <w:rPr>
              <w:rFonts w:ascii="Times New Roman" w:hAnsi="Times New Roman" w:cs="Times New Roman"/>
              <w:sz w:val="36"/>
              <w:szCs w:val="36"/>
            </w:rPr>
            <w:instrText xml:space="preserve">TOC \o "1-2" \h \u </w:instrText>
          </w:r>
          <w:r>
            <w:rPr>
              <w:rFonts w:ascii="Times New Roman" w:hAnsi="Times New Roman" w:eastAsia="宋体" w:cs="Times New Roman"/>
              <w:kern w:val="0"/>
              <w:sz w:val="36"/>
              <w:szCs w:val="36"/>
            </w:rPr>
            <w:fldChar w:fldCharType="separate"/>
          </w:r>
        </w:p>
        <w:p w14:paraId="73479DF2">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_Toc23596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第一章 总则</w:t>
          </w:r>
          <w:r>
            <w:tab/>
          </w:r>
          <w:r>
            <w:fldChar w:fldCharType="begin"/>
          </w:r>
          <w:r>
            <w:instrText xml:space="preserve"> PAGEREF _Toc23596 \h </w:instrText>
          </w:r>
          <w:r>
            <w:fldChar w:fldCharType="separate"/>
          </w:r>
          <w:r>
            <w:t>1</w:t>
          </w:r>
          <w:r>
            <w:fldChar w:fldCharType="end"/>
          </w:r>
          <w:r>
            <w:rPr>
              <w:rFonts w:ascii="Times New Roman" w:hAnsi="Times New Roman" w:cs="Times New Roman"/>
              <w:szCs w:val="36"/>
            </w:rPr>
            <w:fldChar w:fldCharType="end"/>
          </w:r>
        </w:p>
        <w:p w14:paraId="43E6F3A4">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_Toc28510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第二章 目标定位与空间策略</w:t>
          </w:r>
          <w:r>
            <w:tab/>
          </w:r>
          <w:r>
            <w:fldChar w:fldCharType="begin"/>
          </w:r>
          <w:r>
            <w:instrText xml:space="preserve"> PAGEREF _Toc28510 \h </w:instrText>
          </w:r>
          <w:r>
            <w:fldChar w:fldCharType="separate"/>
          </w:r>
          <w:r>
            <w:t>7</w:t>
          </w:r>
          <w:r>
            <w:fldChar w:fldCharType="end"/>
          </w:r>
          <w:r>
            <w:rPr>
              <w:rFonts w:ascii="Times New Roman" w:hAnsi="Times New Roman" w:cs="Times New Roman"/>
              <w:szCs w:val="36"/>
            </w:rPr>
            <w:fldChar w:fldCharType="end"/>
          </w:r>
        </w:p>
        <w:p w14:paraId="2E073558">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_Toc24388 </w:instrText>
          </w:r>
          <w:r>
            <w:rPr>
              <w:rFonts w:ascii="Times New Roman" w:hAnsi="Times New Roman" w:cs="Times New Roman"/>
              <w:szCs w:val="36"/>
            </w:rPr>
            <w:fldChar w:fldCharType="separate"/>
          </w:r>
          <w:r>
            <w:rPr>
              <w:rFonts w:ascii="Times New Roman" w:hAnsi="Times New Roman" w:cs="Times New Roman"/>
              <w:highlight w:val="none"/>
            </w:rPr>
            <w:t>第一节</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规划定位</w:t>
          </w:r>
          <w:r>
            <w:tab/>
          </w:r>
          <w:r>
            <w:fldChar w:fldCharType="begin"/>
          </w:r>
          <w:r>
            <w:instrText xml:space="preserve"> PAGEREF _Toc24388 \h </w:instrText>
          </w:r>
          <w:r>
            <w:fldChar w:fldCharType="separate"/>
          </w:r>
          <w:r>
            <w:t>7</w:t>
          </w:r>
          <w:r>
            <w:fldChar w:fldCharType="end"/>
          </w:r>
          <w:r>
            <w:rPr>
              <w:rFonts w:ascii="Times New Roman" w:hAnsi="Times New Roman" w:cs="Times New Roman"/>
              <w:szCs w:val="36"/>
            </w:rPr>
            <w:fldChar w:fldCharType="end"/>
          </w:r>
        </w:p>
        <w:p w14:paraId="6117F42F">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_Toc5458 </w:instrText>
          </w:r>
          <w:r>
            <w:rPr>
              <w:rFonts w:ascii="Times New Roman" w:hAnsi="Times New Roman" w:cs="Times New Roman"/>
              <w:szCs w:val="36"/>
            </w:rPr>
            <w:fldChar w:fldCharType="separate"/>
          </w:r>
          <w:r>
            <w:rPr>
              <w:rFonts w:ascii="Times New Roman" w:hAnsi="Times New Roman" w:cs="Times New Roman"/>
              <w:highlight w:val="none"/>
            </w:rPr>
            <w:t>第二节</w:t>
          </w:r>
          <w:r>
            <w:rPr>
              <w:rFonts w:hint="eastAsia" w:ascii="Times New Roman" w:hAnsi="Times New Roman" w:cs="Times New Roman"/>
              <w:highlight w:val="none"/>
            </w:rPr>
            <w:t xml:space="preserve"> </w:t>
          </w:r>
          <w:r>
            <w:rPr>
              <w:rFonts w:ascii="Times New Roman" w:hAnsi="Times New Roman" w:cs="Times New Roman"/>
              <w:highlight w:val="none"/>
            </w:rPr>
            <w:t>规划目标</w:t>
          </w:r>
          <w:r>
            <w:rPr>
              <w:rFonts w:hint="eastAsia" w:ascii="Times New Roman" w:hAnsi="Times New Roman" w:cs="Times New Roman"/>
              <w:highlight w:val="none"/>
            </w:rPr>
            <w:t>与指标体系</w:t>
          </w:r>
          <w:r>
            <w:tab/>
          </w:r>
          <w:r>
            <w:fldChar w:fldCharType="begin"/>
          </w:r>
          <w:r>
            <w:instrText xml:space="preserve"> PAGEREF _Toc5458 \h </w:instrText>
          </w:r>
          <w:r>
            <w:fldChar w:fldCharType="separate"/>
          </w:r>
          <w:r>
            <w:t>7</w:t>
          </w:r>
          <w:r>
            <w:fldChar w:fldCharType="end"/>
          </w:r>
          <w:r>
            <w:rPr>
              <w:rFonts w:ascii="Times New Roman" w:hAnsi="Times New Roman" w:cs="Times New Roman"/>
              <w:szCs w:val="36"/>
            </w:rPr>
            <w:fldChar w:fldCharType="end"/>
          </w:r>
        </w:p>
        <w:p w14:paraId="3CADDC6E">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_Toc7001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rPr>
            <w:t>三</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hint="eastAsia" w:cs="Times New Roman"/>
              <w:highlight w:val="none"/>
              <w:lang w:val="en-US" w:eastAsia="zh-CN"/>
            </w:rPr>
            <w:t>空间策略</w:t>
          </w:r>
          <w:r>
            <w:tab/>
          </w:r>
          <w:r>
            <w:fldChar w:fldCharType="begin"/>
          </w:r>
          <w:r>
            <w:instrText xml:space="preserve"> PAGEREF _Toc7001 \h </w:instrText>
          </w:r>
          <w:r>
            <w:fldChar w:fldCharType="separate"/>
          </w:r>
          <w:r>
            <w:t>8</w:t>
          </w:r>
          <w:r>
            <w:fldChar w:fldCharType="end"/>
          </w:r>
          <w:r>
            <w:rPr>
              <w:rFonts w:ascii="Times New Roman" w:hAnsi="Times New Roman" w:cs="Times New Roman"/>
              <w:szCs w:val="36"/>
            </w:rPr>
            <w:fldChar w:fldCharType="end"/>
          </w:r>
        </w:p>
        <w:p w14:paraId="11AADCF7">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_Toc9313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第三章 国土空间格局</w:t>
          </w:r>
          <w:r>
            <w:tab/>
          </w:r>
          <w:r>
            <w:fldChar w:fldCharType="begin"/>
          </w:r>
          <w:r>
            <w:instrText xml:space="preserve"> PAGEREF _Toc9313 \h </w:instrText>
          </w:r>
          <w:r>
            <w:fldChar w:fldCharType="separate"/>
          </w:r>
          <w:r>
            <w:t>10</w:t>
          </w:r>
          <w:r>
            <w:fldChar w:fldCharType="end"/>
          </w:r>
          <w:r>
            <w:rPr>
              <w:rFonts w:ascii="Times New Roman" w:hAnsi="Times New Roman" w:cs="Times New Roman"/>
              <w:szCs w:val="36"/>
            </w:rPr>
            <w:fldChar w:fldCharType="end"/>
          </w:r>
        </w:p>
        <w:p w14:paraId="6ECD5DA3">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_Toc15587 </w:instrText>
          </w:r>
          <w:r>
            <w:rPr>
              <w:rFonts w:ascii="Times New Roman" w:hAnsi="Times New Roman" w:cs="Times New Roman"/>
              <w:szCs w:val="36"/>
            </w:rPr>
            <w:fldChar w:fldCharType="separate"/>
          </w:r>
          <w:r>
            <w:rPr>
              <w:rFonts w:hint="eastAsia" w:ascii="Times New Roman" w:hAnsi="Times New Roman" w:cs="Times New Roman"/>
              <w:highlight w:val="none"/>
            </w:rPr>
            <w:t>第一节 区域</w:t>
          </w:r>
          <w:r>
            <w:rPr>
              <w:rFonts w:hint="eastAsia" w:cs="Times New Roman"/>
              <w:highlight w:val="none"/>
              <w:lang w:val="en-US" w:eastAsia="zh-CN"/>
            </w:rPr>
            <w:t>协同发展</w:t>
          </w:r>
          <w:r>
            <w:tab/>
          </w:r>
          <w:r>
            <w:fldChar w:fldCharType="begin"/>
          </w:r>
          <w:r>
            <w:instrText xml:space="preserve"> PAGEREF _Toc15587 \h </w:instrText>
          </w:r>
          <w:r>
            <w:fldChar w:fldCharType="separate"/>
          </w:r>
          <w:r>
            <w:t>10</w:t>
          </w:r>
          <w:r>
            <w:fldChar w:fldCharType="end"/>
          </w:r>
          <w:r>
            <w:rPr>
              <w:rFonts w:ascii="Times New Roman" w:hAnsi="Times New Roman" w:cs="Times New Roman"/>
              <w:szCs w:val="36"/>
            </w:rPr>
            <w:fldChar w:fldCharType="end"/>
          </w:r>
        </w:p>
        <w:p w14:paraId="69501C72">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_Toc2493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二</w:t>
          </w:r>
          <w:r>
            <w:rPr>
              <w:rFonts w:hint="eastAsia" w:ascii="Times New Roman" w:hAnsi="Times New Roman" w:cs="Times New Roman"/>
              <w:highlight w:val="none"/>
            </w:rPr>
            <w:t>节 落实主体功能区</w:t>
          </w:r>
          <w:r>
            <w:tab/>
          </w:r>
          <w:r>
            <w:fldChar w:fldCharType="begin"/>
          </w:r>
          <w:r>
            <w:instrText xml:space="preserve"> PAGEREF _Toc2493 \h </w:instrText>
          </w:r>
          <w:r>
            <w:fldChar w:fldCharType="separate"/>
          </w:r>
          <w:r>
            <w:t>10</w:t>
          </w:r>
          <w:r>
            <w:fldChar w:fldCharType="end"/>
          </w:r>
          <w:r>
            <w:rPr>
              <w:rFonts w:ascii="Times New Roman" w:hAnsi="Times New Roman" w:cs="Times New Roman"/>
              <w:szCs w:val="36"/>
            </w:rPr>
            <w:fldChar w:fldCharType="end"/>
          </w:r>
        </w:p>
        <w:p w14:paraId="4A136BD6">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_Toc3197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三</w:t>
          </w:r>
          <w:r>
            <w:rPr>
              <w:rFonts w:hint="eastAsia" w:ascii="Times New Roman" w:hAnsi="Times New Roman" w:cs="Times New Roman"/>
              <w:highlight w:val="none"/>
            </w:rPr>
            <w:t>节 国土空间</w:t>
          </w:r>
          <w:r>
            <w:rPr>
              <w:rFonts w:hint="eastAsia" w:cs="Times New Roman"/>
              <w:highlight w:val="none"/>
              <w:lang w:val="en-US" w:eastAsia="zh-CN"/>
            </w:rPr>
            <w:t>总体</w:t>
          </w:r>
          <w:r>
            <w:rPr>
              <w:rFonts w:hint="eastAsia" w:ascii="Times New Roman" w:hAnsi="Times New Roman" w:cs="Times New Roman"/>
              <w:highlight w:val="none"/>
            </w:rPr>
            <w:t>格局</w:t>
          </w:r>
          <w:r>
            <w:tab/>
          </w:r>
          <w:r>
            <w:fldChar w:fldCharType="begin"/>
          </w:r>
          <w:r>
            <w:instrText xml:space="preserve"> PAGEREF _Toc3197 \h </w:instrText>
          </w:r>
          <w:r>
            <w:fldChar w:fldCharType="separate"/>
          </w:r>
          <w:r>
            <w:t>11</w:t>
          </w:r>
          <w:r>
            <w:fldChar w:fldCharType="end"/>
          </w:r>
          <w:r>
            <w:rPr>
              <w:rFonts w:ascii="Times New Roman" w:hAnsi="Times New Roman" w:cs="Times New Roman"/>
              <w:szCs w:val="36"/>
            </w:rPr>
            <w:fldChar w:fldCharType="end"/>
          </w:r>
        </w:p>
        <w:p w14:paraId="4C938AC9">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_Toc768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四</w:t>
          </w:r>
          <w:r>
            <w:rPr>
              <w:rFonts w:hint="eastAsia" w:ascii="Times New Roman" w:hAnsi="Times New Roman" w:cs="Times New Roman"/>
              <w:highlight w:val="none"/>
            </w:rPr>
            <w:t>节 规划分区</w:t>
          </w:r>
          <w:r>
            <w:tab/>
          </w:r>
          <w:r>
            <w:fldChar w:fldCharType="begin"/>
          </w:r>
          <w:r>
            <w:instrText xml:space="preserve"> PAGEREF _Toc768 \h </w:instrText>
          </w:r>
          <w:r>
            <w:fldChar w:fldCharType="separate"/>
          </w:r>
          <w:r>
            <w:t>11</w:t>
          </w:r>
          <w:r>
            <w:fldChar w:fldCharType="end"/>
          </w:r>
          <w:r>
            <w:rPr>
              <w:rFonts w:ascii="Times New Roman" w:hAnsi="Times New Roman" w:cs="Times New Roman"/>
              <w:szCs w:val="36"/>
            </w:rPr>
            <w:fldChar w:fldCharType="end"/>
          </w:r>
        </w:p>
        <w:p w14:paraId="394AF1A4">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_Toc13085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五</w:t>
          </w:r>
          <w:r>
            <w:rPr>
              <w:rFonts w:hint="eastAsia" w:ascii="Times New Roman" w:hAnsi="Times New Roman" w:cs="Times New Roman"/>
              <w:highlight w:val="none"/>
            </w:rPr>
            <w:t>节 国土空间用地功能结构调整</w:t>
          </w:r>
          <w:r>
            <w:tab/>
          </w:r>
          <w:r>
            <w:fldChar w:fldCharType="begin"/>
          </w:r>
          <w:r>
            <w:instrText xml:space="preserve"> PAGEREF _Toc13085 \h </w:instrText>
          </w:r>
          <w:r>
            <w:fldChar w:fldCharType="separate"/>
          </w:r>
          <w:r>
            <w:t>13</w:t>
          </w:r>
          <w:r>
            <w:fldChar w:fldCharType="end"/>
          </w:r>
          <w:r>
            <w:rPr>
              <w:rFonts w:ascii="Times New Roman" w:hAnsi="Times New Roman" w:cs="Times New Roman"/>
              <w:szCs w:val="36"/>
            </w:rPr>
            <w:fldChar w:fldCharType="end"/>
          </w:r>
        </w:p>
        <w:p w14:paraId="58B8F01B">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_Toc30724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第四章 空间布局优化</w:t>
          </w:r>
          <w:r>
            <w:tab/>
          </w:r>
          <w:r>
            <w:fldChar w:fldCharType="begin"/>
          </w:r>
          <w:r>
            <w:instrText xml:space="preserve"> PAGEREF _Toc30724 \h </w:instrText>
          </w:r>
          <w:r>
            <w:fldChar w:fldCharType="separate"/>
          </w:r>
          <w:r>
            <w:t>14</w:t>
          </w:r>
          <w:r>
            <w:fldChar w:fldCharType="end"/>
          </w:r>
          <w:r>
            <w:rPr>
              <w:rFonts w:ascii="Times New Roman" w:hAnsi="Times New Roman" w:cs="Times New Roman"/>
              <w:szCs w:val="36"/>
            </w:rPr>
            <w:fldChar w:fldCharType="end"/>
          </w:r>
        </w:p>
        <w:p w14:paraId="74CD4F1A">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_Toc14599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一</w:t>
          </w:r>
          <w:r>
            <w:rPr>
              <w:rFonts w:hint="eastAsia" w:ascii="Times New Roman" w:hAnsi="Times New Roman" w:cs="Times New Roman"/>
              <w:highlight w:val="none"/>
            </w:rPr>
            <w:t xml:space="preserve">节 </w:t>
          </w:r>
          <w:r>
            <w:rPr>
              <w:rFonts w:hint="eastAsia"/>
              <w:lang w:val="en-US" w:eastAsia="zh-CN"/>
            </w:rPr>
            <w:t>农业生产空间</w:t>
          </w:r>
          <w:r>
            <w:tab/>
          </w:r>
          <w:r>
            <w:fldChar w:fldCharType="begin"/>
          </w:r>
          <w:r>
            <w:instrText xml:space="preserve"> PAGEREF _Toc14599 \h </w:instrText>
          </w:r>
          <w:r>
            <w:fldChar w:fldCharType="separate"/>
          </w:r>
          <w:r>
            <w:t>14</w:t>
          </w:r>
          <w:r>
            <w:fldChar w:fldCharType="end"/>
          </w:r>
          <w:r>
            <w:rPr>
              <w:rFonts w:ascii="Times New Roman" w:hAnsi="Times New Roman" w:cs="Times New Roman"/>
              <w:szCs w:val="36"/>
            </w:rPr>
            <w:fldChar w:fldCharType="end"/>
          </w:r>
        </w:p>
        <w:p w14:paraId="5160D68D">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_Toc22661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二</w:t>
          </w:r>
          <w:r>
            <w:rPr>
              <w:rFonts w:hint="eastAsia" w:ascii="Times New Roman" w:hAnsi="Times New Roman" w:cs="Times New Roman"/>
              <w:highlight w:val="none"/>
            </w:rPr>
            <w:t>节 构建生态安全格局</w:t>
          </w:r>
          <w:r>
            <w:tab/>
          </w:r>
          <w:r>
            <w:fldChar w:fldCharType="begin"/>
          </w:r>
          <w:r>
            <w:instrText xml:space="preserve"> PAGEREF _Toc22661 \h </w:instrText>
          </w:r>
          <w:r>
            <w:fldChar w:fldCharType="separate"/>
          </w:r>
          <w:r>
            <w:t>18</w:t>
          </w:r>
          <w:r>
            <w:fldChar w:fldCharType="end"/>
          </w:r>
          <w:r>
            <w:rPr>
              <w:rFonts w:ascii="Times New Roman" w:hAnsi="Times New Roman" w:cs="Times New Roman"/>
              <w:szCs w:val="36"/>
            </w:rPr>
            <w:fldChar w:fldCharType="end"/>
          </w:r>
        </w:p>
        <w:p w14:paraId="461CC74F">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_Toc23912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三</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构建农场空间开发格局</w:t>
          </w:r>
          <w:r>
            <w:tab/>
          </w:r>
          <w:r>
            <w:fldChar w:fldCharType="begin"/>
          </w:r>
          <w:r>
            <w:instrText xml:space="preserve"> PAGEREF _Toc23912 \h </w:instrText>
          </w:r>
          <w:r>
            <w:fldChar w:fldCharType="separate"/>
          </w:r>
          <w:r>
            <w:t>22</w:t>
          </w:r>
          <w:r>
            <w:fldChar w:fldCharType="end"/>
          </w:r>
          <w:r>
            <w:rPr>
              <w:rFonts w:ascii="Times New Roman" w:hAnsi="Times New Roman" w:cs="Times New Roman"/>
              <w:szCs w:val="36"/>
            </w:rPr>
            <w:fldChar w:fldCharType="end"/>
          </w:r>
        </w:p>
        <w:p w14:paraId="2C848371">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_Toc17365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第五章 农场场部用地布局与结构</w:t>
          </w:r>
          <w:r>
            <w:tab/>
          </w:r>
          <w:r>
            <w:fldChar w:fldCharType="begin"/>
          </w:r>
          <w:r>
            <w:instrText xml:space="preserve"> PAGEREF _Toc17365 \h </w:instrText>
          </w:r>
          <w:r>
            <w:fldChar w:fldCharType="separate"/>
          </w:r>
          <w:r>
            <w:t>28</w:t>
          </w:r>
          <w:r>
            <w:fldChar w:fldCharType="end"/>
          </w:r>
          <w:r>
            <w:rPr>
              <w:rFonts w:ascii="Times New Roman" w:hAnsi="Times New Roman" w:cs="Times New Roman"/>
              <w:szCs w:val="36"/>
            </w:rPr>
            <w:fldChar w:fldCharType="end"/>
          </w:r>
        </w:p>
        <w:p w14:paraId="5FFBE039">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_Toc5054 </w:instrText>
          </w:r>
          <w:r>
            <w:rPr>
              <w:rFonts w:ascii="Times New Roman" w:hAnsi="Times New Roman" w:cs="Times New Roman"/>
              <w:szCs w:val="36"/>
            </w:rPr>
            <w:fldChar w:fldCharType="separate"/>
          </w:r>
          <w:r>
            <w:rPr>
              <w:rFonts w:hint="eastAsia" w:ascii="Times New Roman" w:hAnsi="Times New Roman" w:cs="Times New Roman"/>
              <w:highlight w:val="none"/>
            </w:rPr>
            <w:t>第一节 优化空间结构与用地布局</w:t>
          </w:r>
          <w:r>
            <w:tab/>
          </w:r>
          <w:r>
            <w:fldChar w:fldCharType="begin"/>
          </w:r>
          <w:r>
            <w:instrText xml:space="preserve"> PAGEREF _Toc5054 \h </w:instrText>
          </w:r>
          <w:r>
            <w:fldChar w:fldCharType="separate"/>
          </w:r>
          <w:r>
            <w:t>28</w:t>
          </w:r>
          <w:r>
            <w:fldChar w:fldCharType="end"/>
          </w:r>
          <w:r>
            <w:rPr>
              <w:rFonts w:ascii="Times New Roman" w:hAnsi="Times New Roman" w:cs="Times New Roman"/>
              <w:szCs w:val="36"/>
            </w:rPr>
            <w:fldChar w:fldCharType="end"/>
          </w:r>
        </w:p>
        <w:p w14:paraId="7661D502">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_Toc13094 </w:instrText>
          </w:r>
          <w:r>
            <w:rPr>
              <w:rFonts w:ascii="Times New Roman" w:hAnsi="Times New Roman" w:cs="Times New Roman"/>
              <w:szCs w:val="36"/>
            </w:rPr>
            <w:fldChar w:fldCharType="separate"/>
          </w:r>
          <w:r>
            <w:rPr>
              <w:rFonts w:hint="eastAsia" w:ascii="Times New Roman" w:hAnsi="Times New Roman" w:cs="Times New Roman"/>
              <w:highlight w:val="none"/>
            </w:rPr>
            <w:t xml:space="preserve">第二节 </w:t>
          </w:r>
          <w:r>
            <w:rPr>
              <w:rFonts w:hint="eastAsia" w:ascii="Times New Roman" w:hAnsi="Times New Roman" w:cs="Times New Roman"/>
              <w:highlight w:val="none"/>
              <w:lang w:val="en-US" w:eastAsia="zh-CN"/>
            </w:rPr>
            <w:t>居住空间布局</w:t>
          </w:r>
          <w:r>
            <w:tab/>
          </w:r>
          <w:r>
            <w:fldChar w:fldCharType="begin"/>
          </w:r>
          <w:r>
            <w:instrText xml:space="preserve"> PAGEREF _Toc13094 \h </w:instrText>
          </w:r>
          <w:r>
            <w:fldChar w:fldCharType="separate"/>
          </w:r>
          <w:r>
            <w:t>29</w:t>
          </w:r>
          <w:r>
            <w:fldChar w:fldCharType="end"/>
          </w:r>
          <w:r>
            <w:rPr>
              <w:rFonts w:ascii="Times New Roman" w:hAnsi="Times New Roman" w:cs="Times New Roman"/>
              <w:szCs w:val="36"/>
            </w:rPr>
            <w:fldChar w:fldCharType="end"/>
          </w:r>
        </w:p>
        <w:p w14:paraId="31FB356C">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_Toc7537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三</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公共服务空间布局</w:t>
          </w:r>
          <w:r>
            <w:tab/>
          </w:r>
          <w:r>
            <w:fldChar w:fldCharType="begin"/>
          </w:r>
          <w:r>
            <w:instrText xml:space="preserve"> PAGEREF _Toc7537 \h </w:instrText>
          </w:r>
          <w:r>
            <w:fldChar w:fldCharType="separate"/>
          </w:r>
          <w:r>
            <w:t>29</w:t>
          </w:r>
          <w:r>
            <w:fldChar w:fldCharType="end"/>
          </w:r>
          <w:r>
            <w:rPr>
              <w:rFonts w:ascii="Times New Roman" w:hAnsi="Times New Roman" w:cs="Times New Roman"/>
              <w:szCs w:val="36"/>
            </w:rPr>
            <w:fldChar w:fldCharType="end"/>
          </w:r>
        </w:p>
        <w:p w14:paraId="26097BE6">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_Toc25404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四</w:t>
          </w:r>
          <w:r>
            <w:rPr>
              <w:rFonts w:hint="eastAsia" w:ascii="Times New Roman" w:hAnsi="Times New Roman" w:cs="Times New Roman"/>
              <w:highlight w:val="none"/>
            </w:rPr>
            <w:t>节 绿地与开敞空间布局</w:t>
          </w:r>
          <w:r>
            <w:tab/>
          </w:r>
          <w:r>
            <w:fldChar w:fldCharType="begin"/>
          </w:r>
          <w:r>
            <w:instrText xml:space="preserve"> PAGEREF _Toc25404 \h </w:instrText>
          </w:r>
          <w:r>
            <w:fldChar w:fldCharType="separate"/>
          </w:r>
          <w:r>
            <w:t>31</w:t>
          </w:r>
          <w:r>
            <w:fldChar w:fldCharType="end"/>
          </w:r>
          <w:r>
            <w:rPr>
              <w:rFonts w:ascii="Times New Roman" w:hAnsi="Times New Roman" w:cs="Times New Roman"/>
              <w:szCs w:val="36"/>
            </w:rPr>
            <w:fldChar w:fldCharType="end"/>
          </w:r>
        </w:p>
        <w:p w14:paraId="22E033B5">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_Toc10571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五</w:t>
          </w:r>
          <w:r>
            <w:rPr>
              <w:rFonts w:hint="eastAsia" w:ascii="Times New Roman" w:hAnsi="Times New Roman" w:cs="Times New Roman"/>
              <w:highlight w:val="none"/>
            </w:rPr>
            <w:t xml:space="preserve">节 </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四线</w:t>
          </w:r>
          <w:r>
            <w:rPr>
              <w:rFonts w:hint="eastAsia" w:ascii="Times New Roman" w:hAnsi="Times New Roman" w:cs="Times New Roman"/>
              <w:highlight w:val="none"/>
              <w:lang w:eastAsia="zh-CN"/>
            </w:rPr>
            <w:t>”</w:t>
          </w:r>
          <w:r>
            <w:rPr>
              <w:rFonts w:hint="eastAsia" w:ascii="Times New Roman" w:hAnsi="Times New Roman" w:cs="Times New Roman"/>
              <w:highlight w:val="none"/>
            </w:rPr>
            <w:t>规划</w:t>
          </w:r>
          <w:r>
            <w:rPr>
              <w:rFonts w:hint="eastAsia" w:ascii="Times New Roman" w:hAnsi="Times New Roman" w:cs="Times New Roman"/>
              <w:highlight w:val="none"/>
              <w:lang w:val="en-US" w:eastAsia="zh-CN"/>
            </w:rPr>
            <w:t>与战略留白</w:t>
          </w:r>
          <w:r>
            <w:tab/>
          </w:r>
          <w:r>
            <w:fldChar w:fldCharType="begin"/>
          </w:r>
          <w:r>
            <w:instrText xml:space="preserve"> PAGEREF _Toc10571 \h </w:instrText>
          </w:r>
          <w:r>
            <w:fldChar w:fldCharType="separate"/>
          </w:r>
          <w:r>
            <w:t>32</w:t>
          </w:r>
          <w:r>
            <w:fldChar w:fldCharType="end"/>
          </w:r>
          <w:r>
            <w:rPr>
              <w:rFonts w:ascii="Times New Roman" w:hAnsi="Times New Roman" w:cs="Times New Roman"/>
              <w:szCs w:val="36"/>
            </w:rPr>
            <w:fldChar w:fldCharType="end"/>
          </w:r>
        </w:p>
        <w:p w14:paraId="6B5F00C0">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_Toc24700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第六章 完善基础保障体系建设</w:t>
          </w:r>
          <w:r>
            <w:tab/>
          </w:r>
          <w:r>
            <w:fldChar w:fldCharType="begin"/>
          </w:r>
          <w:r>
            <w:instrText xml:space="preserve"> PAGEREF _Toc24700 \h </w:instrText>
          </w:r>
          <w:r>
            <w:fldChar w:fldCharType="separate"/>
          </w:r>
          <w:r>
            <w:t>34</w:t>
          </w:r>
          <w:r>
            <w:fldChar w:fldCharType="end"/>
          </w:r>
          <w:r>
            <w:rPr>
              <w:rFonts w:ascii="Times New Roman" w:hAnsi="Times New Roman" w:cs="Times New Roman"/>
              <w:szCs w:val="36"/>
            </w:rPr>
            <w:fldChar w:fldCharType="end"/>
          </w:r>
        </w:p>
        <w:p w14:paraId="092B5C4A">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_Toc28603 </w:instrText>
          </w:r>
          <w:r>
            <w:rPr>
              <w:rFonts w:ascii="Times New Roman" w:hAnsi="Times New Roman" w:cs="Times New Roman"/>
              <w:szCs w:val="36"/>
            </w:rPr>
            <w:fldChar w:fldCharType="separate"/>
          </w:r>
          <w:r>
            <w:rPr>
              <w:rFonts w:hint="eastAsia" w:ascii="Times New Roman" w:hAnsi="Times New Roman" w:cs="Times New Roman"/>
              <w:highlight w:val="none"/>
            </w:rPr>
            <w:t>第一节 优化</w:t>
          </w:r>
          <w:r>
            <w:rPr>
              <w:rFonts w:hint="eastAsia" w:ascii="Times New Roman" w:hAnsi="Times New Roman" w:cs="Times New Roman"/>
              <w:highlight w:val="none"/>
              <w:lang w:val="en-US" w:eastAsia="zh-CN"/>
            </w:rPr>
            <w:t>场域</w:t>
          </w:r>
          <w:r>
            <w:rPr>
              <w:rFonts w:hint="eastAsia" w:ascii="Times New Roman" w:hAnsi="Times New Roman" w:cs="Times New Roman"/>
              <w:highlight w:val="none"/>
            </w:rPr>
            <w:t>综合交通组织</w:t>
          </w:r>
          <w:r>
            <w:tab/>
          </w:r>
          <w:r>
            <w:fldChar w:fldCharType="begin"/>
          </w:r>
          <w:r>
            <w:instrText xml:space="preserve"> PAGEREF _Toc28603 \h </w:instrText>
          </w:r>
          <w:r>
            <w:fldChar w:fldCharType="separate"/>
          </w:r>
          <w:r>
            <w:t>34</w:t>
          </w:r>
          <w:r>
            <w:fldChar w:fldCharType="end"/>
          </w:r>
          <w:r>
            <w:rPr>
              <w:rFonts w:ascii="Times New Roman" w:hAnsi="Times New Roman" w:cs="Times New Roman"/>
              <w:szCs w:val="36"/>
            </w:rPr>
            <w:fldChar w:fldCharType="end"/>
          </w:r>
        </w:p>
        <w:p w14:paraId="4385C9A0">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_Toc28859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二</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农场场部</w:t>
          </w:r>
          <w:r>
            <w:rPr>
              <w:rFonts w:hint="eastAsia" w:ascii="Times New Roman" w:hAnsi="Times New Roman" w:cs="Times New Roman"/>
              <w:highlight w:val="none"/>
            </w:rPr>
            <w:t>道路交通组织</w:t>
          </w:r>
          <w:r>
            <w:tab/>
          </w:r>
          <w:r>
            <w:fldChar w:fldCharType="begin"/>
          </w:r>
          <w:r>
            <w:instrText xml:space="preserve"> PAGEREF _Toc28859 \h </w:instrText>
          </w:r>
          <w:r>
            <w:fldChar w:fldCharType="separate"/>
          </w:r>
          <w:r>
            <w:t>35</w:t>
          </w:r>
          <w:r>
            <w:fldChar w:fldCharType="end"/>
          </w:r>
          <w:r>
            <w:rPr>
              <w:rFonts w:ascii="Times New Roman" w:hAnsi="Times New Roman" w:cs="Times New Roman"/>
              <w:szCs w:val="36"/>
            </w:rPr>
            <w:fldChar w:fldCharType="end"/>
          </w:r>
        </w:p>
        <w:p w14:paraId="1222CCE5">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_Toc14840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三</w:t>
          </w:r>
          <w:r>
            <w:rPr>
              <w:rFonts w:hint="eastAsia" w:ascii="Times New Roman" w:hAnsi="Times New Roman" w:cs="Times New Roman"/>
              <w:highlight w:val="none"/>
            </w:rPr>
            <w:t>节 提高公服设施均等化水平</w:t>
          </w:r>
          <w:r>
            <w:tab/>
          </w:r>
          <w:r>
            <w:fldChar w:fldCharType="begin"/>
          </w:r>
          <w:r>
            <w:instrText xml:space="preserve"> PAGEREF _Toc14840 \h </w:instrText>
          </w:r>
          <w:r>
            <w:fldChar w:fldCharType="separate"/>
          </w:r>
          <w:r>
            <w:t>37</w:t>
          </w:r>
          <w:r>
            <w:fldChar w:fldCharType="end"/>
          </w:r>
          <w:r>
            <w:rPr>
              <w:rFonts w:ascii="Times New Roman" w:hAnsi="Times New Roman" w:cs="Times New Roman"/>
              <w:szCs w:val="36"/>
            </w:rPr>
            <w:fldChar w:fldCharType="end"/>
          </w:r>
        </w:p>
        <w:p w14:paraId="6C0F7F11">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_Toc12343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四</w:t>
          </w:r>
          <w:r>
            <w:rPr>
              <w:rFonts w:hint="eastAsia" w:ascii="Times New Roman" w:hAnsi="Times New Roman" w:cs="Times New Roman"/>
              <w:highlight w:val="none"/>
            </w:rPr>
            <w:t>节 优化</w:t>
          </w:r>
          <w:r>
            <w:rPr>
              <w:rFonts w:hint="eastAsia" w:ascii="Times New Roman" w:hAnsi="Times New Roman" w:cs="Times New Roman"/>
              <w:highlight w:val="none"/>
              <w:lang w:val="en-US" w:eastAsia="zh-CN"/>
            </w:rPr>
            <w:t>场域</w:t>
          </w:r>
          <w:r>
            <w:rPr>
              <w:rFonts w:hint="eastAsia" w:ascii="Times New Roman" w:hAnsi="Times New Roman" w:cs="Times New Roman"/>
              <w:highlight w:val="none"/>
            </w:rPr>
            <w:t>基础设施空间布局</w:t>
          </w:r>
          <w:r>
            <w:tab/>
          </w:r>
          <w:r>
            <w:fldChar w:fldCharType="begin"/>
          </w:r>
          <w:r>
            <w:instrText xml:space="preserve"> PAGEREF _Toc12343 \h </w:instrText>
          </w:r>
          <w:r>
            <w:fldChar w:fldCharType="separate"/>
          </w:r>
          <w:r>
            <w:t>40</w:t>
          </w:r>
          <w:r>
            <w:fldChar w:fldCharType="end"/>
          </w:r>
          <w:r>
            <w:rPr>
              <w:rFonts w:ascii="Times New Roman" w:hAnsi="Times New Roman" w:cs="Times New Roman"/>
              <w:szCs w:val="36"/>
            </w:rPr>
            <w:fldChar w:fldCharType="end"/>
          </w:r>
        </w:p>
        <w:p w14:paraId="6AA7C202">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_Toc29576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cs="Times New Roman"/>
              <w:highlight w:val="none"/>
              <w:lang w:val="en-US" w:eastAsia="zh-CN"/>
            </w:rPr>
            <w:t>五</w:t>
          </w:r>
          <w:r>
            <w:rPr>
              <w:rFonts w:hint="eastAsia" w:ascii="Times New Roman" w:hAnsi="Times New Roman" w:cs="Times New Roman"/>
              <w:highlight w:val="none"/>
            </w:rPr>
            <w:t>节 健全综合防灾体系</w:t>
          </w:r>
          <w:r>
            <w:tab/>
          </w:r>
          <w:r>
            <w:fldChar w:fldCharType="begin"/>
          </w:r>
          <w:r>
            <w:instrText xml:space="preserve"> PAGEREF _Toc29576 \h </w:instrText>
          </w:r>
          <w:r>
            <w:fldChar w:fldCharType="separate"/>
          </w:r>
          <w:r>
            <w:t>44</w:t>
          </w:r>
          <w:r>
            <w:fldChar w:fldCharType="end"/>
          </w:r>
          <w:r>
            <w:rPr>
              <w:rFonts w:ascii="Times New Roman" w:hAnsi="Times New Roman" w:cs="Times New Roman"/>
              <w:szCs w:val="36"/>
            </w:rPr>
            <w:fldChar w:fldCharType="end"/>
          </w:r>
        </w:p>
        <w:p w14:paraId="12FCCB3A">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_Toc8375 </w:instrText>
          </w:r>
          <w:r>
            <w:rPr>
              <w:rFonts w:ascii="Times New Roman" w:hAnsi="Times New Roman" w:cs="Times New Roman"/>
              <w:szCs w:val="36"/>
            </w:rPr>
            <w:fldChar w:fldCharType="separate"/>
          </w:r>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七</w:t>
          </w:r>
          <w:r>
            <w:rPr>
              <w:rFonts w:hint="eastAsia" w:ascii="Times New Roman" w:hAnsi="Times New Roman" w:cs="Times New Roman"/>
              <w:highlight w:val="none"/>
            </w:rPr>
            <w:t>节 加强水利基础设施建设</w:t>
          </w:r>
          <w:r>
            <w:tab/>
          </w:r>
          <w:r>
            <w:fldChar w:fldCharType="begin"/>
          </w:r>
          <w:r>
            <w:instrText xml:space="preserve"> PAGEREF _Toc8375 \h </w:instrText>
          </w:r>
          <w:r>
            <w:fldChar w:fldCharType="separate"/>
          </w:r>
          <w:r>
            <w:t>51</w:t>
          </w:r>
          <w:r>
            <w:fldChar w:fldCharType="end"/>
          </w:r>
          <w:r>
            <w:rPr>
              <w:rFonts w:ascii="Times New Roman" w:hAnsi="Times New Roman" w:cs="Times New Roman"/>
              <w:szCs w:val="36"/>
            </w:rPr>
            <w:fldChar w:fldCharType="end"/>
          </w:r>
        </w:p>
        <w:p w14:paraId="0DEA859B">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_Toc20239 </w:instrText>
          </w:r>
          <w:r>
            <w:rPr>
              <w:rFonts w:ascii="Times New Roman" w:hAnsi="Times New Roman" w:cs="Times New Roman"/>
              <w:szCs w:val="36"/>
            </w:rPr>
            <w:fldChar w:fldCharType="separate"/>
          </w:r>
          <w:r>
            <w:rPr>
              <w:rFonts w:hint="default" w:ascii="Times New Roman" w:hAnsi="Times New Roman" w:cs="Times New Roman"/>
              <w:highlight w:val="none"/>
              <w:lang w:val="en-US" w:eastAsia="zh-CN"/>
            </w:rPr>
            <w:t>第</w:t>
          </w:r>
          <w:r>
            <w:rPr>
              <w:rFonts w:hint="eastAsia" w:ascii="Times New Roman" w:hAnsi="Times New Roman" w:cs="Times New Roman"/>
              <w:highlight w:val="none"/>
              <w:lang w:val="en-US" w:eastAsia="zh-CN"/>
            </w:rPr>
            <w:t>六</w:t>
          </w:r>
          <w:r>
            <w:rPr>
              <w:rFonts w:hint="default" w:ascii="Times New Roman" w:hAnsi="Times New Roman" w:cs="Times New Roman"/>
              <w:highlight w:val="none"/>
              <w:lang w:val="en-US" w:eastAsia="zh-CN"/>
            </w:rPr>
            <w:t xml:space="preserve">节 </w:t>
          </w:r>
          <w:r>
            <w:rPr>
              <w:rFonts w:hint="default" w:ascii="Times New Roman" w:hAnsi="Times New Roman" w:cs="Times New Roman"/>
              <w:highlight w:val="none"/>
            </w:rPr>
            <w:t>矿产资源保护与利用</w:t>
          </w:r>
          <w:r>
            <w:tab/>
          </w:r>
          <w:r>
            <w:fldChar w:fldCharType="begin"/>
          </w:r>
          <w:r>
            <w:instrText xml:space="preserve"> PAGEREF _Toc20239 \h </w:instrText>
          </w:r>
          <w:r>
            <w:fldChar w:fldCharType="separate"/>
          </w:r>
          <w:r>
            <w:t>52</w:t>
          </w:r>
          <w:r>
            <w:fldChar w:fldCharType="end"/>
          </w:r>
          <w:r>
            <w:rPr>
              <w:rFonts w:ascii="Times New Roman" w:hAnsi="Times New Roman" w:cs="Times New Roman"/>
              <w:szCs w:val="36"/>
            </w:rPr>
            <w:fldChar w:fldCharType="end"/>
          </w:r>
        </w:p>
        <w:p w14:paraId="346FA254">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_Toc10748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第七章 历史文化与特色风貌</w:t>
          </w:r>
          <w:r>
            <w:tab/>
          </w:r>
          <w:r>
            <w:fldChar w:fldCharType="begin"/>
          </w:r>
          <w:r>
            <w:instrText xml:space="preserve"> PAGEREF _Toc10748 \h </w:instrText>
          </w:r>
          <w:r>
            <w:fldChar w:fldCharType="separate"/>
          </w:r>
          <w:r>
            <w:t>54</w:t>
          </w:r>
          <w:r>
            <w:fldChar w:fldCharType="end"/>
          </w:r>
          <w:r>
            <w:rPr>
              <w:rFonts w:ascii="Times New Roman" w:hAnsi="Times New Roman" w:cs="Times New Roman"/>
              <w:szCs w:val="36"/>
            </w:rPr>
            <w:fldChar w:fldCharType="end"/>
          </w:r>
        </w:p>
        <w:p w14:paraId="30F0E743">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_Toc8838 </w:instrText>
          </w:r>
          <w:r>
            <w:rPr>
              <w:rFonts w:ascii="Times New Roman" w:hAnsi="Times New Roman" w:cs="Times New Roman"/>
              <w:szCs w:val="36"/>
            </w:rPr>
            <w:fldChar w:fldCharType="separate"/>
          </w:r>
          <w:r>
            <w:rPr>
              <w:rFonts w:hint="default" w:ascii="Times New Roman" w:hAnsi="Times New Roman" w:cs="Times New Roman"/>
              <w:highlight w:val="none"/>
              <w:lang w:val="en-US" w:eastAsia="zh-CN"/>
            </w:rPr>
            <w:t>第一节 历史文化保护</w:t>
          </w:r>
          <w:r>
            <w:tab/>
          </w:r>
          <w:r>
            <w:fldChar w:fldCharType="begin"/>
          </w:r>
          <w:r>
            <w:instrText xml:space="preserve"> PAGEREF _Toc8838 \h </w:instrText>
          </w:r>
          <w:r>
            <w:fldChar w:fldCharType="separate"/>
          </w:r>
          <w:r>
            <w:t>54</w:t>
          </w:r>
          <w:r>
            <w:fldChar w:fldCharType="end"/>
          </w:r>
          <w:r>
            <w:rPr>
              <w:rFonts w:ascii="Times New Roman" w:hAnsi="Times New Roman" w:cs="Times New Roman"/>
              <w:szCs w:val="36"/>
            </w:rPr>
            <w:fldChar w:fldCharType="end"/>
          </w:r>
        </w:p>
        <w:p w14:paraId="56AFB693">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_Toc11110 </w:instrText>
          </w:r>
          <w:r>
            <w:rPr>
              <w:rFonts w:ascii="Times New Roman" w:hAnsi="Times New Roman" w:cs="Times New Roman"/>
              <w:szCs w:val="36"/>
            </w:rPr>
            <w:fldChar w:fldCharType="separate"/>
          </w:r>
          <w:r>
            <w:rPr>
              <w:rFonts w:ascii="Times New Roman" w:hAnsi="Times New Roman" w:cs="Times New Roman"/>
              <w:highlight w:val="none"/>
            </w:rPr>
            <w:t>第二节</w:t>
          </w:r>
          <w:r>
            <w:rPr>
              <w:rFonts w:hint="eastAsia" w:ascii="Times New Roman" w:hAnsi="Times New Roman" w:cs="Times New Roman"/>
              <w:highlight w:val="none"/>
            </w:rPr>
            <w:t xml:space="preserve"> </w:t>
          </w:r>
          <w:r>
            <w:rPr>
              <w:rFonts w:hint="eastAsia" w:cs="Times New Roman"/>
              <w:highlight w:val="none"/>
              <w:lang w:val="en-US" w:eastAsia="zh-CN"/>
            </w:rPr>
            <w:t>农场</w:t>
          </w:r>
          <w:r>
            <w:rPr>
              <w:rFonts w:ascii="Times New Roman" w:hAnsi="Times New Roman" w:cs="Times New Roman"/>
              <w:highlight w:val="none"/>
            </w:rPr>
            <w:t>风貌指引</w:t>
          </w:r>
          <w:r>
            <w:tab/>
          </w:r>
          <w:r>
            <w:fldChar w:fldCharType="begin"/>
          </w:r>
          <w:r>
            <w:instrText xml:space="preserve"> PAGEREF _Toc11110 \h </w:instrText>
          </w:r>
          <w:r>
            <w:fldChar w:fldCharType="separate"/>
          </w:r>
          <w:r>
            <w:t>55</w:t>
          </w:r>
          <w:r>
            <w:fldChar w:fldCharType="end"/>
          </w:r>
          <w:r>
            <w:rPr>
              <w:rFonts w:ascii="Times New Roman" w:hAnsi="Times New Roman" w:cs="Times New Roman"/>
              <w:szCs w:val="36"/>
            </w:rPr>
            <w:fldChar w:fldCharType="end"/>
          </w:r>
        </w:p>
        <w:p w14:paraId="6BDEFADC">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_Toc19966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第八章 生态修复和国土综合整治</w:t>
          </w:r>
          <w:r>
            <w:tab/>
          </w:r>
          <w:r>
            <w:fldChar w:fldCharType="begin"/>
          </w:r>
          <w:r>
            <w:instrText xml:space="preserve"> PAGEREF _Toc19966 \h </w:instrText>
          </w:r>
          <w:r>
            <w:fldChar w:fldCharType="separate"/>
          </w:r>
          <w:r>
            <w:t>57</w:t>
          </w:r>
          <w:r>
            <w:fldChar w:fldCharType="end"/>
          </w:r>
          <w:r>
            <w:rPr>
              <w:rFonts w:ascii="Times New Roman" w:hAnsi="Times New Roman" w:cs="Times New Roman"/>
              <w:szCs w:val="36"/>
            </w:rPr>
            <w:fldChar w:fldCharType="end"/>
          </w:r>
        </w:p>
        <w:p w14:paraId="1CBDE450">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_Toc12416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rPr>
            <w:t>一</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推进山水林田湖草沙系统修复</w:t>
          </w:r>
          <w:r>
            <w:tab/>
          </w:r>
          <w:r>
            <w:fldChar w:fldCharType="begin"/>
          </w:r>
          <w:r>
            <w:instrText xml:space="preserve"> PAGEREF _Toc12416 \h </w:instrText>
          </w:r>
          <w:r>
            <w:fldChar w:fldCharType="separate"/>
          </w:r>
          <w:r>
            <w:t>57</w:t>
          </w:r>
          <w:r>
            <w:fldChar w:fldCharType="end"/>
          </w:r>
          <w:r>
            <w:rPr>
              <w:rFonts w:ascii="Times New Roman" w:hAnsi="Times New Roman" w:cs="Times New Roman"/>
              <w:szCs w:val="36"/>
            </w:rPr>
            <w:fldChar w:fldCharType="end"/>
          </w:r>
        </w:p>
        <w:p w14:paraId="194C677A">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_Toc25679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rPr>
            <w:t>二</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全域国土综合整治</w:t>
          </w:r>
          <w:r>
            <w:tab/>
          </w:r>
          <w:r>
            <w:fldChar w:fldCharType="begin"/>
          </w:r>
          <w:r>
            <w:instrText xml:space="preserve"> PAGEREF _Toc25679 \h </w:instrText>
          </w:r>
          <w:r>
            <w:fldChar w:fldCharType="separate"/>
          </w:r>
          <w:r>
            <w:t>58</w:t>
          </w:r>
          <w:r>
            <w:fldChar w:fldCharType="end"/>
          </w:r>
          <w:r>
            <w:rPr>
              <w:rFonts w:ascii="Times New Roman" w:hAnsi="Times New Roman" w:cs="Times New Roman"/>
              <w:szCs w:val="36"/>
            </w:rPr>
            <w:fldChar w:fldCharType="end"/>
          </w:r>
        </w:p>
        <w:p w14:paraId="1FE4803D">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_Toc18513 </w:instrText>
          </w:r>
          <w:r>
            <w:rPr>
              <w:rFonts w:ascii="Times New Roman" w:hAnsi="Times New Roman" w:cs="Times New Roman"/>
              <w:szCs w:val="36"/>
            </w:rPr>
            <w:fldChar w:fldCharType="separate"/>
          </w:r>
          <w:r>
            <w:rPr>
              <w:rFonts w:hint="eastAsia" w:ascii="Times New Roman" w:hAnsi="Times New Roman" w:eastAsia="方正小标宋简体" w:cs="Times New Roman"/>
              <w:kern w:val="2"/>
              <w:szCs w:val="36"/>
              <w:lang w:val="en-US" w:eastAsia="zh-CN" w:bidi="ar-SA"/>
            </w:rPr>
            <w:t>第九章 规划传导与实施</w:t>
          </w:r>
          <w:r>
            <w:tab/>
          </w:r>
          <w:r>
            <w:fldChar w:fldCharType="begin"/>
          </w:r>
          <w:r>
            <w:instrText xml:space="preserve"> PAGEREF _Toc18513 \h </w:instrText>
          </w:r>
          <w:r>
            <w:fldChar w:fldCharType="separate"/>
          </w:r>
          <w:r>
            <w:t>62</w:t>
          </w:r>
          <w:r>
            <w:fldChar w:fldCharType="end"/>
          </w:r>
          <w:r>
            <w:rPr>
              <w:rFonts w:ascii="Times New Roman" w:hAnsi="Times New Roman" w:cs="Times New Roman"/>
              <w:szCs w:val="36"/>
            </w:rPr>
            <w:fldChar w:fldCharType="end"/>
          </w:r>
        </w:p>
        <w:p w14:paraId="018C12D9">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_Toc10668 </w:instrText>
          </w:r>
          <w:r>
            <w:rPr>
              <w:rFonts w:ascii="Times New Roman" w:hAnsi="Times New Roman" w:cs="Times New Roman"/>
              <w:szCs w:val="36"/>
            </w:rPr>
            <w:fldChar w:fldCharType="separate"/>
          </w:r>
          <w:r>
            <w:rPr>
              <w:rFonts w:ascii="Times New Roman" w:hAnsi="Times New Roman" w:cs="Times New Roman"/>
              <w:highlight w:val="none"/>
            </w:rPr>
            <w:t>第一节 加强党的领导</w:t>
          </w:r>
          <w:r>
            <w:tab/>
          </w:r>
          <w:r>
            <w:fldChar w:fldCharType="begin"/>
          </w:r>
          <w:r>
            <w:instrText xml:space="preserve"> PAGEREF _Toc10668 \h </w:instrText>
          </w:r>
          <w:r>
            <w:fldChar w:fldCharType="separate"/>
          </w:r>
          <w:r>
            <w:t>62</w:t>
          </w:r>
          <w:r>
            <w:fldChar w:fldCharType="end"/>
          </w:r>
          <w:r>
            <w:rPr>
              <w:rFonts w:ascii="Times New Roman" w:hAnsi="Times New Roman" w:cs="Times New Roman"/>
              <w:szCs w:val="36"/>
            </w:rPr>
            <w:fldChar w:fldCharType="end"/>
          </w:r>
        </w:p>
        <w:p w14:paraId="0AE1B88B">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_Toc31333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rPr>
            <w:t>二</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全域规划传导与管控</w:t>
          </w:r>
          <w:r>
            <w:tab/>
          </w:r>
          <w:r>
            <w:fldChar w:fldCharType="begin"/>
          </w:r>
          <w:r>
            <w:instrText xml:space="preserve"> PAGEREF _Toc31333 \h </w:instrText>
          </w:r>
          <w:r>
            <w:fldChar w:fldCharType="separate"/>
          </w:r>
          <w:r>
            <w:t>62</w:t>
          </w:r>
          <w:r>
            <w:fldChar w:fldCharType="end"/>
          </w:r>
          <w:r>
            <w:rPr>
              <w:rFonts w:ascii="Times New Roman" w:hAnsi="Times New Roman" w:cs="Times New Roman"/>
              <w:szCs w:val="36"/>
            </w:rPr>
            <w:fldChar w:fldCharType="end"/>
          </w:r>
        </w:p>
        <w:p w14:paraId="2F3E3BDC">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_Toc4881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lang w:val="en-US" w:eastAsia="zh-CN"/>
            </w:rPr>
            <w:t>三</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建设国土空间规划“一张图”</w:t>
          </w:r>
          <w:r>
            <w:tab/>
          </w:r>
          <w:r>
            <w:fldChar w:fldCharType="begin"/>
          </w:r>
          <w:r>
            <w:instrText xml:space="preserve"> PAGEREF _Toc4881 \h </w:instrText>
          </w:r>
          <w:r>
            <w:fldChar w:fldCharType="separate"/>
          </w:r>
          <w:r>
            <w:t>64</w:t>
          </w:r>
          <w:r>
            <w:fldChar w:fldCharType="end"/>
          </w:r>
          <w:r>
            <w:rPr>
              <w:rFonts w:ascii="Times New Roman" w:hAnsi="Times New Roman" w:cs="Times New Roman"/>
              <w:szCs w:val="36"/>
            </w:rPr>
            <w:fldChar w:fldCharType="end"/>
          </w:r>
        </w:p>
        <w:p w14:paraId="59A8E84F">
          <w:pPr>
            <w:pStyle w:val="15"/>
          </w:pPr>
          <w:r>
            <w:rPr>
              <w:rFonts w:ascii="Times New Roman" w:hAnsi="Times New Roman" w:cs="Times New Roman"/>
              <w:szCs w:val="36"/>
            </w:rPr>
            <w:fldChar w:fldCharType="begin"/>
          </w:r>
          <w:r>
            <w:rPr>
              <w:rFonts w:ascii="Times New Roman" w:hAnsi="Times New Roman" w:cs="Times New Roman"/>
              <w:szCs w:val="36"/>
            </w:rPr>
            <w:instrText xml:space="preserve"> HYPERLINK \l _Toc11513 </w:instrText>
          </w:r>
          <w:r>
            <w:rPr>
              <w:rFonts w:ascii="Times New Roman" w:hAnsi="Times New Roman" w:cs="Times New Roman"/>
              <w:szCs w:val="36"/>
            </w:rPr>
            <w:fldChar w:fldCharType="separate"/>
          </w:r>
          <w:r>
            <w:rPr>
              <w:rFonts w:ascii="Times New Roman" w:hAnsi="Times New Roman" w:cs="Times New Roman"/>
              <w:highlight w:val="none"/>
            </w:rPr>
            <w:t>第</w:t>
          </w:r>
          <w:r>
            <w:rPr>
              <w:rFonts w:hint="eastAsia" w:ascii="Times New Roman" w:hAnsi="Times New Roman" w:cs="Times New Roman"/>
              <w:highlight w:val="none"/>
              <w:lang w:val="en-US" w:eastAsia="zh-CN"/>
            </w:rPr>
            <w:t>四</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实施规划全生命周期管理</w:t>
          </w:r>
          <w:r>
            <w:tab/>
          </w:r>
          <w:r>
            <w:fldChar w:fldCharType="begin"/>
          </w:r>
          <w:r>
            <w:instrText xml:space="preserve"> PAGEREF _Toc11513 \h </w:instrText>
          </w:r>
          <w:r>
            <w:fldChar w:fldCharType="separate"/>
          </w:r>
          <w:r>
            <w:t>65</w:t>
          </w:r>
          <w:r>
            <w:fldChar w:fldCharType="end"/>
          </w:r>
          <w:r>
            <w:rPr>
              <w:rFonts w:ascii="Times New Roman" w:hAnsi="Times New Roman" w:cs="Times New Roman"/>
              <w:szCs w:val="36"/>
            </w:rPr>
            <w:fldChar w:fldCharType="end"/>
          </w:r>
        </w:p>
        <w:p w14:paraId="639D321B">
          <w:pPr>
            <w:pStyle w:val="13"/>
          </w:pPr>
          <w:r>
            <w:rPr>
              <w:rFonts w:ascii="Times New Roman" w:hAnsi="Times New Roman" w:cs="Times New Roman"/>
              <w:szCs w:val="36"/>
            </w:rPr>
            <w:fldChar w:fldCharType="begin"/>
          </w:r>
          <w:r>
            <w:rPr>
              <w:rFonts w:ascii="Times New Roman" w:hAnsi="Times New Roman" w:cs="Times New Roman"/>
              <w:szCs w:val="36"/>
            </w:rPr>
            <w:instrText xml:space="preserve"> HYPERLINK \l _Toc26155 </w:instrText>
          </w:r>
          <w:r>
            <w:rPr>
              <w:rFonts w:ascii="Times New Roman" w:hAnsi="Times New Roman" w:cs="Times New Roman"/>
              <w:szCs w:val="36"/>
            </w:rPr>
            <w:fldChar w:fldCharType="separate"/>
          </w:r>
          <w:r>
            <w:rPr>
              <w:rFonts w:ascii="Times New Roman" w:hAnsi="Times New Roman" w:eastAsia="方正小标宋简体"/>
            </w:rPr>
            <w:t>第</w:t>
          </w:r>
          <w:r>
            <w:rPr>
              <w:rFonts w:hint="eastAsia" w:ascii="Times New Roman" w:hAnsi="Times New Roman" w:eastAsia="方正小标宋简体"/>
              <w:lang w:val="en-US" w:eastAsia="zh-CN"/>
            </w:rPr>
            <w:t>十</w:t>
          </w:r>
          <w:r>
            <w:rPr>
              <w:rFonts w:ascii="Times New Roman" w:hAnsi="Times New Roman" w:eastAsia="方正小标宋简体"/>
            </w:rPr>
            <w:t>章</w:t>
          </w:r>
          <w:r>
            <w:rPr>
              <w:rFonts w:hint="eastAsia" w:ascii="Times New Roman" w:hAnsi="Times New Roman" w:eastAsia="方正小标宋简体"/>
            </w:rPr>
            <w:t xml:space="preserve"> 村庄“通则式”规划管理规定</w:t>
          </w:r>
          <w:r>
            <w:tab/>
          </w:r>
          <w:r>
            <w:fldChar w:fldCharType="begin"/>
          </w:r>
          <w:r>
            <w:instrText xml:space="preserve"> PAGEREF _Toc26155 \h </w:instrText>
          </w:r>
          <w:r>
            <w:fldChar w:fldCharType="separate"/>
          </w:r>
          <w:r>
            <w:t>66</w:t>
          </w:r>
          <w:r>
            <w:fldChar w:fldCharType="end"/>
          </w:r>
          <w:r>
            <w:rPr>
              <w:rFonts w:ascii="Times New Roman" w:hAnsi="Times New Roman" w:cs="Times New Roman"/>
              <w:szCs w:val="36"/>
            </w:rPr>
            <w:fldChar w:fldCharType="end"/>
          </w:r>
        </w:p>
        <w:p w14:paraId="1916466A">
          <w:pPr>
            <w:keepNext w:val="0"/>
            <w:keepLines w:val="0"/>
            <w:pageBreakBefore w:val="0"/>
            <w:widowControl w:val="0"/>
            <w:kinsoku/>
            <w:wordWrap/>
            <w:overflowPunct/>
            <w:topLinePunct w:val="0"/>
            <w:autoSpaceDE/>
            <w:autoSpaceDN/>
            <w:bidi w:val="0"/>
            <w:adjustRightInd/>
            <w:snapToGrid/>
            <w:spacing w:before="157" w:beforeLines="50" w:after="157" w:afterLines="50" w:line="240" w:lineRule="exact"/>
            <w:jc w:val="center"/>
            <w:textAlignment w:val="auto"/>
            <w:rPr>
              <w:rFonts w:ascii="Times New Roman" w:hAnsi="Times New Roman" w:eastAsia="方正小标宋简体" w:cs="Times New Roman"/>
              <w:kern w:val="2"/>
              <w:szCs w:val="36"/>
            </w:rPr>
            <w:sectPr>
              <w:footerReference r:id="rId6" w:type="default"/>
              <w:pgSz w:w="11906" w:h="16838"/>
              <w:pgMar w:top="1440" w:right="1800" w:bottom="1440" w:left="1800" w:header="851" w:footer="992" w:gutter="0"/>
              <w:pgNumType w:fmt="lowerRoman"/>
              <w:cols w:space="425" w:num="1"/>
              <w:docGrid w:type="lines" w:linePitch="312" w:charSpace="0"/>
            </w:sectPr>
          </w:pPr>
          <w:r>
            <w:rPr>
              <w:rFonts w:ascii="Times New Roman" w:hAnsi="Times New Roman" w:cs="Times New Roman"/>
              <w:sz w:val="36"/>
              <w:szCs w:val="36"/>
            </w:rPr>
            <w:fldChar w:fldCharType="end"/>
          </w:r>
        </w:p>
      </w:sdtContent>
    </w:sdt>
    <w:p w14:paraId="0E7A9905">
      <w:pPr>
        <w:pStyle w:val="2"/>
        <w:spacing w:line="600" w:lineRule="atLeast"/>
        <w:rPr>
          <w:rFonts w:ascii="Times New Roman" w:hAnsi="Times New Roman" w:eastAsia="方正小标宋简体" w:cs="Times New Roman"/>
          <w:kern w:val="2"/>
          <w:sz w:val="36"/>
          <w:szCs w:val="36"/>
          <w:lang w:val="en-US" w:eastAsia="zh-CN" w:bidi="ar-SA"/>
        </w:rPr>
      </w:pPr>
      <w:bookmarkStart w:id="7" w:name="_Toc23596"/>
      <w:r>
        <w:rPr>
          <w:rFonts w:hint="eastAsia" w:ascii="Times New Roman" w:hAnsi="Times New Roman" w:eastAsia="方正小标宋简体" w:cs="Times New Roman"/>
          <w:kern w:val="2"/>
          <w:sz w:val="36"/>
          <w:szCs w:val="36"/>
          <w:lang w:val="en-US" w:eastAsia="zh-CN" w:bidi="ar-SA"/>
        </w:rPr>
        <w:t>第一章 总则</w:t>
      </w:r>
      <w:bookmarkEnd w:id="7"/>
    </w:p>
    <w:p w14:paraId="3EE64163">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bookmarkStart w:id="8" w:name="_Toc18321"/>
      <w:bookmarkStart w:id="9" w:name="_Toc24055"/>
      <w:bookmarkStart w:id="10" w:name="_Toc11751"/>
      <w:bookmarkStart w:id="11" w:name="_Toc23548"/>
      <w:r>
        <w:rPr>
          <w:rFonts w:ascii="Times New Roman" w:hAnsi="Times New Roman" w:eastAsia="楷体_GB2312" w:cs="Times New Roman"/>
          <w:b/>
          <w:bCs w:val="0"/>
          <w:highlight w:val="none"/>
        </w:rPr>
        <w:t>规划目的</w:t>
      </w:r>
    </w:p>
    <w:p w14:paraId="40C1F1FC">
      <w:pPr>
        <w:pStyle w:val="29"/>
        <w:ind w:firstLine="640"/>
        <w:rPr>
          <w:szCs w:val="32"/>
          <w:highlight w:val="none"/>
        </w:rPr>
      </w:pPr>
      <w:r>
        <w:rPr>
          <w:rFonts w:cs="Times New Roman"/>
          <w:highlight w:val="none"/>
        </w:rPr>
        <w:t>为贯彻</w:t>
      </w:r>
      <w:r>
        <w:rPr>
          <w:rFonts w:hint="eastAsia" w:ascii="仿宋_GB2312" w:hAnsi="仿宋_GB2312" w:cs="仿宋_GB2312"/>
          <w:szCs w:val="32"/>
          <w:highlight w:val="none"/>
        </w:rPr>
        <w:t>《中共中央</w:t>
      </w:r>
      <w:r>
        <w:rPr>
          <w:rFonts w:hint="eastAsia" w:ascii="仿宋_GB2312" w:hAnsi="仿宋_GB2312" w:cs="仿宋_GB2312"/>
          <w:szCs w:val="32"/>
          <w:highlight w:val="none"/>
          <w:lang w:eastAsia="zh-CN"/>
        </w:rPr>
        <w:t>、</w:t>
      </w:r>
      <w:r>
        <w:rPr>
          <w:rFonts w:hint="eastAsia" w:ascii="仿宋_GB2312" w:hAnsi="仿宋_GB2312" w:cs="仿宋_GB2312"/>
          <w:szCs w:val="32"/>
          <w:highlight w:val="none"/>
        </w:rPr>
        <w:t>国务院关于建立国土空间规划体系并监督实施的若干意见》（中发〔</w:t>
      </w:r>
      <w:r>
        <w:rPr>
          <w:szCs w:val="32"/>
          <w:highlight w:val="none"/>
        </w:rPr>
        <w:t>2019</w:t>
      </w:r>
      <w:r>
        <w:rPr>
          <w:rFonts w:hint="eastAsia" w:ascii="仿宋_GB2312" w:hAnsi="仿宋_GB2312" w:cs="仿宋_GB2312"/>
          <w:szCs w:val="32"/>
          <w:highlight w:val="none"/>
        </w:rPr>
        <w:t>〕</w:t>
      </w:r>
      <w:r>
        <w:rPr>
          <w:szCs w:val="32"/>
          <w:highlight w:val="none"/>
        </w:rPr>
        <w:t>18</w:t>
      </w:r>
      <w:r>
        <w:rPr>
          <w:rFonts w:hint="eastAsia" w:ascii="仿宋_GB2312" w:hAnsi="仿宋_GB2312" w:cs="仿宋_GB2312"/>
          <w:szCs w:val="32"/>
          <w:highlight w:val="none"/>
        </w:rPr>
        <w:t>号），</w:t>
      </w:r>
      <w:r>
        <w:rPr>
          <w:rFonts w:cs="Times New Roman"/>
          <w:highlight w:val="none"/>
        </w:rPr>
        <w:t>落实《自然资源部关于全面开展国土空间规划工作的通知》（自然资发〔2019〕87号）和</w:t>
      </w:r>
      <w:r>
        <w:rPr>
          <w:rFonts w:eastAsia="仿宋_GB2312" w:cs="Times New Roman"/>
          <w:sz w:val="32"/>
          <w:szCs w:val="28"/>
          <w:highlight w:val="none"/>
        </w:rPr>
        <w:t>《中共黑龙江省委</w:t>
      </w:r>
      <w:r>
        <w:rPr>
          <w:rFonts w:hint="eastAsia" w:eastAsia="仿宋_GB2312" w:cs="Times New Roman"/>
          <w:sz w:val="32"/>
          <w:szCs w:val="28"/>
          <w:highlight w:val="none"/>
          <w:lang w:val="en-US" w:eastAsia="zh-CN"/>
        </w:rPr>
        <w:t xml:space="preserve"> </w:t>
      </w:r>
      <w:r>
        <w:rPr>
          <w:rFonts w:eastAsia="仿宋_GB2312" w:cs="Times New Roman"/>
          <w:sz w:val="32"/>
          <w:szCs w:val="28"/>
          <w:highlight w:val="none"/>
        </w:rPr>
        <w:t>黑龙江省人民政府关于建立全省国土空间规划体系并监督实施的意见》</w:t>
      </w:r>
      <w:r>
        <w:rPr>
          <w:rFonts w:cs="Times New Roman"/>
          <w:highlight w:val="none"/>
        </w:rPr>
        <w:t>的相关要求，建立和完善</w:t>
      </w:r>
      <w:r>
        <w:rPr>
          <w:rFonts w:hint="eastAsia" w:cs="Times New Roman"/>
          <w:highlight w:val="none"/>
          <w:lang w:val="en-US" w:eastAsia="zh-CN"/>
        </w:rPr>
        <w:t>桦川</w:t>
      </w:r>
      <w:r>
        <w:rPr>
          <w:rFonts w:cs="Times New Roman"/>
          <w:highlight w:val="none"/>
        </w:rPr>
        <w:t>县国土空间规划体系，提升</w:t>
      </w:r>
      <w:r>
        <w:rPr>
          <w:rFonts w:hint="eastAsia" w:cs="Times New Roman"/>
          <w:highlight w:val="none"/>
          <w:lang w:val="en-US" w:eastAsia="zh-CN"/>
        </w:rPr>
        <w:t>红兴隆分局（桦川境内）农场</w:t>
      </w:r>
      <w:r>
        <w:rPr>
          <w:rFonts w:cs="Times New Roman"/>
          <w:highlight w:val="none"/>
        </w:rPr>
        <w:t>空间治理能力，实现高质量发展和高标准建设，</w:t>
      </w:r>
      <w:r>
        <w:rPr>
          <w:rFonts w:hint="eastAsia" w:ascii="仿宋_GB2312" w:hAnsi="仿宋_GB2312" w:cs="仿宋_GB2312"/>
          <w:szCs w:val="32"/>
          <w:highlight w:val="none"/>
        </w:rPr>
        <w:t>编制《桦川县</w:t>
      </w:r>
      <w:r>
        <w:rPr>
          <w:rFonts w:hint="eastAsia" w:ascii="仿宋_GB2312" w:hAnsi="仿宋_GB2312" w:cs="仿宋_GB2312"/>
          <w:szCs w:val="32"/>
          <w:highlight w:val="none"/>
          <w:lang w:val="en-US" w:eastAsia="zh-CN"/>
        </w:rPr>
        <w:t>红兴隆分局（桦川境内）农场</w:t>
      </w:r>
      <w:r>
        <w:rPr>
          <w:rFonts w:hint="eastAsia" w:ascii="仿宋_GB2312" w:hAnsi="仿宋_GB2312" w:cs="仿宋_GB2312"/>
          <w:szCs w:val="32"/>
          <w:highlight w:val="none"/>
        </w:rPr>
        <w:t>国土空间总体规划（</w:t>
      </w:r>
      <w:r>
        <w:rPr>
          <w:szCs w:val="32"/>
          <w:highlight w:val="none"/>
        </w:rPr>
        <w:t>2021</w:t>
      </w:r>
      <w:r>
        <w:rPr>
          <w:rFonts w:hint="eastAsia" w:ascii="仿宋_GB2312" w:hAnsi="仿宋_GB2312" w:cs="仿宋_GB2312"/>
          <w:szCs w:val="32"/>
          <w:highlight w:val="none"/>
        </w:rPr>
        <w:t>-</w:t>
      </w:r>
      <w:r>
        <w:rPr>
          <w:szCs w:val="32"/>
          <w:highlight w:val="none"/>
        </w:rPr>
        <w:t>2035</w:t>
      </w:r>
      <w:r>
        <w:rPr>
          <w:rFonts w:hint="eastAsia" w:ascii="仿宋_GB2312" w:hAnsi="仿宋_GB2312" w:cs="仿宋_GB2312"/>
          <w:szCs w:val="32"/>
          <w:highlight w:val="none"/>
        </w:rPr>
        <w:t>年）》</w:t>
      </w:r>
      <w:r>
        <w:rPr>
          <w:rFonts w:cs="Times New Roman"/>
          <w:highlight w:val="none"/>
        </w:rPr>
        <w:t>（以下简称《规划》）</w:t>
      </w:r>
      <w:r>
        <w:rPr>
          <w:szCs w:val="32"/>
          <w:highlight w:val="none"/>
        </w:rPr>
        <w:t>。</w:t>
      </w:r>
    </w:p>
    <w:p w14:paraId="71D20B06">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r>
        <w:rPr>
          <w:rFonts w:ascii="Times New Roman" w:hAnsi="Times New Roman" w:eastAsia="楷体_GB2312" w:cs="Times New Roman"/>
          <w:b/>
          <w:bCs w:val="0"/>
          <w:highlight w:val="none"/>
        </w:rPr>
        <w:t>规划定位</w:t>
      </w:r>
    </w:p>
    <w:p w14:paraId="37FF002E">
      <w:pPr>
        <w:pStyle w:val="9"/>
        <w:overflowPunct w:val="0"/>
        <w:ind w:firstLine="640" w:firstLineChars="200"/>
        <w:rPr>
          <w:rFonts w:hint="eastAsia" w:ascii="仿宋_GB2312" w:hAnsi="仿宋_GB2312" w:cs="仿宋_GB2312"/>
          <w:highlight w:val="none"/>
        </w:rPr>
      </w:pPr>
      <w:r>
        <w:rPr>
          <w:rFonts w:hint="eastAsia" w:ascii="仿宋_GB2312" w:hAnsi="仿宋_GB2312" w:eastAsia="仿宋_GB2312" w:cs="仿宋_GB2312"/>
          <w:kern w:val="2"/>
          <w:sz w:val="32"/>
          <w:szCs w:val="24"/>
          <w:highlight w:val="none"/>
          <w:lang w:val="en-US" w:eastAsia="zh-CN" w:bidi="ar-SA"/>
        </w:rPr>
        <w:t>《规划》是对佳木斯市和桦川县国土空间总体规划要求的细化落实，是对红兴隆分局（桦川境内）农场场域国土空间保护开发作出的具体安排，是红兴隆分局（桦川境内）农场进行空间治理的工具，是编制城镇开发边界内详细规划和城镇开发边界外的村庄规划、实施国土空间用途管制的基本依据。</w:t>
      </w:r>
    </w:p>
    <w:p w14:paraId="104D1C3A">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r>
        <w:rPr>
          <w:rFonts w:ascii="Times New Roman" w:hAnsi="Times New Roman" w:eastAsia="楷体_GB2312" w:cs="Times New Roman"/>
          <w:b/>
          <w:bCs w:val="0"/>
          <w:highlight w:val="none"/>
        </w:rPr>
        <w:t>指导思想</w:t>
      </w:r>
      <w:bookmarkEnd w:id="8"/>
      <w:bookmarkEnd w:id="9"/>
    </w:p>
    <w:bookmarkEnd w:id="10"/>
    <w:bookmarkEnd w:id="11"/>
    <w:p w14:paraId="752C784E">
      <w:pPr>
        <w:pStyle w:val="29"/>
        <w:ind w:firstLine="640"/>
        <w:rPr>
          <w:rFonts w:hint="eastAsia" w:ascii="仿宋_GB2312" w:hAnsi="仿宋_GB2312" w:cs="仿宋_GB2312"/>
          <w:highlight w:val="none"/>
        </w:rPr>
      </w:pPr>
      <w:bookmarkStart w:id="12" w:name="_Toc7631"/>
      <w:bookmarkStart w:id="13" w:name="_Toc11573"/>
      <w:r>
        <w:rPr>
          <w:rFonts w:hint="eastAsia" w:ascii="仿宋_GB2312" w:hAnsi="仿宋_GB2312" w:cs="仿宋_GB2312"/>
          <w:highlight w:val="none"/>
        </w:rPr>
        <w:t>以习近平新时代中国特色社会主义思想和习近平总书记历次在东北地区及黑龙江省考察的重要讲话精神为统领，全面贯彻党的二十大精神，统筹推进“五位一体”总体布局，协调推进“四个全面”战略布局，立足新发展阶段，完整、准确、全面贯彻新发展理念，服务和融入新发展格局。立足服务国家“五大安全”战略和省建设“六个龙江”“八个振兴”“九个坚定不移”目标任务，落实佳木斯市“夯实现代农业基础，推动建设农业强市；坚持创新驱动，促进产业动能提升；筑牢生态本底，推动生态价值转换；推进共建共享，实施幸福宜居战略”的开发保护战略，综合考虑桦川县</w:t>
      </w:r>
      <w:r>
        <w:rPr>
          <w:rFonts w:hint="eastAsia" w:ascii="仿宋_GB2312" w:hAnsi="仿宋_GB2312" w:cs="仿宋_GB2312"/>
          <w:highlight w:val="none"/>
          <w:lang w:val="en-US" w:eastAsia="zh-CN"/>
        </w:rPr>
        <w:t>红兴隆分局（桦川境内）农场</w:t>
      </w:r>
      <w:r>
        <w:rPr>
          <w:rFonts w:hint="eastAsia" w:ascii="仿宋_GB2312" w:hAnsi="仿宋_GB2312" w:cs="仿宋_GB2312"/>
          <w:highlight w:val="none"/>
        </w:rPr>
        <w:t>人口分布、经济布局、国土利用、生态环境保护等因素，落实桦川县“狠抓现代农业质效提升、守边戍边兴边富民、推动发展绿色生态产业”的总体要求，科学布局生产空间、生活空间、生态空间。坚持高水平保护，推进高质量发展，引导高品质生活，实现高效能治理，优化国土空间开发保护格局，构建</w:t>
      </w:r>
      <w:r>
        <w:rPr>
          <w:rFonts w:hint="eastAsia" w:ascii="仿宋_GB2312" w:hAnsi="仿宋_GB2312" w:cs="仿宋_GB2312"/>
          <w:highlight w:val="none"/>
          <w:lang w:val="en-US" w:eastAsia="zh-CN"/>
        </w:rPr>
        <w:t>红兴隆分局（桦川境内）农场</w:t>
      </w:r>
      <w:r>
        <w:rPr>
          <w:rFonts w:hint="eastAsia" w:ascii="仿宋_GB2312" w:hAnsi="仿宋_GB2312" w:cs="仿宋_GB2312"/>
          <w:highlight w:val="none"/>
        </w:rPr>
        <w:t>国土空间规划体系。</w:t>
      </w:r>
    </w:p>
    <w:p w14:paraId="0790E8F5">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r>
        <w:rPr>
          <w:rFonts w:ascii="Times New Roman" w:hAnsi="Times New Roman" w:eastAsia="楷体_GB2312" w:cs="Times New Roman"/>
          <w:b/>
          <w:bCs w:val="0"/>
          <w:highlight w:val="none"/>
        </w:rPr>
        <w:t>规划原则</w:t>
      </w:r>
      <w:bookmarkEnd w:id="12"/>
      <w:bookmarkEnd w:id="13"/>
    </w:p>
    <w:p w14:paraId="5905CAAA">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持安全底线，绿色发展。落实市县总规划定的“三条控制线”，严守国防安全、</w:t>
      </w:r>
      <w:r>
        <w:rPr>
          <w:rFonts w:hint="default" w:ascii="Times New Roman" w:hAnsi="Times New Roman" w:cs="Times New Roman"/>
          <w:bCs/>
          <w:highlight w:val="none"/>
        </w:rPr>
        <w:t>粮食安全、生态安全、能源安全、产业安全底线</w:t>
      </w:r>
      <w:r>
        <w:rPr>
          <w:rFonts w:hint="default" w:ascii="Times New Roman" w:hAnsi="Times New Roman" w:cs="Times New Roman"/>
          <w:highlight w:val="none"/>
          <w:lang w:val="en-US" w:eastAsia="zh-CN" w:bidi="ar"/>
        </w:rPr>
        <w:t>。</w:t>
      </w:r>
    </w:p>
    <w:p w14:paraId="6C8338E2">
      <w:pPr>
        <w:ind w:firstLine="640"/>
        <w:jc w:val="both"/>
        <w:rPr>
          <w:rFonts w:hint="default" w:ascii="Times New Roman" w:hAnsi="Times New Roman" w:cs="Times New Roman"/>
          <w:highlight w:val="none"/>
          <w:lang w:bidi="ar"/>
        </w:rPr>
      </w:pPr>
      <w:r>
        <w:rPr>
          <w:rFonts w:hint="default" w:ascii="Times New Roman" w:hAnsi="Times New Roman" w:cs="Times New Roman"/>
          <w:highlight w:val="none"/>
          <w:lang w:bidi="ar"/>
        </w:rPr>
        <w:t>坚持以人为本，品质提升。以人民为中心，处理好人与自然的和谐关系，实现城乡高质量发展、高品质生活。</w:t>
      </w:r>
    </w:p>
    <w:p w14:paraId="69E38EC2">
      <w:pPr>
        <w:ind w:firstLine="640"/>
        <w:jc w:val="both"/>
        <w:rPr>
          <w:rFonts w:hint="default" w:ascii="Times New Roman" w:hAnsi="Times New Roman" w:cs="Times New Roman"/>
          <w:highlight w:val="none"/>
          <w:lang w:bidi="ar"/>
        </w:rPr>
      </w:pPr>
      <w:r>
        <w:rPr>
          <w:rFonts w:hint="default" w:ascii="Times New Roman" w:hAnsi="Times New Roman" w:cs="Times New Roman"/>
          <w:highlight w:val="none"/>
          <w:lang w:bidi="ar"/>
        </w:rPr>
        <w:t>坚持全域管控，适度集约。强化自然资源统筹利用和用途管控，探索控制城乡建设用地增量，盘活存量的内涵式发展路径，提高土地利用效率。</w:t>
      </w:r>
    </w:p>
    <w:p w14:paraId="0C4EA1F7">
      <w:pPr>
        <w:ind w:firstLine="640"/>
        <w:jc w:val="both"/>
        <w:rPr>
          <w:rFonts w:hint="default" w:ascii="Times New Roman" w:hAnsi="Times New Roman" w:cs="Times New Roman"/>
          <w:highlight w:val="none"/>
          <w:lang w:bidi="ar"/>
        </w:rPr>
      </w:pPr>
      <w:r>
        <w:rPr>
          <w:rFonts w:hint="default" w:ascii="Times New Roman" w:hAnsi="Times New Roman" w:cs="Times New Roman"/>
          <w:highlight w:val="none"/>
          <w:lang w:bidi="ar"/>
        </w:rPr>
        <w:t>坚持承上启下，体现特色。严格落实市县总规下达的传导内容，并将本级约束性指标（除用水总量）分解至村庄，因地制宜体现</w:t>
      </w:r>
      <w:r>
        <w:rPr>
          <w:rFonts w:hint="eastAsia" w:ascii="Times New Roman" w:hAnsi="Times New Roman" w:cs="Times New Roman"/>
          <w:highlight w:val="none"/>
          <w:lang w:eastAsia="zh-CN" w:bidi="ar"/>
        </w:rPr>
        <w:t>黑土地</w:t>
      </w:r>
      <w:r>
        <w:rPr>
          <w:rFonts w:hint="default" w:ascii="Times New Roman" w:hAnsi="Times New Roman" w:cs="Times New Roman"/>
          <w:highlight w:val="none"/>
          <w:lang w:bidi="ar"/>
        </w:rPr>
        <w:t>保护、生态</w:t>
      </w:r>
      <w:r>
        <w:rPr>
          <w:rFonts w:hint="default" w:ascii="Times New Roman" w:hAnsi="Times New Roman" w:cs="Times New Roman"/>
          <w:highlight w:val="none"/>
          <w:lang w:val="en-US" w:eastAsia="zh-CN" w:bidi="ar"/>
        </w:rPr>
        <w:t>环境</w:t>
      </w:r>
      <w:r>
        <w:rPr>
          <w:rFonts w:hint="default" w:ascii="Times New Roman" w:hAnsi="Times New Roman" w:cs="Times New Roman"/>
          <w:highlight w:val="none"/>
          <w:lang w:bidi="ar"/>
        </w:rPr>
        <w:t>、能源安全、矿业经济、守边固边等特色。</w:t>
      </w:r>
    </w:p>
    <w:p w14:paraId="0CB20053">
      <w:pPr>
        <w:keepNext w:val="0"/>
        <w:keepLines w:val="0"/>
        <w:pageBreakBefore w:val="0"/>
        <w:widowControl w:val="0"/>
        <w:kinsoku/>
        <w:wordWrap/>
        <w:overflowPunct/>
        <w:topLinePunct w:val="0"/>
        <w:autoSpaceDE/>
        <w:autoSpaceDN/>
        <w:bidi w:val="0"/>
        <w:adjustRightInd/>
        <w:snapToGrid/>
        <w:ind w:firstLine="640"/>
        <w:jc w:val="both"/>
        <w:textAlignment w:val="auto"/>
        <w:rPr>
          <w:rFonts w:hint="default" w:ascii="Times New Roman" w:hAnsi="Times New Roman" w:cs="Times New Roman"/>
          <w:highlight w:val="none"/>
          <w:lang w:bidi="ar"/>
        </w:rPr>
      </w:pPr>
      <w:r>
        <w:rPr>
          <w:rFonts w:hint="default" w:ascii="Times New Roman" w:hAnsi="Times New Roman" w:cs="Times New Roman"/>
          <w:highlight w:val="none"/>
          <w:lang w:bidi="ar"/>
        </w:rPr>
        <w:t>坚持侧重实施，突出近期。侧重对本行政区域开发保护作出具体安排，突出与国民经济和社会发展规划的衔接，保障近期项目实施。</w:t>
      </w:r>
    </w:p>
    <w:p w14:paraId="2AC49C5E">
      <w:pPr>
        <w:keepNext w:val="0"/>
        <w:keepLines w:val="0"/>
        <w:pageBreakBefore w:val="0"/>
        <w:widowControl w:val="0"/>
        <w:kinsoku/>
        <w:wordWrap/>
        <w:overflowPunct/>
        <w:topLinePunct w:val="0"/>
        <w:autoSpaceDE/>
        <w:autoSpaceDN/>
        <w:bidi w:val="0"/>
        <w:adjustRightInd/>
        <w:snapToGrid/>
        <w:ind w:firstLine="640"/>
        <w:jc w:val="both"/>
        <w:textAlignment w:val="auto"/>
        <w:rPr>
          <w:rFonts w:hint="eastAsia" w:ascii="仿宋_GB2312" w:hAnsi="仿宋_GB2312" w:cs="仿宋_GB2312"/>
          <w:highlight w:val="none"/>
        </w:rPr>
      </w:pPr>
      <w:r>
        <w:rPr>
          <w:rFonts w:hint="default" w:ascii="Times New Roman" w:hAnsi="Times New Roman" w:cs="Times New Roman"/>
          <w:highlight w:val="none"/>
          <w:lang w:bidi="ar"/>
        </w:rPr>
        <w:t>坚持公众参与，开放共享。广泛征求公众意见，开门编规划，保障公众的知情权、参与权和监督权。</w:t>
      </w:r>
    </w:p>
    <w:p w14:paraId="3FDF26C0">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bookmarkStart w:id="14" w:name="_Toc13905"/>
      <w:bookmarkStart w:id="15" w:name="_Toc29402"/>
      <w:r>
        <w:rPr>
          <w:rFonts w:ascii="Times New Roman" w:hAnsi="Times New Roman" w:eastAsia="楷体_GB2312" w:cs="Times New Roman"/>
          <w:b/>
          <w:bCs w:val="0"/>
          <w:highlight w:val="none"/>
        </w:rPr>
        <w:t>规划依据</w:t>
      </w:r>
      <w:bookmarkEnd w:id="14"/>
      <w:bookmarkEnd w:id="15"/>
    </w:p>
    <w:p w14:paraId="1B1F2F2A">
      <w:pPr>
        <w:pStyle w:val="57"/>
        <w:numPr>
          <w:ilvl w:val="0"/>
          <w:numId w:val="2"/>
        </w:numPr>
        <w:ind w:firstLineChars="0"/>
        <w:rPr>
          <w:rFonts w:ascii="Times New Roman" w:hAnsi="Times New Roman" w:eastAsia="仿宋_GB2312" w:cs="仿宋_GB2312"/>
          <w:sz w:val="32"/>
          <w:szCs w:val="32"/>
          <w:highlight w:val="none"/>
        </w:rPr>
      </w:pPr>
      <w:bookmarkStart w:id="16" w:name="_Hlk175260929"/>
      <w:bookmarkStart w:id="17" w:name="_Toc12027"/>
      <w:bookmarkStart w:id="18" w:name="_Toc19532"/>
      <w:r>
        <w:rPr>
          <w:rFonts w:ascii="Times New Roman" w:hAnsi="Times New Roman" w:eastAsia="仿宋_GB2312" w:cs="仿宋_GB2312"/>
          <w:sz w:val="32"/>
          <w:szCs w:val="32"/>
          <w:highlight w:val="none"/>
        </w:rPr>
        <w:t>法律法规</w:t>
      </w:r>
    </w:p>
    <w:p w14:paraId="517E02BA">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《中华人民共和国土地管理法》（2019年修订）；</w:t>
      </w:r>
    </w:p>
    <w:p w14:paraId="4C595060">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《中华人民共和国土地管理法实施条例》（2021年修订）</w:t>
      </w:r>
      <w:r>
        <w:rPr>
          <w:rFonts w:hint="eastAsia" w:ascii="Times New Roman" w:hAnsi="Times New Roman" w:cs="仿宋_GB2312"/>
          <w:sz w:val="32"/>
          <w:szCs w:val="32"/>
          <w:highlight w:val="none"/>
          <w:lang w:eastAsia="zh-CN"/>
        </w:rPr>
        <w:t>；</w:t>
      </w:r>
    </w:p>
    <w:p w14:paraId="7A7E473C">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《中华人民共和国城乡规划法》（2019年修订）；</w:t>
      </w:r>
    </w:p>
    <w:p w14:paraId="6255CADE">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《中华人民共和国环境保护法》（2014年修订）；</w:t>
      </w:r>
    </w:p>
    <w:p w14:paraId="7F716063">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《中华人民共和国乡村振兴促进法》（2021.04）；</w:t>
      </w:r>
    </w:p>
    <w:p w14:paraId="5D60E216">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《中华人民共和国草原法》（20</w:t>
      </w:r>
      <w:r>
        <w:rPr>
          <w:rFonts w:hint="eastAsia" w:ascii="Times New Roman" w:hAnsi="Times New Roman" w:eastAsia="仿宋_GB2312" w:cs="仿宋_GB2312"/>
          <w:sz w:val="32"/>
          <w:szCs w:val="32"/>
          <w:highlight w:val="none"/>
        </w:rPr>
        <w:t>21</w:t>
      </w:r>
      <w:r>
        <w:rPr>
          <w:rFonts w:ascii="Times New Roman" w:hAnsi="Times New Roman" w:eastAsia="仿宋_GB2312" w:cs="仿宋_GB2312"/>
          <w:sz w:val="32"/>
          <w:szCs w:val="32"/>
          <w:highlight w:val="none"/>
        </w:rPr>
        <w:t>年修订）；</w:t>
      </w:r>
    </w:p>
    <w:p w14:paraId="65AD701D">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《中华人民共和国森林法》（2019年修订）；</w:t>
      </w:r>
    </w:p>
    <w:p w14:paraId="0A063FA1">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《中华人民共和国湿地保护法》(2022</w:t>
      </w:r>
      <w:r>
        <w:rPr>
          <w:rFonts w:hint="eastAsia" w:ascii="Times New Roman" w:hAnsi="Times New Roman" w:eastAsia="仿宋_GB2312" w:cs="仿宋_GB2312"/>
          <w:sz w:val="32"/>
          <w:szCs w:val="32"/>
          <w:highlight w:val="none"/>
          <w:lang w:val="en-US" w:eastAsia="zh-CN"/>
        </w:rPr>
        <w:t>.06</w:t>
      </w:r>
      <w:r>
        <w:rPr>
          <w:rFonts w:ascii="Times New Roman" w:hAnsi="Times New Roman" w:eastAsia="仿宋_GB2312" w:cs="仿宋_GB2312"/>
          <w:sz w:val="32"/>
          <w:szCs w:val="32"/>
          <w:highlight w:val="none"/>
        </w:rPr>
        <w:t>)</w:t>
      </w:r>
      <w:r>
        <w:rPr>
          <w:rFonts w:hint="eastAsia" w:ascii="Times New Roman" w:hAnsi="Times New Roman" w:cs="仿宋_GB2312"/>
          <w:sz w:val="32"/>
          <w:szCs w:val="32"/>
          <w:highlight w:val="none"/>
          <w:lang w:eastAsia="zh-CN"/>
        </w:rPr>
        <w:t>；</w:t>
      </w:r>
    </w:p>
    <w:p w14:paraId="7461726A">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《中华人民共和国文物保护法》（2017年修订）；</w:t>
      </w:r>
    </w:p>
    <w:p w14:paraId="701925F2">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《中华人民共和国自然保护区条例》（2017</w:t>
      </w:r>
      <w:r>
        <w:rPr>
          <w:rFonts w:hint="eastAsia" w:ascii="Times New Roman" w:hAnsi="Times New Roman" w:eastAsia="仿宋_GB2312" w:cs="仿宋_GB2312"/>
          <w:sz w:val="32"/>
          <w:szCs w:val="32"/>
          <w:highlight w:val="none"/>
        </w:rPr>
        <w:t>年</w:t>
      </w:r>
      <w:r>
        <w:rPr>
          <w:rFonts w:ascii="Times New Roman" w:hAnsi="Times New Roman" w:eastAsia="仿宋_GB2312" w:cs="仿宋_GB2312"/>
          <w:sz w:val="32"/>
          <w:szCs w:val="32"/>
          <w:highlight w:val="none"/>
        </w:rPr>
        <w:t>修</w:t>
      </w:r>
      <w:r>
        <w:rPr>
          <w:rFonts w:hint="eastAsia" w:ascii="Times New Roman" w:hAnsi="Times New Roman" w:eastAsia="仿宋_GB2312" w:cs="仿宋_GB2312"/>
          <w:sz w:val="32"/>
          <w:szCs w:val="32"/>
          <w:highlight w:val="none"/>
        </w:rPr>
        <w:t>订</w:t>
      </w:r>
      <w:r>
        <w:rPr>
          <w:rFonts w:ascii="Times New Roman" w:hAnsi="Times New Roman" w:eastAsia="仿宋_GB2312" w:cs="仿宋_GB2312"/>
          <w:sz w:val="32"/>
          <w:szCs w:val="32"/>
          <w:highlight w:val="none"/>
        </w:rPr>
        <w:t>）；</w:t>
      </w:r>
    </w:p>
    <w:p w14:paraId="777FCED3">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《黑龙江省黑土地保护利用条例》(2024</w:t>
      </w:r>
      <w:r>
        <w:rPr>
          <w:rFonts w:hint="eastAsia" w:ascii="Times New Roman" w:hAnsi="Times New Roman" w:eastAsia="仿宋_GB2312" w:cs="仿宋_GB2312"/>
          <w:sz w:val="32"/>
          <w:szCs w:val="32"/>
          <w:highlight w:val="none"/>
          <w:lang w:val="en-US" w:eastAsia="zh-CN"/>
        </w:rPr>
        <w:t>.0</w:t>
      </w:r>
      <w:r>
        <w:rPr>
          <w:rFonts w:hint="eastAsia" w:ascii="Times New Roman" w:hAnsi="Times New Roman" w:eastAsia="仿宋_GB2312" w:cs="仿宋_GB2312"/>
          <w:sz w:val="32"/>
          <w:szCs w:val="32"/>
          <w:highlight w:val="none"/>
        </w:rPr>
        <w:t>3)</w:t>
      </w:r>
    </w:p>
    <w:p w14:paraId="60726D43">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其他相关法律法规。</w:t>
      </w:r>
    </w:p>
    <w:p w14:paraId="4D33D358">
      <w:pPr>
        <w:pStyle w:val="57"/>
        <w:numPr>
          <w:ilvl w:val="0"/>
          <w:numId w:val="2"/>
        </w:numPr>
        <w:ind w:firstLineChars="0"/>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政策文件</w:t>
      </w:r>
    </w:p>
    <w:p w14:paraId="586604EE">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《中共中央</w:t>
      </w:r>
      <w:r>
        <w:rPr>
          <w:rFonts w:hint="eastAsia" w:ascii="Times New Roman" w:hAnsi="Times New Roman" w:eastAsia="仿宋_GB2312" w:cs="仿宋_GB2312"/>
          <w:sz w:val="32"/>
          <w:szCs w:val="32"/>
          <w:highlight w:val="none"/>
        </w:rPr>
        <w:t xml:space="preserve"> </w:t>
      </w:r>
      <w:r>
        <w:rPr>
          <w:rFonts w:ascii="Times New Roman" w:hAnsi="Times New Roman" w:eastAsia="仿宋_GB2312" w:cs="仿宋_GB2312"/>
          <w:sz w:val="32"/>
          <w:szCs w:val="32"/>
          <w:highlight w:val="none"/>
        </w:rPr>
        <w:t>国务院关于建立国土空间规划体系并监督实施的若干意见》（中发</w:t>
      </w:r>
      <w:r>
        <w:rPr>
          <w:rFonts w:hint="eastAsia" w:ascii="Times New Roman" w:hAnsi="Times New Roman" w:cs="仿宋_GB2312"/>
          <w:sz w:val="32"/>
          <w:szCs w:val="32"/>
          <w:highlight w:val="none"/>
          <w:lang w:eastAsia="zh-CN"/>
        </w:rPr>
        <w:t>〔2019〕18号</w:t>
      </w:r>
      <w:r>
        <w:rPr>
          <w:rFonts w:ascii="Times New Roman" w:hAnsi="Times New Roman" w:eastAsia="仿宋_GB2312" w:cs="仿宋_GB2312"/>
          <w:sz w:val="32"/>
          <w:szCs w:val="32"/>
          <w:highlight w:val="none"/>
        </w:rPr>
        <w:t>）；</w:t>
      </w:r>
    </w:p>
    <w:p w14:paraId="120E4D82">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《中共中央</w:t>
      </w:r>
      <w:r>
        <w:rPr>
          <w:rFonts w:hint="eastAsia" w:ascii="Times New Roman" w:hAnsi="Times New Roman" w:eastAsia="仿宋_GB2312" w:cs="仿宋_GB2312"/>
          <w:sz w:val="32"/>
          <w:szCs w:val="32"/>
          <w:highlight w:val="none"/>
        </w:rPr>
        <w:t xml:space="preserve"> </w:t>
      </w:r>
      <w:r>
        <w:rPr>
          <w:rFonts w:ascii="Times New Roman" w:hAnsi="Times New Roman" w:eastAsia="仿宋_GB2312" w:cs="仿宋_GB2312"/>
          <w:sz w:val="32"/>
          <w:szCs w:val="32"/>
          <w:highlight w:val="none"/>
        </w:rPr>
        <w:t>国务院关于加快推进生态文明建设的意见》</w:t>
      </w:r>
      <w:r>
        <w:rPr>
          <w:rFonts w:hint="eastAsia" w:ascii="Times New Roman" w:hAnsi="Times New Roman" w:cs="仿宋_GB2312"/>
          <w:sz w:val="32"/>
          <w:szCs w:val="32"/>
          <w:highlight w:val="none"/>
          <w:lang w:eastAsia="zh-CN"/>
        </w:rPr>
        <w:t>（</w:t>
      </w:r>
      <w:r>
        <w:rPr>
          <w:rFonts w:ascii="Times New Roman" w:hAnsi="Times New Roman" w:eastAsia="仿宋_GB2312" w:cs="仿宋_GB2312"/>
          <w:sz w:val="32"/>
          <w:szCs w:val="32"/>
          <w:highlight w:val="none"/>
        </w:rPr>
        <w:t>厅字</w:t>
      </w:r>
      <w:r>
        <w:rPr>
          <w:rFonts w:hint="eastAsia" w:ascii="Times New Roman" w:hAnsi="Times New Roman" w:cs="仿宋_GB2312"/>
          <w:sz w:val="32"/>
          <w:szCs w:val="32"/>
          <w:highlight w:val="none"/>
          <w:lang w:eastAsia="zh-CN"/>
        </w:rPr>
        <w:t>〔2019〕48号）</w:t>
      </w:r>
      <w:r>
        <w:rPr>
          <w:rFonts w:hint="eastAsia" w:ascii="Times New Roman" w:hAnsi="Times New Roman" w:eastAsia="仿宋_GB2312" w:cs="仿宋_GB2312"/>
          <w:sz w:val="32"/>
          <w:szCs w:val="32"/>
          <w:highlight w:val="none"/>
        </w:rPr>
        <w:t>；</w:t>
      </w:r>
    </w:p>
    <w:p w14:paraId="1234894E">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《自然资源部 生态环境部 国家林业和草原局关于加强生态保护红线管理的通知（试行）》</w:t>
      </w:r>
      <w:r>
        <w:rPr>
          <w:rFonts w:ascii="Times New Roman" w:hAnsi="Times New Roman" w:eastAsia="仿宋_GB2312" w:cs="仿宋_GB2312"/>
          <w:sz w:val="32"/>
          <w:szCs w:val="32"/>
          <w:highlight w:val="none"/>
        </w:rPr>
        <w:t>（自然资发</w:t>
      </w:r>
      <w:r>
        <w:rPr>
          <w:rFonts w:hint="eastAsia" w:ascii="Times New Roman" w:hAnsi="Times New Roman" w:cs="仿宋_GB2312"/>
          <w:sz w:val="32"/>
          <w:szCs w:val="32"/>
          <w:highlight w:val="none"/>
          <w:lang w:eastAsia="zh-CN"/>
        </w:rPr>
        <w:t>〔2022〕142号</w:t>
      </w:r>
      <w:r>
        <w:rPr>
          <w:rFonts w:ascii="Times New Roman" w:hAnsi="Times New Roman" w:eastAsia="仿宋_GB2312" w:cs="仿宋_GB2312"/>
          <w:sz w:val="32"/>
          <w:szCs w:val="32"/>
          <w:highlight w:val="none"/>
        </w:rPr>
        <w:t>）</w:t>
      </w:r>
      <w:r>
        <w:rPr>
          <w:rFonts w:hint="eastAsia" w:ascii="Times New Roman" w:hAnsi="Times New Roman" w:cs="仿宋_GB2312"/>
          <w:sz w:val="32"/>
          <w:szCs w:val="32"/>
          <w:highlight w:val="none"/>
          <w:lang w:eastAsia="zh-CN"/>
        </w:rPr>
        <w:t>；</w:t>
      </w:r>
    </w:p>
    <w:p w14:paraId="1AA9CADA">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《自然资源部办公厅关于加强村庄规划促进乡村振兴的通知》（自然资办发</w:t>
      </w:r>
      <w:r>
        <w:rPr>
          <w:rFonts w:hint="eastAsia" w:ascii="Times New Roman" w:hAnsi="Times New Roman" w:cs="仿宋_GB2312"/>
          <w:sz w:val="32"/>
          <w:szCs w:val="32"/>
          <w:highlight w:val="none"/>
          <w:lang w:eastAsia="zh-CN"/>
        </w:rPr>
        <w:t>〔2019〕35号</w:t>
      </w:r>
      <w:r>
        <w:rPr>
          <w:rFonts w:ascii="Times New Roman" w:hAnsi="Times New Roman" w:eastAsia="仿宋_GB2312" w:cs="仿宋_GB2312"/>
          <w:sz w:val="32"/>
          <w:szCs w:val="32"/>
          <w:highlight w:val="none"/>
        </w:rPr>
        <w:t>）；</w:t>
      </w:r>
    </w:p>
    <w:p w14:paraId="54AAF5EE">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《中共中央办公厅</w:t>
      </w:r>
      <w:r>
        <w:rPr>
          <w:rFonts w:hint="eastAsia" w:ascii="Times New Roman" w:hAnsi="Times New Roman" w:eastAsia="仿宋_GB2312" w:cs="仿宋_GB2312"/>
          <w:sz w:val="32"/>
          <w:szCs w:val="32"/>
          <w:highlight w:val="none"/>
        </w:rPr>
        <w:t xml:space="preserve"> </w:t>
      </w:r>
      <w:r>
        <w:rPr>
          <w:rFonts w:ascii="Times New Roman" w:hAnsi="Times New Roman" w:eastAsia="仿宋_GB2312" w:cs="仿宋_GB2312"/>
          <w:sz w:val="32"/>
          <w:szCs w:val="32"/>
          <w:highlight w:val="none"/>
        </w:rPr>
        <w:t>国务院办公厅印发</w:t>
      </w:r>
      <w:r>
        <w:rPr>
          <w:rFonts w:hint="eastAsia" w:ascii="Times New Roman" w:hAnsi="Times New Roman" w:cs="仿宋_GB2312"/>
          <w:sz w:val="32"/>
          <w:szCs w:val="32"/>
          <w:highlight w:val="none"/>
          <w:lang w:eastAsia="zh-CN"/>
        </w:rPr>
        <w:t>〈</w:t>
      </w:r>
      <w:r>
        <w:rPr>
          <w:rFonts w:ascii="Times New Roman" w:hAnsi="Times New Roman" w:eastAsia="仿宋_GB2312" w:cs="仿宋_GB2312"/>
          <w:sz w:val="32"/>
          <w:szCs w:val="32"/>
          <w:highlight w:val="none"/>
        </w:rPr>
        <w:t>关于建立以国家公园为主体的自然保护地体系的指导意见</w:t>
      </w:r>
      <w:r>
        <w:rPr>
          <w:rFonts w:hint="eastAsia" w:ascii="Times New Roman" w:hAnsi="Times New Roman" w:cs="仿宋_GB2312"/>
          <w:sz w:val="32"/>
          <w:szCs w:val="32"/>
          <w:highlight w:val="none"/>
          <w:lang w:eastAsia="zh-CN"/>
        </w:rPr>
        <w:t>〉</w:t>
      </w:r>
      <w:r>
        <w:rPr>
          <w:rFonts w:ascii="Times New Roman" w:hAnsi="Times New Roman" w:eastAsia="仿宋_GB2312" w:cs="仿宋_GB2312"/>
          <w:sz w:val="32"/>
          <w:szCs w:val="32"/>
          <w:highlight w:val="none"/>
        </w:rPr>
        <w:t>的通知》（中办发</w:t>
      </w:r>
      <w:r>
        <w:rPr>
          <w:rFonts w:hint="eastAsia" w:ascii="Times New Roman" w:hAnsi="Times New Roman" w:cs="仿宋_GB2312"/>
          <w:sz w:val="32"/>
          <w:szCs w:val="32"/>
          <w:highlight w:val="none"/>
          <w:lang w:eastAsia="zh-CN"/>
        </w:rPr>
        <w:t>〔2019〕42号</w:t>
      </w:r>
      <w:r>
        <w:rPr>
          <w:rFonts w:ascii="Times New Roman" w:hAnsi="Times New Roman" w:eastAsia="仿宋_GB2312" w:cs="仿宋_GB2312"/>
          <w:sz w:val="32"/>
          <w:szCs w:val="32"/>
          <w:highlight w:val="none"/>
        </w:rPr>
        <w:t>）；</w:t>
      </w:r>
    </w:p>
    <w:p w14:paraId="4331867D">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《自然资源部关于全面开展国土空间规划工作的通知》（自然资发</w:t>
      </w:r>
      <w:r>
        <w:rPr>
          <w:rFonts w:hint="eastAsia" w:ascii="Times New Roman" w:hAnsi="Times New Roman" w:cs="仿宋_GB2312"/>
          <w:sz w:val="32"/>
          <w:szCs w:val="32"/>
          <w:highlight w:val="none"/>
          <w:lang w:eastAsia="zh-CN"/>
        </w:rPr>
        <w:t>〔2019〕87号</w:t>
      </w:r>
      <w:r>
        <w:rPr>
          <w:rFonts w:ascii="Times New Roman" w:hAnsi="Times New Roman" w:eastAsia="仿宋_GB2312" w:cs="仿宋_GB2312"/>
          <w:sz w:val="32"/>
          <w:szCs w:val="32"/>
          <w:highlight w:val="none"/>
        </w:rPr>
        <w:t>）；</w:t>
      </w:r>
    </w:p>
    <w:p w14:paraId="513F533D">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《中共黑龙江省委办公厅 黑龙江省人民政府办公厅印发〈关于在全省国土空间规划中统筹划定落实三条控制线的实施意见〉的通知》</w:t>
      </w:r>
      <w:r>
        <w:rPr>
          <w:rFonts w:ascii="Times New Roman" w:hAnsi="Times New Roman" w:eastAsia="仿宋_GB2312" w:cs="仿宋_GB2312"/>
          <w:sz w:val="32"/>
          <w:szCs w:val="32"/>
          <w:highlight w:val="none"/>
        </w:rPr>
        <w:t>；</w:t>
      </w:r>
    </w:p>
    <w:p w14:paraId="6422613D">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《自然资源部农业农村部关于加强和改进永久基本农田保护工作的通知》（自然资规</w:t>
      </w:r>
      <w:r>
        <w:rPr>
          <w:rFonts w:hint="eastAsia" w:ascii="Times New Roman" w:hAnsi="Times New Roman" w:cs="仿宋_GB2312"/>
          <w:sz w:val="32"/>
          <w:szCs w:val="32"/>
          <w:highlight w:val="none"/>
          <w:lang w:eastAsia="zh-CN"/>
        </w:rPr>
        <w:t>〔2019〕1号</w:t>
      </w:r>
      <w:r>
        <w:rPr>
          <w:rFonts w:ascii="Times New Roman" w:hAnsi="Times New Roman" w:eastAsia="仿宋_GB2312" w:cs="仿宋_GB2312"/>
          <w:sz w:val="32"/>
          <w:szCs w:val="32"/>
          <w:highlight w:val="none"/>
        </w:rPr>
        <w:t>）；</w:t>
      </w:r>
    </w:p>
    <w:p w14:paraId="3C4CFE2B">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《自然资源部中央农村工作领导小组办公室关于学习运用“千万工程”经验提高村庄规划编制质量和实效的通知》（自然资发〔2024〕1号）</w:t>
      </w:r>
      <w:r>
        <w:rPr>
          <w:rFonts w:hint="eastAsia" w:ascii="Times New Roman" w:hAnsi="Times New Roman" w:cs="仿宋_GB2312"/>
          <w:sz w:val="32"/>
          <w:szCs w:val="32"/>
          <w:highlight w:val="none"/>
          <w:lang w:eastAsia="zh-CN"/>
        </w:rPr>
        <w:t>；</w:t>
      </w:r>
    </w:p>
    <w:p w14:paraId="60789CE3">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《中共黑龙江省委</w:t>
      </w:r>
      <w:r>
        <w:rPr>
          <w:rFonts w:hint="eastAsia" w:ascii="Times New Roman" w:hAnsi="Times New Roman" w:eastAsia="仿宋_GB2312" w:cs="仿宋_GB2312"/>
          <w:sz w:val="32"/>
          <w:szCs w:val="32"/>
          <w:highlight w:val="none"/>
          <w:lang w:val="en-US" w:eastAsia="zh-CN"/>
        </w:rPr>
        <w:t xml:space="preserve"> </w:t>
      </w:r>
      <w:r>
        <w:rPr>
          <w:rFonts w:ascii="Times New Roman" w:hAnsi="Times New Roman" w:eastAsia="仿宋_GB2312" w:cs="仿宋_GB2312"/>
          <w:sz w:val="32"/>
          <w:szCs w:val="32"/>
          <w:highlight w:val="none"/>
        </w:rPr>
        <w:t>黑龙江省人民政府关于建立全省国土空间规划体系并监督实施的意见》</w:t>
      </w:r>
      <w:r>
        <w:rPr>
          <w:rFonts w:hint="eastAsia" w:ascii="Times New Roman" w:hAnsi="Times New Roman" w:eastAsia="仿宋_GB2312" w:cs="仿宋_GB2312"/>
          <w:sz w:val="32"/>
          <w:szCs w:val="32"/>
          <w:highlight w:val="none"/>
        </w:rPr>
        <w:t>（黑发〔2020〕5号）</w:t>
      </w:r>
      <w:r>
        <w:rPr>
          <w:rFonts w:ascii="Times New Roman" w:hAnsi="Times New Roman" w:eastAsia="仿宋_GB2312" w:cs="仿宋_GB2312"/>
          <w:sz w:val="32"/>
          <w:szCs w:val="32"/>
          <w:highlight w:val="none"/>
        </w:rPr>
        <w:t>；</w:t>
      </w:r>
    </w:p>
    <w:p w14:paraId="7EB0E7EA">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《黑龙江省自然资源厅关于全面开展全省国土空间规划工作的通知》（黑自然资函〔2019〕291号）</w:t>
      </w:r>
      <w:r>
        <w:rPr>
          <w:rFonts w:hint="eastAsia" w:ascii="Times New Roman" w:hAnsi="Times New Roman" w:cs="仿宋_GB2312"/>
          <w:sz w:val="32"/>
          <w:szCs w:val="32"/>
          <w:highlight w:val="none"/>
          <w:lang w:eastAsia="zh-CN"/>
        </w:rPr>
        <w:t>；</w:t>
      </w:r>
    </w:p>
    <w:p w14:paraId="0E3F61A4">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其他相关政策文件。</w:t>
      </w:r>
    </w:p>
    <w:p w14:paraId="7276DC62">
      <w:pPr>
        <w:pStyle w:val="57"/>
        <w:numPr>
          <w:ilvl w:val="0"/>
          <w:numId w:val="2"/>
        </w:numPr>
        <w:ind w:firstLineChars="0"/>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技术标准</w:t>
      </w:r>
    </w:p>
    <w:p w14:paraId="3F132161">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《国土空间调查、规划、用途管制用地用海分类指南》</w:t>
      </w:r>
      <w:r>
        <w:rPr>
          <w:rFonts w:hint="eastAsia" w:ascii="Times New Roman" w:hAnsi="Times New Roman" w:eastAsia="仿宋_GB2312" w:cs="仿宋_GB2312"/>
          <w:sz w:val="32"/>
          <w:szCs w:val="32"/>
          <w:highlight w:val="none"/>
        </w:rPr>
        <w:t>（GB/T43214-2023）</w:t>
      </w:r>
      <w:r>
        <w:rPr>
          <w:rFonts w:ascii="Times New Roman" w:hAnsi="Times New Roman" w:eastAsia="仿宋_GB2312" w:cs="仿宋_GB2312"/>
          <w:sz w:val="32"/>
          <w:szCs w:val="32"/>
          <w:highlight w:val="none"/>
        </w:rPr>
        <w:t>；</w:t>
      </w:r>
    </w:p>
    <w:p w14:paraId="41AC2482">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《黑龙江省村庄规划编制指南》(DB23/T3595-2023)</w:t>
      </w:r>
      <w:r>
        <w:rPr>
          <w:rFonts w:ascii="Times New Roman" w:hAnsi="Times New Roman" w:eastAsia="仿宋_GB2312" w:cs="仿宋_GB2312"/>
          <w:sz w:val="32"/>
          <w:szCs w:val="32"/>
          <w:highlight w:val="none"/>
        </w:rPr>
        <w:t>；</w:t>
      </w:r>
    </w:p>
    <w:p w14:paraId="39C3C27C">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hint="default" w:ascii="Times New Roman" w:hAnsi="Times New Roman" w:eastAsia="仿宋_GB2312" w:cs="仿宋_GB2312"/>
          <w:sz w:val="32"/>
          <w:szCs w:val="32"/>
          <w:highlight w:val="none"/>
        </w:rPr>
        <w:t>《黑龙江省乡</w:t>
      </w:r>
      <w:r>
        <w:rPr>
          <w:rFonts w:hint="default" w:ascii="Times New Roman" w:hAnsi="Times New Roman" w:eastAsia="仿宋_GB2312" w:cs="仿宋_GB2312"/>
          <w:sz w:val="32"/>
          <w:szCs w:val="32"/>
          <w:highlight w:val="none"/>
          <w:lang w:val="en-US" w:eastAsia="zh-CN"/>
        </w:rPr>
        <w:t>镇</w:t>
      </w:r>
      <w:r>
        <w:rPr>
          <w:rFonts w:hint="default" w:ascii="Times New Roman" w:hAnsi="Times New Roman" w:eastAsia="仿宋_GB2312" w:cs="仿宋_GB2312"/>
          <w:sz w:val="32"/>
          <w:szCs w:val="32"/>
          <w:highlight w:val="none"/>
        </w:rPr>
        <w:t>级国土空间总体规划编制指南</w:t>
      </w:r>
      <w:r>
        <w:rPr>
          <w:rFonts w:hint="eastAsia" w:ascii="Times New Roman" w:hAnsi="Times New Roman" w:cs="仿宋_GB2312"/>
          <w:sz w:val="32"/>
          <w:szCs w:val="32"/>
          <w:highlight w:val="none"/>
          <w:lang w:eastAsia="zh-CN"/>
        </w:rPr>
        <w:t>（</w:t>
      </w:r>
      <w:r>
        <w:rPr>
          <w:rFonts w:hint="default" w:ascii="Times New Roman" w:hAnsi="Times New Roman" w:eastAsia="仿宋_GB2312" w:cs="仿宋_GB2312"/>
          <w:sz w:val="32"/>
          <w:szCs w:val="32"/>
          <w:highlight w:val="none"/>
        </w:rPr>
        <w:t>试行</w:t>
      </w:r>
      <w:r>
        <w:rPr>
          <w:rFonts w:hint="eastAsia" w:ascii="Times New Roman" w:hAnsi="Times New Roman" w:cs="仿宋_GB2312"/>
          <w:sz w:val="32"/>
          <w:szCs w:val="32"/>
          <w:highlight w:val="none"/>
          <w:lang w:eastAsia="zh-CN"/>
        </w:rPr>
        <w:t>）</w:t>
      </w:r>
      <w:r>
        <w:rPr>
          <w:rFonts w:hint="default" w:ascii="Times New Roman" w:hAnsi="Times New Roman" w:eastAsia="仿宋_GB2312" w:cs="仿宋_GB2312"/>
          <w:sz w:val="32"/>
          <w:szCs w:val="32"/>
          <w:highlight w:val="none"/>
        </w:rPr>
        <w:t>》(</w:t>
      </w:r>
      <w:r>
        <w:rPr>
          <w:rFonts w:hint="default" w:ascii="Times New Roman" w:hAnsi="Times New Roman" w:eastAsia="仿宋_GB2312" w:cs="仿宋_GB2312"/>
          <w:sz w:val="32"/>
          <w:szCs w:val="32"/>
          <w:highlight w:val="none"/>
          <w:lang w:val="en-US" w:eastAsia="zh-CN"/>
        </w:rPr>
        <w:t>2024年10月</w:t>
      </w:r>
      <w:r>
        <w:rPr>
          <w:rFonts w:hint="eastAsia" w:ascii="Times New Roman" w:hAnsi="Times New Roman" w:cs="仿宋_GB2312"/>
          <w:sz w:val="32"/>
          <w:szCs w:val="32"/>
          <w:highlight w:val="none"/>
          <w:lang w:val="en-US" w:eastAsia="zh-CN"/>
        </w:rPr>
        <w:t>）</w:t>
      </w:r>
      <w:r>
        <w:rPr>
          <w:rFonts w:hint="eastAsia" w:ascii="Times New Roman" w:hAnsi="Times New Roman" w:cs="仿宋_GB2312"/>
          <w:sz w:val="32"/>
          <w:szCs w:val="32"/>
          <w:highlight w:val="none"/>
          <w:lang w:eastAsia="zh-CN"/>
        </w:rPr>
        <w:t>；</w:t>
      </w:r>
    </w:p>
    <w:p w14:paraId="16BC292B">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国家、省</w:t>
      </w:r>
      <w:r>
        <w:rPr>
          <w:rFonts w:hint="eastAsia" w:ascii="Times New Roman" w:hAnsi="Times New Roman" w:eastAsia="仿宋_GB2312" w:cs="仿宋_GB2312"/>
          <w:sz w:val="32"/>
          <w:szCs w:val="32"/>
          <w:highlight w:val="none"/>
        </w:rPr>
        <w:t>行业主管部门颁布的其他相关文件及标准规范</w:t>
      </w:r>
      <w:r>
        <w:rPr>
          <w:rFonts w:ascii="Times New Roman" w:hAnsi="Times New Roman" w:eastAsia="仿宋_GB2312" w:cs="仿宋_GB2312"/>
          <w:sz w:val="32"/>
          <w:szCs w:val="32"/>
          <w:highlight w:val="none"/>
        </w:rPr>
        <w:t>。</w:t>
      </w:r>
    </w:p>
    <w:p w14:paraId="3D8AC845">
      <w:pPr>
        <w:pStyle w:val="57"/>
        <w:numPr>
          <w:ilvl w:val="0"/>
          <w:numId w:val="2"/>
        </w:numPr>
        <w:ind w:firstLineChars="0"/>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上位规划及相关规划</w:t>
      </w:r>
    </w:p>
    <w:p w14:paraId="4D707448">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《全国国土空间规划纲要（2021-2035年）》；</w:t>
      </w:r>
    </w:p>
    <w:p w14:paraId="0DCCDAF9">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《黑龙江省国民经济和社会发展第十四个五年规划和二〇三五年远景目标纲要》；</w:t>
      </w:r>
    </w:p>
    <w:p w14:paraId="1C9F8893">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《桦川县国土空间总体规划（2021-2035年）》</w:t>
      </w:r>
    </w:p>
    <w:p w14:paraId="21BFC004">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《桦川县国民经济和社会发展第十四个五年规划纲要和二〇三五年远景目标（2021-2025年）》；</w:t>
      </w:r>
    </w:p>
    <w:p w14:paraId="5837EC72">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ascii="Times New Roman" w:hAnsi="Times New Roman" w:eastAsia="仿宋_GB2312" w:cs="仿宋_GB2312"/>
          <w:sz w:val="32"/>
          <w:szCs w:val="32"/>
          <w:highlight w:val="none"/>
        </w:rPr>
      </w:pPr>
      <w:r>
        <w:rPr>
          <w:rFonts w:ascii="Times New Roman" w:hAnsi="Times New Roman" w:eastAsia="仿宋_GB2312" w:cs="仿宋_GB2312"/>
          <w:sz w:val="32"/>
          <w:szCs w:val="32"/>
          <w:highlight w:val="none"/>
        </w:rPr>
        <w:t>其他相关专项规划。</w:t>
      </w:r>
    </w:p>
    <w:bookmarkEnd w:id="16"/>
    <w:p w14:paraId="0DC73AF8">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r>
        <w:rPr>
          <w:rFonts w:ascii="Times New Roman" w:hAnsi="Times New Roman" w:eastAsia="楷体_GB2312" w:cs="Times New Roman"/>
          <w:b/>
          <w:bCs w:val="0"/>
          <w:highlight w:val="none"/>
        </w:rPr>
        <w:t>规划范围</w:t>
      </w:r>
      <w:bookmarkEnd w:id="17"/>
      <w:bookmarkEnd w:id="18"/>
    </w:p>
    <w:p w14:paraId="2F2E024E">
      <w:pPr>
        <w:pStyle w:val="29"/>
        <w:ind w:firstLine="640"/>
        <w:rPr>
          <w:rFonts w:hint="eastAsia" w:ascii="仿宋_GB2312" w:hAnsi="仿宋_GB2312" w:cs="仿宋_GB2312"/>
          <w:highlight w:val="none"/>
        </w:rPr>
      </w:pPr>
      <w:r>
        <w:rPr>
          <w:rFonts w:hint="eastAsia" w:ascii="仿宋_GB2312" w:hAnsi="仿宋_GB2312" w:cs="仿宋_GB2312"/>
          <w:highlight w:val="none"/>
        </w:rPr>
        <w:t>本次规划范围落实桦川县国土空间总体规划中对红兴隆分局（桦川境内）农场规划编制范围的传导。规划范围分为包括场域和场部两个层次。</w:t>
      </w:r>
    </w:p>
    <w:p w14:paraId="131B2562">
      <w:pPr>
        <w:pStyle w:val="29"/>
        <w:ind w:firstLine="640"/>
        <w:rPr>
          <w:rFonts w:hint="eastAsia" w:ascii="仿宋_GB2312" w:hAnsi="仿宋_GB2312" w:cs="仿宋_GB2312"/>
          <w:highlight w:val="none"/>
        </w:rPr>
      </w:pPr>
      <w:r>
        <w:rPr>
          <w:rFonts w:hint="eastAsia" w:ascii="仿宋_GB2312" w:hAnsi="仿宋_GB2312" w:cs="仿宋_GB2312"/>
          <w:highlight w:val="none"/>
        </w:rPr>
        <w:t>场域范围为红兴隆分局（桦川境内）</w:t>
      </w:r>
      <w:r>
        <w:rPr>
          <w:rFonts w:hint="eastAsia" w:ascii="仿宋_GB2312" w:hAnsi="仿宋_GB2312" w:cs="仿宋_GB2312"/>
          <w:highlight w:val="none"/>
          <w:lang w:val="en-US" w:eastAsia="zh-CN"/>
        </w:rPr>
        <w:t>农场</w:t>
      </w:r>
      <w:r>
        <w:rPr>
          <w:rFonts w:hint="eastAsia" w:ascii="仿宋_GB2312" w:hAnsi="仿宋_GB2312" w:cs="仿宋_GB2312"/>
          <w:highlight w:val="none"/>
        </w:rPr>
        <w:t>行政辖区内全部国土空间范围，包括所辖的</w:t>
      </w:r>
      <w:r>
        <w:rPr>
          <w:rFonts w:hint="eastAsia" w:ascii="仿宋_GB2312" w:hAnsi="仿宋_GB2312" w:cs="仿宋_GB2312"/>
          <w:highlight w:val="none"/>
          <w:lang w:val="en-US" w:eastAsia="zh-CN"/>
        </w:rPr>
        <w:t>江川农场、二九一农场、宝山农场内的13</w:t>
      </w:r>
      <w:r>
        <w:rPr>
          <w:rFonts w:hint="eastAsia" w:ascii="仿宋_GB2312" w:hAnsi="仿宋_GB2312" w:cs="仿宋_GB2312"/>
          <w:highlight w:val="none"/>
        </w:rPr>
        <w:t>个管理区，总面积为48427.42公顷，其中江川农场总面积为</w:t>
      </w:r>
      <w:r>
        <w:rPr>
          <w:rFonts w:hint="eastAsia" w:ascii="仿宋_GB2312" w:hAnsi="仿宋_GB2312" w:cs="仿宋_GB2312"/>
          <w:highlight w:val="none"/>
          <w:lang w:val="en-US" w:eastAsia="zh-CN"/>
        </w:rPr>
        <w:t>28604.11</w:t>
      </w:r>
      <w:r>
        <w:rPr>
          <w:rFonts w:hint="eastAsia" w:ascii="仿宋_GB2312" w:hAnsi="仿宋_GB2312" w:cs="仿宋_GB2312"/>
          <w:highlight w:val="none"/>
        </w:rPr>
        <w:t>公顷，宝山农场总面积为8305.42公顷，二九一农场总面积为11517.89公顷。</w:t>
      </w:r>
    </w:p>
    <w:p w14:paraId="1375D92D">
      <w:pPr>
        <w:pStyle w:val="29"/>
        <w:ind w:firstLine="640"/>
        <w:rPr>
          <w:rFonts w:hint="eastAsia" w:ascii="仿宋_GB2312" w:hAnsi="仿宋_GB2312" w:cs="仿宋_GB2312"/>
          <w:highlight w:val="none"/>
        </w:rPr>
      </w:pPr>
      <w:r>
        <w:rPr>
          <w:rFonts w:hint="eastAsia" w:ascii="仿宋_GB2312" w:hAnsi="仿宋_GB2312" w:cs="仿宋_GB2312"/>
          <w:highlight w:val="none"/>
          <w:lang w:val="en-US" w:eastAsia="zh-CN"/>
        </w:rPr>
        <w:t>红兴隆分局（桦川境内）</w:t>
      </w:r>
      <w:r>
        <w:rPr>
          <w:rFonts w:hint="eastAsia" w:ascii="仿宋_GB2312" w:hAnsi="仿宋_GB2312" w:cs="仿宋_GB2312"/>
          <w:highlight w:val="none"/>
        </w:rPr>
        <w:t>江川农场场部驻地范围为城镇开发边界，总面积为176.48公顷。宝山农场及二九一</w:t>
      </w:r>
      <w:r>
        <w:rPr>
          <w:rFonts w:hint="eastAsia" w:ascii="仿宋_GB2312" w:hAnsi="仿宋_GB2312" w:cs="仿宋_GB2312"/>
          <w:highlight w:val="none"/>
          <w:lang w:eastAsia="zh-CN"/>
        </w:rPr>
        <w:t>农场场部</w:t>
      </w:r>
      <w:r>
        <w:rPr>
          <w:rFonts w:hint="eastAsia" w:ascii="仿宋_GB2312" w:hAnsi="仿宋_GB2312" w:cs="仿宋_GB2312"/>
          <w:highlight w:val="none"/>
        </w:rPr>
        <w:t>未在桦川境内。</w:t>
      </w:r>
    </w:p>
    <w:p w14:paraId="2B194C25">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bookmarkStart w:id="19" w:name="_Toc7640"/>
      <w:bookmarkStart w:id="20" w:name="_Toc6218"/>
      <w:r>
        <w:rPr>
          <w:rFonts w:ascii="Times New Roman" w:hAnsi="Times New Roman" w:eastAsia="楷体_GB2312" w:cs="Times New Roman"/>
          <w:b/>
          <w:bCs w:val="0"/>
          <w:highlight w:val="none"/>
        </w:rPr>
        <w:t>规划期限</w:t>
      </w:r>
      <w:bookmarkEnd w:id="19"/>
      <w:bookmarkEnd w:id="20"/>
    </w:p>
    <w:p w14:paraId="048AF525">
      <w:pPr>
        <w:pStyle w:val="29"/>
        <w:ind w:firstLine="640"/>
        <w:rPr>
          <w:rFonts w:hint="eastAsia" w:ascii="仿宋_GB2312" w:hAnsi="仿宋_GB2312" w:cs="仿宋_GB2312"/>
          <w:highlight w:val="none"/>
        </w:rPr>
      </w:pPr>
      <w:r>
        <w:rPr>
          <w:rFonts w:hint="eastAsia" w:ascii="仿宋_GB2312" w:hAnsi="仿宋_GB2312" w:cs="仿宋_GB2312"/>
          <w:highlight w:val="none"/>
        </w:rPr>
        <w:t>本规划期限为2021年至2035年，近期至2025年。</w:t>
      </w:r>
    </w:p>
    <w:p w14:paraId="6F759111">
      <w:pPr>
        <w:pStyle w:val="4"/>
        <w:numPr>
          <w:ilvl w:val="0"/>
          <w:numId w:val="1"/>
        </w:numPr>
        <w:tabs>
          <w:tab w:val="left" w:pos="598"/>
        </w:tabs>
        <w:spacing w:before="156" w:beforeLines="50" w:after="156" w:afterLines="50"/>
        <w:ind w:firstLine="0"/>
        <w:rPr>
          <w:rFonts w:ascii="Times New Roman" w:hAnsi="Times New Roman" w:eastAsia="楷体_GB2312" w:cs="Times New Roman"/>
          <w:b/>
          <w:bCs w:val="0"/>
          <w:highlight w:val="none"/>
        </w:rPr>
      </w:pPr>
      <w:r>
        <w:rPr>
          <w:rFonts w:hint="eastAsia" w:ascii="Times New Roman" w:hAnsi="Times New Roman" w:eastAsia="楷体_GB2312" w:cs="Times New Roman"/>
          <w:b/>
          <w:bCs w:val="0"/>
          <w:highlight w:val="none"/>
        </w:rPr>
        <w:t>强制性内容</w:t>
      </w:r>
    </w:p>
    <w:p w14:paraId="61EB4DC7">
      <w:pPr>
        <w:pStyle w:val="29"/>
        <w:ind w:firstLine="640"/>
        <w:rPr>
          <w:rFonts w:hint="eastAsia" w:ascii="仿宋_GB2312" w:hAnsi="仿宋_GB2312" w:cs="仿宋_GB2312"/>
          <w:highlight w:val="none"/>
        </w:rPr>
      </w:pPr>
      <w:bookmarkStart w:id="21" w:name="_Hlk175260996"/>
      <w:r>
        <w:rPr>
          <w:rFonts w:hint="eastAsia" w:ascii="仿宋_GB2312" w:hAnsi="仿宋_GB2312" w:cs="仿宋_GB2312"/>
          <w:highlight w:val="none"/>
        </w:rPr>
        <w:t>强制性内容是对国土空间规划实施监督检查的基本依据，本规划强制性内容为文本中“加下划线”条文。</w:t>
      </w:r>
      <w:bookmarkEnd w:id="21"/>
      <w:r>
        <w:rPr>
          <w:rFonts w:hint="eastAsia" w:ascii="仿宋_GB2312" w:hAnsi="仿宋_GB2312" w:cs="仿宋_GB2312"/>
          <w:highlight w:val="none"/>
        </w:rPr>
        <w:br w:type="page"/>
      </w:r>
    </w:p>
    <w:p w14:paraId="4521C786">
      <w:pPr>
        <w:pStyle w:val="2"/>
        <w:spacing w:line="600" w:lineRule="atLeast"/>
        <w:rPr>
          <w:rFonts w:hint="eastAsia" w:ascii="Times New Roman" w:hAnsi="Times New Roman" w:eastAsia="方正小标宋简体" w:cs="Times New Roman"/>
          <w:kern w:val="2"/>
          <w:sz w:val="36"/>
          <w:szCs w:val="36"/>
          <w:lang w:val="en-US" w:eastAsia="zh-CN" w:bidi="ar-SA"/>
        </w:rPr>
      </w:pPr>
      <w:bookmarkStart w:id="22" w:name="_Toc4696"/>
      <w:bookmarkStart w:id="23" w:name="_Toc28510"/>
      <w:r>
        <w:rPr>
          <w:rFonts w:hint="eastAsia" w:ascii="Times New Roman" w:hAnsi="Times New Roman" w:eastAsia="方正小标宋简体" w:cs="Times New Roman"/>
          <w:kern w:val="2"/>
          <w:sz w:val="36"/>
          <w:szCs w:val="36"/>
          <w:lang w:val="en-US" w:eastAsia="zh-CN" w:bidi="ar-SA"/>
        </w:rPr>
        <w:t>第二章 目标定位与</w:t>
      </w:r>
      <w:bookmarkEnd w:id="22"/>
      <w:r>
        <w:rPr>
          <w:rFonts w:hint="eastAsia" w:ascii="Times New Roman" w:hAnsi="Times New Roman" w:eastAsia="方正小标宋简体" w:cs="Times New Roman"/>
          <w:kern w:val="2"/>
          <w:sz w:val="36"/>
          <w:szCs w:val="36"/>
          <w:lang w:val="en-US" w:eastAsia="zh-CN" w:bidi="ar-SA"/>
        </w:rPr>
        <w:t>空间策略</w:t>
      </w:r>
      <w:bookmarkEnd w:id="23"/>
    </w:p>
    <w:p w14:paraId="06149C3D">
      <w:pPr>
        <w:pStyle w:val="31"/>
        <w:spacing w:before="156" w:beforeLines="50" w:after="156" w:afterLines="50" w:line="600" w:lineRule="atLeast"/>
        <w:ind w:firstLine="0" w:firstLineChars="0"/>
        <w:rPr>
          <w:rFonts w:hint="default" w:ascii="Times New Roman" w:hAnsi="Times New Roman" w:eastAsia="仿宋_GB2312" w:cs="Times New Roman"/>
          <w:kern w:val="2"/>
          <w:sz w:val="32"/>
          <w:szCs w:val="32"/>
          <w:highlight w:val="none"/>
          <w:lang w:val="en-US" w:eastAsia="zh-CN" w:bidi="ar"/>
        </w:rPr>
      </w:pPr>
      <w:bookmarkStart w:id="24" w:name="_Toc22145"/>
      <w:bookmarkStart w:id="25" w:name="_Toc24388"/>
      <w:r>
        <w:rPr>
          <w:rFonts w:ascii="Times New Roman" w:hAnsi="Times New Roman" w:cs="Times New Roman"/>
          <w:highlight w:val="none"/>
        </w:rPr>
        <w:t>第一节</w:t>
      </w:r>
      <w:r>
        <w:rPr>
          <w:rFonts w:hint="eastAsia" w:ascii="Times New Roman" w:hAnsi="Times New Roman" w:cs="Times New Roman"/>
          <w:highlight w:val="none"/>
        </w:rPr>
        <w:t xml:space="preserve"> </w:t>
      </w:r>
      <w:bookmarkEnd w:id="24"/>
      <w:r>
        <w:rPr>
          <w:rFonts w:hint="eastAsia" w:ascii="Times New Roman" w:hAnsi="Times New Roman" w:cs="Times New Roman"/>
          <w:highlight w:val="none"/>
          <w:lang w:val="en-US" w:eastAsia="zh-CN"/>
        </w:rPr>
        <w:t>规划定位</w:t>
      </w:r>
      <w:bookmarkEnd w:id="25"/>
    </w:p>
    <w:p w14:paraId="0684AA49">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bookmarkStart w:id="26" w:name="_Hlk175262823"/>
      <w:r>
        <w:rPr>
          <w:rFonts w:hint="eastAsia" w:ascii="Times New Roman" w:hAnsi="Times New Roman" w:eastAsia="楷体_GB2312" w:cs="Times New Roman"/>
          <w:b/>
          <w:bCs w:val="0"/>
          <w:highlight w:val="none"/>
          <w:lang w:val="en-US" w:eastAsia="zh-CN"/>
        </w:rPr>
        <w:t>发展目标</w:t>
      </w:r>
    </w:p>
    <w:p w14:paraId="6E6F3EF8">
      <w:pPr>
        <w:pStyle w:val="29"/>
        <w:spacing w:before="156" w:after="156" w:line="600" w:lineRule="atLeast"/>
        <w:ind w:firstLine="643"/>
        <w:rPr>
          <w:rFonts w:hint="eastAsia"/>
          <w:szCs w:val="32"/>
          <w:highlight w:val="magenta"/>
          <w:lang w:val="en-US" w:eastAsia="zh-CN"/>
        </w:rPr>
      </w:pPr>
      <w:r>
        <w:rPr>
          <w:rFonts w:hint="eastAsia"/>
          <w:szCs w:val="32"/>
          <w:highlight w:val="none"/>
        </w:rPr>
        <w:t>在桦川县国土空间总体规划职能体系结构中确定</w:t>
      </w:r>
      <w:r>
        <w:rPr>
          <w:rFonts w:hint="eastAsia"/>
          <w:szCs w:val="32"/>
          <w:highlight w:val="none"/>
          <w:lang w:val="en-US" w:eastAsia="zh-CN"/>
        </w:rPr>
        <w:t>红兴隆分局（桦川境内）江川农场</w:t>
      </w:r>
      <w:r>
        <w:rPr>
          <w:rFonts w:hint="eastAsia"/>
          <w:szCs w:val="32"/>
          <w:highlight w:val="none"/>
        </w:rPr>
        <w:t>作为</w:t>
      </w:r>
      <w:r>
        <w:rPr>
          <w:rFonts w:hint="eastAsia"/>
          <w:szCs w:val="32"/>
          <w:highlight w:val="none"/>
          <w:lang w:val="en-US" w:eastAsia="zh-CN"/>
        </w:rPr>
        <w:t>一般农场</w:t>
      </w:r>
      <w:r>
        <w:rPr>
          <w:rFonts w:hint="eastAsia"/>
          <w:szCs w:val="32"/>
          <w:highlight w:val="none"/>
        </w:rPr>
        <w:t>，</w:t>
      </w:r>
      <w:r>
        <w:rPr>
          <w:rFonts w:hint="eastAsia"/>
          <w:szCs w:val="32"/>
          <w:highlight w:val="none"/>
          <w:lang w:val="en-US" w:eastAsia="zh-CN"/>
        </w:rPr>
        <w:t>以发展现代农业为核心，突出农业专业化生产示范作用，打造成桦川县重要的农业旅游目的地。</w:t>
      </w:r>
      <w:bookmarkEnd w:id="26"/>
    </w:p>
    <w:p w14:paraId="7B7F118B">
      <w:pPr>
        <w:pStyle w:val="31"/>
        <w:spacing w:before="156" w:beforeLines="50" w:after="156" w:afterLines="50" w:line="600" w:lineRule="atLeast"/>
        <w:ind w:firstLine="0" w:firstLineChars="0"/>
        <w:rPr>
          <w:rFonts w:hint="default" w:ascii="Times New Roman" w:hAnsi="Times New Roman" w:cs="Times New Roman"/>
          <w:highlight w:val="none"/>
          <w:lang w:val="en-US"/>
        </w:rPr>
      </w:pPr>
      <w:bookmarkStart w:id="27" w:name="_Toc27812"/>
      <w:bookmarkStart w:id="28" w:name="_Toc5458"/>
      <w:r>
        <w:rPr>
          <w:rFonts w:ascii="Times New Roman" w:hAnsi="Times New Roman" w:cs="Times New Roman"/>
          <w:highlight w:val="none"/>
        </w:rPr>
        <w:t>第二节</w:t>
      </w:r>
      <w:r>
        <w:rPr>
          <w:rFonts w:hint="eastAsia" w:ascii="Times New Roman" w:hAnsi="Times New Roman" w:cs="Times New Roman"/>
          <w:highlight w:val="none"/>
        </w:rPr>
        <w:t xml:space="preserve"> </w:t>
      </w:r>
      <w:r>
        <w:rPr>
          <w:rFonts w:ascii="Times New Roman" w:hAnsi="Times New Roman" w:cs="Times New Roman"/>
          <w:highlight w:val="none"/>
        </w:rPr>
        <w:t>规划目标</w:t>
      </w:r>
      <w:r>
        <w:rPr>
          <w:rFonts w:hint="eastAsia" w:ascii="Times New Roman" w:hAnsi="Times New Roman" w:cs="Times New Roman"/>
          <w:highlight w:val="none"/>
        </w:rPr>
        <w:t>与指标体系</w:t>
      </w:r>
      <w:bookmarkEnd w:id="27"/>
      <w:bookmarkEnd w:id="28"/>
    </w:p>
    <w:p w14:paraId="17245579">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发展目标</w:t>
      </w:r>
    </w:p>
    <w:p w14:paraId="0F577712">
      <w:pPr>
        <w:pStyle w:val="29"/>
        <w:spacing w:before="156" w:after="156" w:line="600" w:lineRule="atLeast"/>
        <w:ind w:firstLine="643"/>
        <w:rPr>
          <w:rFonts w:hint="eastAsia" w:eastAsia="楷体"/>
          <w:szCs w:val="32"/>
          <w:highlight w:val="none"/>
        </w:rPr>
      </w:pPr>
      <w:r>
        <w:rPr>
          <w:rFonts w:hint="eastAsia" w:ascii="Times New Roman" w:hAnsi="Times New Roman" w:eastAsia="仿宋_GB2312" w:cs="Times New Roman"/>
          <w:kern w:val="2"/>
          <w:sz w:val="32"/>
          <w:szCs w:val="32"/>
          <w:highlight w:val="none"/>
          <w:lang w:val="en-US" w:eastAsia="zh-CN" w:bidi="ar-SA"/>
        </w:rPr>
        <w:t>到2025年，国土空间开发与保护格局初步形成，农业、生态、城镇空间功能逐步清晰；自然生态与黑土地农业安全保障能力逐步增强，国土安全、城市韧性和用地效率进一步提升；乡村风貌和人居环境明显改善；山水人文城市风貌和价值逐步彰显，区域协同发展布局、城乡融合发展、民生补短板工程、重点基础设施建设取得积极成效，支撑红兴隆分局（桦川境内）农场经济高质量发展的能力逐步增强。</w:t>
      </w:r>
    </w:p>
    <w:p w14:paraId="11716393">
      <w:pPr>
        <w:pStyle w:val="29"/>
        <w:spacing w:line="600" w:lineRule="atLeast"/>
        <w:ind w:firstLine="643"/>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到2035年，红兴隆分局（桦川境内）农场国土空间格局更加优化，国土空间布局协调有序，国防安全、粮食安全和生态安全基底更加牢固，产业发展体系更加完善，公共服务体系更加健全，资源利用效率更加集约，国土空间品质全面提升，国土空间治理能力基本实现现代化，基本形成生产空间集约高效、生活空间宜居适度、生态空间安全和谐、开放高效、魅力品质的国土空间格局，并将红兴隆分局（桦川境内）农场打造成为宜居、宜业的现代化精品农场。</w:t>
      </w:r>
    </w:p>
    <w:p w14:paraId="26327914">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指标体系</w:t>
      </w:r>
    </w:p>
    <w:p w14:paraId="1C10F0F9">
      <w:pPr>
        <w:pStyle w:val="29"/>
        <w:ind w:firstLine="640"/>
        <w:rPr>
          <w:szCs w:val="32"/>
          <w:highlight w:val="none"/>
        </w:rPr>
      </w:pPr>
      <w:bookmarkStart w:id="29" w:name="_Hlk175263150"/>
      <w:bookmarkStart w:id="30" w:name="_Toc21683"/>
      <w:r>
        <w:rPr>
          <w:szCs w:val="32"/>
          <w:highlight w:val="none"/>
        </w:rPr>
        <w:t>从底线管控、结构效率和生活品质等方面确定2</w:t>
      </w:r>
      <w:r>
        <w:rPr>
          <w:rFonts w:hint="eastAsia"/>
          <w:szCs w:val="32"/>
          <w:highlight w:val="none"/>
        </w:rPr>
        <w:t>1</w:t>
      </w:r>
      <w:r>
        <w:rPr>
          <w:szCs w:val="32"/>
          <w:highlight w:val="none"/>
        </w:rPr>
        <w:t>项指标</w:t>
      </w:r>
      <w:bookmarkEnd w:id="29"/>
      <w:r>
        <w:rPr>
          <w:szCs w:val="32"/>
          <w:highlight w:val="none"/>
        </w:rPr>
        <w:t>。</w:t>
      </w:r>
    </w:p>
    <w:p w14:paraId="1D2578A8">
      <w:pPr>
        <w:pStyle w:val="31"/>
        <w:spacing w:before="156" w:beforeLines="50" w:after="156" w:afterLines="50" w:line="600" w:lineRule="atLeast"/>
        <w:ind w:firstLine="0" w:firstLineChars="0"/>
        <w:rPr>
          <w:rFonts w:hint="default" w:ascii="Times New Roman" w:hAnsi="Times New Roman" w:eastAsia="黑体" w:cs="Times New Roman"/>
          <w:highlight w:val="none"/>
          <w:lang w:val="en-US" w:eastAsia="zh-CN"/>
        </w:rPr>
      </w:pPr>
      <w:bookmarkStart w:id="31" w:name="_Toc7001"/>
      <w:r>
        <w:rPr>
          <w:rFonts w:ascii="Times New Roman" w:hAnsi="Times New Roman" w:cs="Times New Roman"/>
          <w:highlight w:val="none"/>
        </w:rPr>
        <w:t>第</w:t>
      </w:r>
      <w:r>
        <w:rPr>
          <w:rFonts w:hint="eastAsia" w:ascii="Times New Roman" w:hAnsi="Times New Roman" w:cs="Times New Roman"/>
          <w:highlight w:val="none"/>
        </w:rPr>
        <w:t>三</w:t>
      </w:r>
      <w:r>
        <w:rPr>
          <w:rFonts w:ascii="Times New Roman" w:hAnsi="Times New Roman" w:cs="Times New Roman"/>
          <w:highlight w:val="none"/>
        </w:rPr>
        <w:t>节</w:t>
      </w:r>
      <w:r>
        <w:rPr>
          <w:rFonts w:hint="eastAsia" w:ascii="Times New Roman" w:hAnsi="Times New Roman" w:cs="Times New Roman"/>
          <w:highlight w:val="none"/>
        </w:rPr>
        <w:t xml:space="preserve"> </w:t>
      </w:r>
      <w:bookmarkEnd w:id="30"/>
      <w:r>
        <w:rPr>
          <w:rFonts w:hint="eastAsia" w:cs="Times New Roman"/>
          <w:highlight w:val="none"/>
          <w:lang w:val="en-US" w:eastAsia="zh-CN"/>
        </w:rPr>
        <w:t>空间策略</w:t>
      </w:r>
      <w:bookmarkEnd w:id="31"/>
    </w:p>
    <w:p w14:paraId="49FE9C64">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国土空间开发保护策略</w:t>
      </w:r>
    </w:p>
    <w:p w14:paraId="7B019AB3">
      <w:pPr>
        <w:bidi w:val="0"/>
        <w:ind w:firstLine="1040"/>
        <w:rPr>
          <w:rFonts w:hint="eastAsia" w:ascii="Times New Roman" w:hAnsi="Times New Roman"/>
          <w:szCs w:val="32"/>
          <w:lang w:val="en-US" w:eastAsia="zh-CN"/>
        </w:rPr>
      </w:pPr>
      <w:r>
        <w:rPr>
          <w:rFonts w:hint="eastAsia" w:ascii="Times New Roman" w:hAnsi="Times New Roman"/>
          <w:szCs w:val="32"/>
          <w:lang w:val="en-US" w:eastAsia="zh-CN"/>
        </w:rPr>
        <w:t>1.生态优先发展策略</w:t>
      </w:r>
    </w:p>
    <w:p w14:paraId="7AB69FDB">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保护生态本底：严格落实松花江水系沿岸生态重点地区，维护良好生态本底。</w:t>
      </w:r>
    </w:p>
    <w:p w14:paraId="259EA6C0">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优化生态格局：依托松花江水系、国道</w:t>
      </w:r>
      <w:r>
        <w:rPr>
          <w:rFonts w:hint="eastAsia" w:ascii="仿宋_GB2312" w:hAnsi="仿宋_GB2312" w:cs="仿宋_GB2312"/>
          <w:szCs w:val="32"/>
          <w:highlight w:val="none"/>
          <w:lang w:eastAsia="zh-CN"/>
        </w:rPr>
        <w:t>京抚公路G102</w:t>
      </w:r>
      <w:r>
        <w:rPr>
          <w:rFonts w:hint="eastAsia" w:ascii="仿宋_GB2312" w:hAnsi="仿宋_GB2312" w:cs="仿宋_GB2312"/>
          <w:szCs w:val="32"/>
          <w:highlight w:val="none"/>
        </w:rPr>
        <w:t>等建设具有区域意义的生态廊道、绿心、生态节点等多种模式，完善生态安全格局。</w:t>
      </w:r>
    </w:p>
    <w:p w14:paraId="06CA6248">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构建生态景观系统：建设遵循自然，采取与地形地貌、生态环境相适应的建设模式，构建适合本地区的多样化</w:t>
      </w:r>
      <w:r>
        <w:rPr>
          <w:rFonts w:hint="eastAsia" w:ascii="仿宋_GB2312" w:hAnsi="仿宋_GB2312" w:cs="仿宋_GB2312"/>
          <w:szCs w:val="32"/>
          <w:highlight w:val="none"/>
          <w:lang w:val="en-US" w:eastAsia="zh-CN"/>
        </w:rPr>
        <w:t>农场</w:t>
      </w:r>
      <w:r>
        <w:rPr>
          <w:rFonts w:hint="eastAsia" w:ascii="仿宋_GB2312" w:hAnsi="仿宋_GB2312" w:cs="仿宋_GB2312"/>
          <w:szCs w:val="32"/>
          <w:highlight w:val="none"/>
        </w:rPr>
        <w:t>生态景观系统。</w:t>
      </w:r>
    </w:p>
    <w:p w14:paraId="19B324FF">
      <w:pPr>
        <w:bidi w:val="0"/>
        <w:ind w:firstLine="1040"/>
        <w:rPr>
          <w:rFonts w:hint="eastAsia" w:ascii="Times New Roman" w:hAnsi="Times New Roman"/>
          <w:szCs w:val="32"/>
          <w:lang w:val="en-US" w:eastAsia="zh-CN"/>
        </w:rPr>
      </w:pPr>
      <w:r>
        <w:rPr>
          <w:rFonts w:hint="eastAsia" w:ascii="Times New Roman" w:hAnsi="Times New Roman"/>
          <w:szCs w:val="32"/>
          <w:lang w:val="en-US" w:eastAsia="zh-CN"/>
        </w:rPr>
        <w:t>2.区域协调发展策略</w:t>
      </w:r>
    </w:p>
    <w:p w14:paraId="286BC011">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融入区域：以农场</w:t>
      </w:r>
      <w:r>
        <w:rPr>
          <w:rFonts w:hint="eastAsia" w:ascii="仿宋_GB2312" w:hAnsi="仿宋_GB2312" w:cs="仿宋_GB2312"/>
          <w:szCs w:val="32"/>
          <w:highlight w:val="none"/>
          <w:lang w:val="en-US" w:eastAsia="zh-CN"/>
        </w:rPr>
        <w:t>场部</w:t>
      </w:r>
      <w:r>
        <w:rPr>
          <w:rFonts w:hint="eastAsia" w:ascii="仿宋_GB2312" w:hAnsi="仿宋_GB2312" w:cs="仿宋_GB2312"/>
          <w:szCs w:val="32"/>
          <w:highlight w:val="none"/>
        </w:rPr>
        <w:t>为重点，完善城镇职能，从交通、职能、产业等方面积极融入桦川县区域发展。</w:t>
      </w:r>
    </w:p>
    <w:p w14:paraId="4EA22EF5">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协调周边：强化江川农场与周边乡镇以及桦川县产业、交通以及区域基础设施等的协调。</w:t>
      </w:r>
    </w:p>
    <w:p w14:paraId="5FEA0F28">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协调产业：以水稻、大豆等农作物为核心，打造特色农产品产业链条，协调产业上下游关系，搭建区域产业协作平台。</w:t>
      </w:r>
    </w:p>
    <w:p w14:paraId="3B113DB2">
      <w:pPr>
        <w:bidi w:val="0"/>
        <w:ind w:firstLine="1040"/>
        <w:rPr>
          <w:rFonts w:hint="eastAsia" w:ascii="Times New Roman" w:hAnsi="Times New Roman"/>
          <w:szCs w:val="32"/>
          <w:lang w:val="en-US" w:eastAsia="zh-CN"/>
        </w:rPr>
      </w:pPr>
      <w:r>
        <w:rPr>
          <w:rFonts w:hint="eastAsia" w:ascii="Times New Roman" w:hAnsi="Times New Roman"/>
          <w:szCs w:val="32"/>
          <w:lang w:val="en-US" w:eastAsia="zh-CN"/>
        </w:rPr>
        <w:t>3.新型城镇化发展策略</w:t>
      </w:r>
    </w:p>
    <w:p w14:paraId="62E9B45C">
      <w:pPr>
        <w:pStyle w:val="29"/>
        <w:spacing w:line="600" w:lineRule="atLeast"/>
        <w:ind w:firstLine="640"/>
        <w:rPr>
          <w:rFonts w:hint="eastAsia" w:ascii="仿宋_GB2312" w:hAnsi="仿宋_GB2312" w:cs="仿宋_GB2312"/>
          <w:szCs w:val="32"/>
          <w:highlight w:val="none"/>
        </w:rPr>
      </w:pPr>
      <w:r>
        <w:rPr>
          <w:rFonts w:hint="eastAsia" w:ascii="仿宋_GB2312" w:hAnsi="仿宋_GB2312" w:cs="仿宋_GB2312"/>
          <w:szCs w:val="32"/>
          <w:highlight w:val="none"/>
        </w:rPr>
        <w:t>重点发展农场</w:t>
      </w:r>
      <w:r>
        <w:rPr>
          <w:rFonts w:hint="eastAsia" w:ascii="仿宋_GB2312" w:hAnsi="仿宋_GB2312" w:cs="仿宋_GB2312"/>
          <w:szCs w:val="32"/>
          <w:highlight w:val="none"/>
          <w:lang w:val="en-US" w:eastAsia="zh-CN"/>
        </w:rPr>
        <w:t>场部</w:t>
      </w:r>
      <w:r>
        <w:rPr>
          <w:rFonts w:hint="eastAsia" w:ascii="仿宋_GB2312" w:hAnsi="仿宋_GB2312" w:cs="仿宋_GB2312"/>
          <w:szCs w:val="32"/>
          <w:highlight w:val="none"/>
        </w:rPr>
        <w:t>：将农场</w:t>
      </w:r>
      <w:r>
        <w:rPr>
          <w:rFonts w:hint="eastAsia" w:ascii="仿宋_GB2312" w:hAnsi="仿宋_GB2312" w:cs="仿宋_GB2312"/>
          <w:szCs w:val="32"/>
          <w:highlight w:val="none"/>
          <w:lang w:val="en-US" w:eastAsia="zh-CN"/>
        </w:rPr>
        <w:t>场部</w:t>
      </w:r>
      <w:r>
        <w:rPr>
          <w:rFonts w:hint="eastAsia" w:ascii="仿宋_GB2312" w:hAnsi="仿宋_GB2312" w:cs="仿宋_GB2312"/>
          <w:szCs w:val="32"/>
          <w:highlight w:val="none"/>
        </w:rPr>
        <w:t>作为推动江川农场新型城镇化发展的重点，按照“创新、协调、绿色、开放、共享”的要求，以水稻、大豆为核心，构建农产品产业发展体系，突出地方特色、优化空间结构，完善设施配置，强化产业支撑和创新驱动，建设宜居宜业的小城镇。</w:t>
      </w:r>
    </w:p>
    <w:p w14:paraId="1F45616E">
      <w:pPr>
        <w:pStyle w:val="29"/>
        <w:spacing w:line="600" w:lineRule="atLeast"/>
        <w:ind w:firstLine="640"/>
      </w:pPr>
      <w:r>
        <w:rPr>
          <w:rFonts w:hint="eastAsia" w:ascii="仿宋_GB2312" w:hAnsi="仿宋_GB2312" w:cs="仿宋_GB2312"/>
          <w:szCs w:val="32"/>
          <w:highlight w:val="none"/>
          <w:lang w:val="en-US" w:eastAsia="zh-CN"/>
        </w:rPr>
        <w:t>农场</w:t>
      </w:r>
      <w:r>
        <w:rPr>
          <w:rFonts w:hint="eastAsia" w:ascii="仿宋_GB2312" w:hAnsi="仿宋_GB2312" w:cs="仿宋_GB2312"/>
          <w:szCs w:val="32"/>
          <w:highlight w:val="none"/>
        </w:rPr>
        <w:t>统筹发展：加强农场基础设施建设，提升公共服务能力，增强产业的集聚动能，提高辐射带动能力，统筹协调，促进</w:t>
      </w:r>
      <w:r>
        <w:rPr>
          <w:rFonts w:hint="eastAsia" w:ascii="仿宋_GB2312" w:hAnsi="仿宋_GB2312" w:cs="仿宋_GB2312"/>
          <w:szCs w:val="32"/>
          <w:highlight w:val="none"/>
          <w:lang w:val="en-US" w:eastAsia="zh-CN"/>
        </w:rPr>
        <w:t>农场</w:t>
      </w:r>
      <w:r>
        <w:rPr>
          <w:rFonts w:hint="eastAsia" w:ascii="仿宋_GB2312" w:hAnsi="仿宋_GB2312" w:cs="仿宋_GB2312"/>
          <w:szCs w:val="32"/>
          <w:highlight w:val="none"/>
        </w:rPr>
        <w:t>经济、社会、生态的协调发展以及人口、资源、环境的和谐统一；积极推进城镇基础设施向场域延伸、公共服务设施向场域覆盖，共同形成</w:t>
      </w:r>
      <w:r>
        <w:rPr>
          <w:rFonts w:hint="eastAsia" w:ascii="仿宋_GB2312" w:hAnsi="仿宋_GB2312" w:cs="仿宋_GB2312"/>
          <w:szCs w:val="32"/>
          <w:highlight w:val="none"/>
          <w:lang w:val="en-US" w:eastAsia="zh-CN"/>
        </w:rPr>
        <w:t>农场</w:t>
      </w:r>
      <w:r>
        <w:rPr>
          <w:rFonts w:hint="eastAsia" w:ascii="仿宋_GB2312" w:hAnsi="仿宋_GB2312" w:cs="仿宋_GB2312"/>
          <w:szCs w:val="32"/>
          <w:highlight w:val="none"/>
        </w:rPr>
        <w:t>协调、互动的发展格局。</w:t>
      </w:r>
    </w:p>
    <w:p w14:paraId="67518C34">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bookmarkStart w:id="32" w:name="_Toc19496"/>
    </w:p>
    <w:p w14:paraId="7986746F">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p>
    <w:p w14:paraId="39F5287B">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p>
    <w:p w14:paraId="4F6D53BD">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p>
    <w:p w14:paraId="4D24B8D9">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p>
    <w:p w14:paraId="20942A3A">
      <w:pPr>
        <w:pStyle w:val="29"/>
        <w:spacing w:line="600" w:lineRule="atLeast"/>
        <w:ind w:firstLine="643"/>
        <w:rPr>
          <w:rFonts w:hint="eastAsia" w:ascii="Times New Roman" w:hAnsi="Times New Roman" w:eastAsia="仿宋_GB2312" w:cs="Times New Roman"/>
          <w:kern w:val="2"/>
          <w:sz w:val="32"/>
          <w:szCs w:val="24"/>
          <w:highlight w:val="yellow"/>
          <w:lang w:val="en-US" w:eastAsia="zh-CN" w:bidi="ar-SA"/>
        </w:rPr>
      </w:pPr>
    </w:p>
    <w:bookmarkEnd w:id="32"/>
    <w:p w14:paraId="0342FD42">
      <w:pPr>
        <w:pStyle w:val="2"/>
        <w:spacing w:line="600" w:lineRule="atLeast"/>
        <w:rPr>
          <w:rFonts w:hint="eastAsia" w:ascii="Times New Roman" w:hAnsi="Times New Roman" w:eastAsia="方正小标宋简体" w:cs="Times New Roman"/>
          <w:kern w:val="2"/>
          <w:sz w:val="36"/>
          <w:szCs w:val="36"/>
          <w:lang w:val="en-US" w:eastAsia="zh-CN" w:bidi="ar-SA"/>
        </w:rPr>
      </w:pPr>
      <w:bookmarkStart w:id="33" w:name="_Toc9313"/>
      <w:r>
        <w:rPr>
          <w:rFonts w:hint="eastAsia" w:ascii="Times New Roman" w:hAnsi="Times New Roman" w:eastAsia="方正小标宋简体" w:cs="Times New Roman"/>
          <w:kern w:val="2"/>
          <w:sz w:val="36"/>
          <w:szCs w:val="36"/>
          <w:lang w:val="en-US" w:eastAsia="zh-CN" w:bidi="ar-SA"/>
        </w:rPr>
        <w:t xml:space="preserve">第三章 </w:t>
      </w:r>
      <w:bookmarkStart w:id="34" w:name="_Toc9412"/>
      <w:r>
        <w:rPr>
          <w:rFonts w:hint="eastAsia" w:ascii="Times New Roman" w:hAnsi="Times New Roman" w:eastAsia="方正小标宋简体" w:cs="Times New Roman"/>
          <w:kern w:val="2"/>
          <w:sz w:val="36"/>
          <w:szCs w:val="36"/>
          <w:lang w:val="en-US" w:eastAsia="zh-CN" w:bidi="ar-SA"/>
        </w:rPr>
        <w:t>国土空间格局</w:t>
      </w:r>
      <w:bookmarkEnd w:id="33"/>
    </w:p>
    <w:bookmarkEnd w:id="34"/>
    <w:p w14:paraId="70E645C8">
      <w:pPr>
        <w:pStyle w:val="31"/>
        <w:spacing w:before="156" w:beforeLines="50" w:after="156" w:afterLines="50" w:line="600" w:lineRule="atLeast"/>
        <w:ind w:firstLine="0" w:firstLineChars="0"/>
        <w:rPr>
          <w:rFonts w:hint="eastAsia" w:ascii="Times New Roman" w:hAnsi="Times New Roman" w:eastAsia="黑体" w:cs="Times New Roman"/>
          <w:highlight w:val="none"/>
          <w:lang w:eastAsia="zh-CN"/>
        </w:rPr>
      </w:pPr>
      <w:bookmarkStart w:id="35" w:name="_Toc22687"/>
      <w:bookmarkStart w:id="36" w:name="_Toc15587"/>
      <w:r>
        <w:rPr>
          <w:rFonts w:hint="eastAsia" w:ascii="Times New Roman" w:hAnsi="Times New Roman" w:cs="Times New Roman"/>
          <w:highlight w:val="none"/>
        </w:rPr>
        <w:t>第一节 区域</w:t>
      </w:r>
      <w:bookmarkEnd w:id="35"/>
      <w:r>
        <w:rPr>
          <w:rFonts w:hint="eastAsia" w:cs="Times New Roman"/>
          <w:highlight w:val="none"/>
          <w:lang w:val="en-US" w:eastAsia="zh-CN"/>
        </w:rPr>
        <w:t>协同发展</w:t>
      </w:r>
      <w:bookmarkEnd w:id="36"/>
    </w:p>
    <w:p w14:paraId="2E131C9E">
      <w:pPr>
        <w:ind w:firstLine="640" w:firstLineChars="200"/>
        <w:rPr>
          <w:rFonts w:hint="eastAsia" w:ascii="Times New Roman" w:hAnsi="Times New Roman" w:cs="Times New Roman"/>
          <w:highlight w:val="none"/>
        </w:rPr>
      </w:pPr>
      <w:bookmarkStart w:id="37" w:name="_Hlk175263306"/>
      <w:r>
        <w:rPr>
          <w:rFonts w:hint="eastAsia" w:ascii="Times New Roman" w:hAnsi="Times New Roman" w:cs="Times New Roman"/>
          <w:highlight w:val="none"/>
        </w:rPr>
        <w:t>协助桦川县构建“佳桦一体化”发展。协调桦川县内部联动，做好在产业上的分工协作，主动承接佳木斯市“产业东移”的发展战略。</w:t>
      </w:r>
    </w:p>
    <w:p w14:paraId="7D9675B5">
      <w:pPr>
        <w:pStyle w:val="9"/>
        <w:ind w:firstLine="640" w:firstLineChars="200"/>
        <w:rPr>
          <w:rFonts w:ascii="Times New Roman" w:hAnsi="Times New Roman" w:eastAsia="仿宋_GB2312"/>
          <w:sz w:val="32"/>
          <w:highlight w:val="none"/>
        </w:rPr>
      </w:pPr>
      <w:r>
        <w:rPr>
          <w:rFonts w:hint="eastAsia" w:ascii="Times New Roman" w:hAnsi="Times New Roman" w:eastAsia="仿宋_GB2312" w:cs="Times New Roman"/>
          <w:strike w:val="0"/>
          <w:dstrike w:val="0"/>
          <w:color w:val="auto"/>
          <w:kern w:val="2"/>
          <w:sz w:val="32"/>
          <w:szCs w:val="28"/>
          <w:highlight w:val="none"/>
          <w:u w:val="none"/>
          <w:lang w:val="en-US" w:eastAsia="zh-CN" w:bidi="ar-SA"/>
        </w:rPr>
        <w:t>落实上位规划区域交通网络总体布局。G102穿</w:t>
      </w:r>
      <w:r>
        <w:rPr>
          <w:rFonts w:hint="eastAsia" w:ascii="Times New Roman" w:hAnsi="Times New Roman" w:cs="Times New Roman"/>
          <w:strike w:val="0"/>
          <w:dstrike w:val="0"/>
          <w:color w:val="auto"/>
          <w:kern w:val="2"/>
          <w:sz w:val="32"/>
          <w:szCs w:val="28"/>
          <w:highlight w:val="none"/>
          <w:u w:val="none"/>
          <w:lang w:val="en-US" w:eastAsia="zh-CN" w:bidi="ar-SA"/>
        </w:rPr>
        <w:t>场</w:t>
      </w:r>
      <w:r>
        <w:rPr>
          <w:rFonts w:hint="eastAsia" w:ascii="Times New Roman" w:hAnsi="Times New Roman" w:eastAsia="仿宋_GB2312" w:cs="Times New Roman"/>
          <w:strike w:val="0"/>
          <w:dstrike w:val="0"/>
          <w:color w:val="auto"/>
          <w:kern w:val="2"/>
          <w:sz w:val="32"/>
          <w:szCs w:val="28"/>
          <w:highlight w:val="none"/>
          <w:u w:val="none"/>
          <w:lang w:val="en-US" w:eastAsia="zh-CN" w:bidi="ar-SA"/>
        </w:rPr>
        <w:t>而过，西至佳木斯市，南联双鸭山市。</w:t>
      </w:r>
      <w:r>
        <w:rPr>
          <w:rFonts w:hint="eastAsia" w:ascii="Times New Roman" w:hAnsi="Times New Roman" w:eastAsia="仿宋_GB2312"/>
          <w:sz w:val="32"/>
          <w:highlight w:val="none"/>
          <w:lang w:val="en-US" w:eastAsia="zh-CN"/>
        </w:rPr>
        <w:t>红兴隆分局（桦川境内）农场</w:t>
      </w:r>
      <w:r>
        <w:rPr>
          <w:rFonts w:hint="eastAsia" w:ascii="Times New Roman" w:hAnsi="Times New Roman" w:eastAsia="仿宋_GB2312"/>
          <w:sz w:val="32"/>
          <w:highlight w:val="none"/>
        </w:rPr>
        <w:t>处于佳木斯、</w:t>
      </w:r>
      <w:r>
        <w:rPr>
          <w:rFonts w:hint="eastAsia" w:ascii="Times New Roman" w:hAnsi="Times New Roman" w:eastAsia="仿宋_GB2312"/>
          <w:sz w:val="32"/>
          <w:highlight w:val="none"/>
          <w:lang w:val="en-US" w:eastAsia="zh-CN"/>
        </w:rPr>
        <w:t>富锦、</w:t>
      </w:r>
      <w:r>
        <w:rPr>
          <w:rFonts w:hint="eastAsia" w:ascii="Times New Roman" w:hAnsi="Times New Roman" w:eastAsia="仿宋_GB2312"/>
          <w:sz w:val="32"/>
          <w:highlight w:val="none"/>
        </w:rPr>
        <w:t>双鸭山围合</w:t>
      </w:r>
      <w:r>
        <w:rPr>
          <w:rFonts w:hint="eastAsia" w:ascii="Times New Roman" w:hAnsi="Times New Roman" w:eastAsia="仿宋_GB2312"/>
          <w:sz w:val="32"/>
          <w:highlight w:val="none"/>
          <w:lang w:val="en-US" w:eastAsia="zh-CN"/>
        </w:rPr>
        <w:t>位置</w:t>
      </w:r>
      <w:r>
        <w:rPr>
          <w:rFonts w:hint="eastAsia" w:ascii="Times New Roman" w:hAnsi="Times New Roman" w:eastAsia="仿宋_GB2312"/>
          <w:sz w:val="32"/>
          <w:highlight w:val="none"/>
        </w:rPr>
        <w:t>，协同三市旅游产业，</w:t>
      </w:r>
      <w:r>
        <w:rPr>
          <w:rFonts w:hint="eastAsia" w:ascii="Times New Roman" w:hAnsi="Times New Roman" w:eastAsia="仿宋_GB2312"/>
          <w:sz w:val="32"/>
          <w:highlight w:val="none"/>
          <w:lang w:val="en-US" w:eastAsia="zh-CN"/>
        </w:rPr>
        <w:t>围绕生态农业特色，</w:t>
      </w:r>
      <w:r>
        <w:rPr>
          <w:rFonts w:hint="eastAsia" w:ascii="Times New Roman" w:hAnsi="Times New Roman" w:eastAsia="仿宋_GB2312"/>
          <w:sz w:val="32"/>
          <w:highlight w:val="none"/>
        </w:rPr>
        <w:t>发展“周末游”“近郊游”等旅游产品。</w:t>
      </w:r>
    </w:p>
    <w:p w14:paraId="0E870924">
      <w:pPr>
        <w:keepNext w:val="0"/>
        <w:keepLines w:val="0"/>
        <w:pageBreakBefore w:val="0"/>
        <w:widowControl/>
        <w:suppressLineNumbers w:val="0"/>
        <w:kinsoku/>
        <w:wordWrap/>
        <w:overflowPunct/>
        <w:topLinePunct w:val="0"/>
        <w:autoSpaceDE/>
        <w:autoSpaceDN/>
        <w:bidi w:val="0"/>
        <w:adjustRightInd/>
        <w:snapToGrid/>
        <w:ind w:left="0" w:leftChars="0" w:firstLine="640" w:firstLineChars="200"/>
        <w:jc w:val="left"/>
        <w:textAlignment w:val="auto"/>
        <w:rPr>
          <w:rFonts w:hint="eastAsia" w:ascii="Times New Roman" w:hAnsi="Times New Roman" w:eastAsia="仿宋_GB2312" w:cs="Times New Roman"/>
          <w:strike w:val="0"/>
          <w:dstrike w:val="0"/>
          <w:color w:val="auto"/>
          <w:kern w:val="2"/>
          <w:sz w:val="32"/>
          <w:szCs w:val="28"/>
          <w:highlight w:val="none"/>
          <w:u w:val="none"/>
          <w:lang w:val="en-US" w:eastAsia="zh-CN" w:bidi="ar-SA"/>
        </w:rPr>
      </w:pPr>
      <w:r>
        <w:rPr>
          <w:rFonts w:hint="eastAsia" w:ascii="Times New Roman" w:hAnsi="Times New Roman" w:eastAsia="仿宋_GB2312" w:cs="Times New Roman"/>
          <w:strike w:val="0"/>
          <w:dstrike w:val="0"/>
          <w:color w:val="auto"/>
          <w:kern w:val="2"/>
          <w:sz w:val="32"/>
          <w:szCs w:val="28"/>
          <w:highlight w:val="none"/>
          <w:u w:val="none"/>
          <w:lang w:val="en-US" w:eastAsia="zh-CN" w:bidi="ar-SA"/>
        </w:rPr>
        <w:t>实现区域设施共建共享，完善水利、电力等基础设施管网系统，避免重复建设。合理预留交通、水利、电力等线性基础设施廊道。开展变电站改扩建、供电线路新建工程，增加第二电源，实现双电源供电结构，提高区域电网供电可靠性和供电能力。</w:t>
      </w:r>
      <w:bookmarkEnd w:id="37"/>
      <w:bookmarkStart w:id="38" w:name="_Toc7477"/>
    </w:p>
    <w:bookmarkEnd w:id="38"/>
    <w:p w14:paraId="435C61D7">
      <w:pPr>
        <w:pStyle w:val="31"/>
        <w:spacing w:before="156" w:beforeLines="50" w:after="156" w:afterLines="50" w:line="600" w:lineRule="atLeast"/>
        <w:ind w:firstLine="0" w:firstLineChars="0"/>
        <w:rPr>
          <w:rFonts w:hint="eastAsia" w:ascii="Times New Roman" w:hAnsi="Times New Roman" w:cs="Times New Roman"/>
          <w:highlight w:val="none"/>
        </w:rPr>
      </w:pPr>
      <w:bookmarkStart w:id="39" w:name="_Toc2580"/>
      <w:bookmarkStart w:id="40" w:name="_Toc2493"/>
      <w:r>
        <w:rPr>
          <w:rFonts w:hint="eastAsia" w:ascii="Times New Roman" w:hAnsi="Times New Roman" w:cs="Times New Roman"/>
          <w:highlight w:val="none"/>
        </w:rPr>
        <w:t>第</w:t>
      </w:r>
      <w:r>
        <w:rPr>
          <w:rFonts w:hint="eastAsia" w:cs="Times New Roman"/>
          <w:highlight w:val="none"/>
          <w:lang w:val="en-US" w:eastAsia="zh-CN"/>
        </w:rPr>
        <w:t>二</w:t>
      </w:r>
      <w:r>
        <w:rPr>
          <w:rFonts w:hint="eastAsia" w:ascii="Times New Roman" w:hAnsi="Times New Roman" w:cs="Times New Roman"/>
          <w:highlight w:val="none"/>
        </w:rPr>
        <w:t>节 落实主体功能区</w:t>
      </w:r>
      <w:bookmarkEnd w:id="39"/>
      <w:bookmarkEnd w:id="40"/>
    </w:p>
    <w:p w14:paraId="6EA313DD">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落实省、市、县主体功能区定位</w:t>
      </w:r>
    </w:p>
    <w:p w14:paraId="5B0E3107">
      <w:pPr>
        <w:pStyle w:val="57"/>
        <w:ind w:firstLine="640"/>
        <w:rPr>
          <w:rFonts w:ascii="宋体" w:hAnsi="宋体" w:eastAsia="宋体" w:cs="宋体"/>
          <w:szCs w:val="28"/>
          <w:highlight w:val="none"/>
        </w:rPr>
      </w:pPr>
      <w:r>
        <w:rPr>
          <w:rFonts w:hint="eastAsia" w:ascii="仿宋_GB2312" w:hAnsi="仿宋_GB2312" w:cs="仿宋_GB2312"/>
          <w:szCs w:val="28"/>
          <w:highlight w:val="none"/>
        </w:rPr>
        <w:t>明确</w:t>
      </w:r>
      <w:r>
        <w:rPr>
          <w:rFonts w:hint="eastAsia" w:ascii="仿宋_GB2312" w:hAnsi="仿宋_GB2312" w:cs="仿宋_GB2312"/>
          <w:szCs w:val="28"/>
          <w:highlight w:val="none"/>
          <w:lang w:val="en-US" w:eastAsia="zh-CN"/>
        </w:rPr>
        <w:t>红兴隆分局（桦川境内）农场</w:t>
      </w:r>
      <w:r>
        <w:rPr>
          <w:rFonts w:hint="eastAsia" w:ascii="仿宋_GB2312" w:hAnsi="仿宋_GB2312" w:cs="仿宋_GB2312"/>
          <w:szCs w:val="28"/>
          <w:highlight w:val="none"/>
        </w:rPr>
        <w:t>主体功能定位，落实黑龙江省、佳木斯市、桦川县主体功能区战略要求，</w:t>
      </w:r>
      <w:r>
        <w:rPr>
          <w:rFonts w:hint="eastAsia" w:ascii="仿宋_GB2312" w:hAnsi="仿宋_GB2312" w:cs="仿宋_GB2312"/>
          <w:szCs w:val="28"/>
          <w:highlight w:val="none"/>
          <w:u w:val="single"/>
        </w:rPr>
        <w:t>确定</w:t>
      </w:r>
      <w:r>
        <w:rPr>
          <w:rFonts w:hint="eastAsia" w:ascii="仿宋_GB2312" w:hAnsi="仿宋_GB2312" w:cs="仿宋_GB2312"/>
          <w:szCs w:val="28"/>
          <w:highlight w:val="none"/>
          <w:lang w:val="en-US" w:eastAsia="zh-CN"/>
        </w:rPr>
        <w:t>红兴隆分局（桦川境内）</w:t>
      </w:r>
      <w:r>
        <w:rPr>
          <w:rFonts w:hint="eastAsia" w:ascii="仿宋_GB2312" w:hAnsi="仿宋_GB2312" w:cs="仿宋_GB2312"/>
          <w:szCs w:val="28"/>
          <w:highlight w:val="none"/>
          <w:u w:val="single"/>
          <w:lang w:val="en-US" w:eastAsia="zh-CN"/>
        </w:rPr>
        <w:t>江川农场</w:t>
      </w:r>
      <w:r>
        <w:rPr>
          <w:rFonts w:hint="eastAsia" w:ascii="仿宋_GB2312" w:hAnsi="仿宋_GB2312" w:cs="仿宋_GB2312"/>
          <w:szCs w:val="28"/>
          <w:highlight w:val="none"/>
          <w:u w:val="single"/>
        </w:rPr>
        <w:t>为农产品主产区</w:t>
      </w:r>
      <w:r>
        <w:rPr>
          <w:rFonts w:hint="eastAsia" w:ascii="仿宋_GB2312" w:hAnsi="仿宋_GB2312" w:cs="仿宋_GB2312"/>
          <w:szCs w:val="28"/>
          <w:highlight w:val="none"/>
        </w:rPr>
        <w:t>。</w:t>
      </w:r>
    </w:p>
    <w:p w14:paraId="220BB457">
      <w:pPr>
        <w:pStyle w:val="31"/>
        <w:spacing w:before="156" w:beforeLines="50" w:after="156" w:afterLines="50" w:line="600" w:lineRule="atLeast"/>
        <w:ind w:firstLine="0" w:firstLineChars="0"/>
        <w:rPr>
          <w:rFonts w:hint="eastAsia" w:ascii="Times New Roman" w:hAnsi="Times New Roman" w:cs="Times New Roman"/>
          <w:highlight w:val="none"/>
          <w:lang w:val="en-US" w:eastAsia="zh-CN"/>
        </w:rPr>
      </w:pPr>
      <w:bookmarkStart w:id="41" w:name="_Toc7742"/>
      <w:bookmarkStart w:id="42" w:name="_Toc3197"/>
      <w:r>
        <w:rPr>
          <w:rFonts w:hint="eastAsia" w:ascii="Times New Roman" w:hAnsi="Times New Roman" w:cs="Times New Roman"/>
          <w:highlight w:val="none"/>
        </w:rPr>
        <w:t>第</w:t>
      </w:r>
      <w:r>
        <w:rPr>
          <w:rFonts w:hint="eastAsia" w:cs="Times New Roman"/>
          <w:highlight w:val="none"/>
          <w:lang w:val="en-US" w:eastAsia="zh-CN"/>
        </w:rPr>
        <w:t>三</w:t>
      </w:r>
      <w:r>
        <w:rPr>
          <w:rFonts w:hint="eastAsia" w:ascii="Times New Roman" w:hAnsi="Times New Roman" w:cs="Times New Roman"/>
          <w:highlight w:val="none"/>
        </w:rPr>
        <w:t>节 国土空间</w:t>
      </w:r>
      <w:r>
        <w:rPr>
          <w:rFonts w:hint="eastAsia" w:cs="Times New Roman"/>
          <w:highlight w:val="none"/>
          <w:lang w:val="en-US" w:eastAsia="zh-CN"/>
        </w:rPr>
        <w:t>总体</w:t>
      </w:r>
      <w:r>
        <w:rPr>
          <w:rFonts w:hint="eastAsia" w:ascii="Times New Roman" w:hAnsi="Times New Roman" w:cs="Times New Roman"/>
          <w:highlight w:val="none"/>
        </w:rPr>
        <w:t>格局</w:t>
      </w:r>
      <w:bookmarkEnd w:id="41"/>
      <w:bookmarkEnd w:id="42"/>
    </w:p>
    <w:p w14:paraId="6F718CD9">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国土空间总体格局</w:t>
      </w:r>
    </w:p>
    <w:p w14:paraId="7235447C">
      <w:pPr>
        <w:pStyle w:val="29"/>
        <w:spacing w:line="600" w:lineRule="atLeast"/>
        <w:ind w:firstLine="640"/>
        <w:rPr>
          <w:rFonts w:hint="eastAsia" w:ascii="仿宋_GB2312" w:hAnsi="仿宋_GB2312" w:eastAsia="仿宋_GB2312" w:cs="仿宋_GB2312"/>
          <w:kern w:val="2"/>
          <w:sz w:val="32"/>
          <w:szCs w:val="28"/>
          <w:highlight w:val="none"/>
          <w:lang w:val="en-US" w:eastAsia="zh-CN" w:bidi="ar-SA"/>
        </w:rPr>
      </w:pPr>
      <w:r>
        <w:rPr>
          <w:rFonts w:hint="eastAsia" w:ascii="仿宋_GB2312" w:hAnsi="仿宋_GB2312" w:eastAsia="仿宋_GB2312" w:cs="仿宋_GB2312"/>
          <w:kern w:val="2"/>
          <w:sz w:val="32"/>
          <w:szCs w:val="28"/>
          <w:highlight w:val="none"/>
          <w:lang w:val="en-US" w:eastAsia="zh-CN" w:bidi="ar-SA"/>
        </w:rPr>
        <w:t>以场域内地形地貌基本特征为基础，以国土空间开发保护战略与目标为导向，结合主体功能区定位，统筹山水林田湖草沙等保护要素和城乡、产业、交通等发展类要素布局，依托生态空间、农业空间、城镇空间三类空间本底，构建“一核、一轴、</w:t>
      </w:r>
      <w:r>
        <w:rPr>
          <w:rFonts w:hint="eastAsia" w:ascii="仿宋_GB2312" w:hAnsi="仿宋_GB2312" w:cs="仿宋_GB2312"/>
          <w:kern w:val="2"/>
          <w:sz w:val="32"/>
          <w:szCs w:val="28"/>
          <w:highlight w:val="none"/>
          <w:lang w:val="en-US" w:eastAsia="zh-CN" w:bidi="ar-SA"/>
        </w:rPr>
        <w:t>三</w:t>
      </w:r>
      <w:r>
        <w:rPr>
          <w:rFonts w:hint="eastAsia" w:ascii="仿宋_GB2312" w:hAnsi="仿宋_GB2312" w:eastAsia="仿宋_GB2312" w:cs="仿宋_GB2312"/>
          <w:kern w:val="2"/>
          <w:sz w:val="32"/>
          <w:szCs w:val="28"/>
          <w:highlight w:val="none"/>
          <w:lang w:val="en-US" w:eastAsia="zh-CN" w:bidi="ar-SA"/>
        </w:rPr>
        <w:t>区、多点”的场域国土空间开发保护总体格局。</w:t>
      </w:r>
    </w:p>
    <w:p w14:paraId="0091395E">
      <w:pPr>
        <w:pStyle w:val="29"/>
        <w:spacing w:line="600" w:lineRule="atLeast"/>
        <w:ind w:firstLine="640"/>
        <w:rPr>
          <w:rFonts w:hint="eastAsia" w:ascii="仿宋_GB2312" w:hAnsi="仿宋_GB2312" w:eastAsia="仿宋_GB2312" w:cs="仿宋_GB2312"/>
          <w:kern w:val="2"/>
          <w:sz w:val="32"/>
          <w:szCs w:val="28"/>
          <w:highlight w:val="none"/>
          <w:lang w:val="en-US" w:eastAsia="zh-CN" w:bidi="ar-SA"/>
        </w:rPr>
      </w:pPr>
      <w:r>
        <w:rPr>
          <w:rFonts w:hint="eastAsia" w:ascii="仿宋_GB2312" w:hAnsi="仿宋_GB2312" w:eastAsia="仿宋_GB2312" w:cs="仿宋_GB2312"/>
          <w:kern w:val="2"/>
          <w:sz w:val="32"/>
          <w:szCs w:val="28"/>
          <w:highlight w:val="none"/>
          <w:lang w:val="en-US" w:eastAsia="zh-CN" w:bidi="ar-SA"/>
        </w:rPr>
        <w:t>一核：指江川农场场部，是全场政治、经济、文化、商贸、交通及物流的发展核心。</w:t>
      </w:r>
    </w:p>
    <w:p w14:paraId="1D8DA5E9">
      <w:pPr>
        <w:pStyle w:val="29"/>
        <w:spacing w:line="600" w:lineRule="atLeast"/>
        <w:ind w:firstLine="640"/>
        <w:rPr>
          <w:rFonts w:hint="eastAsia"/>
          <w:szCs w:val="32"/>
          <w:lang w:val="en-US" w:eastAsia="zh-CN"/>
        </w:rPr>
      </w:pPr>
      <w:r>
        <w:rPr>
          <w:rFonts w:hint="eastAsia"/>
          <w:szCs w:val="32"/>
          <w:lang w:val="en-US" w:eastAsia="zh-CN"/>
        </w:rPr>
        <w:t>一轴：以贯穿红兴隆分局（桦川境内）的国道京抚公路G102为农场公路主要发展轴。</w:t>
      </w:r>
    </w:p>
    <w:p w14:paraId="6D11B437">
      <w:pPr>
        <w:pStyle w:val="29"/>
        <w:spacing w:line="600" w:lineRule="atLeast"/>
        <w:ind w:firstLine="640"/>
        <w:rPr>
          <w:rFonts w:hint="eastAsia"/>
          <w:szCs w:val="32"/>
          <w:lang w:val="en-US" w:eastAsia="zh-CN"/>
        </w:rPr>
      </w:pPr>
      <w:r>
        <w:rPr>
          <w:rFonts w:hint="eastAsia"/>
          <w:szCs w:val="32"/>
          <w:lang w:val="en-US" w:eastAsia="zh-CN"/>
        </w:rPr>
        <w:t>四区：指围绕农场场部形成的综合服务发展区、以综合种养为主的综合农业发展区，以现代种植业为主导产业的现代农业发展区。</w:t>
      </w:r>
    </w:p>
    <w:p w14:paraId="22D08A87">
      <w:pPr>
        <w:pStyle w:val="29"/>
        <w:spacing w:line="600" w:lineRule="atLeast"/>
        <w:ind w:firstLine="640"/>
        <w:rPr>
          <w:rFonts w:hint="eastAsia"/>
          <w:szCs w:val="32"/>
          <w:lang w:val="en-US" w:eastAsia="zh-CN"/>
        </w:rPr>
      </w:pPr>
      <w:r>
        <w:rPr>
          <w:rFonts w:hint="eastAsia"/>
          <w:szCs w:val="32"/>
          <w:lang w:val="en-US" w:eastAsia="zh-CN"/>
        </w:rPr>
        <w:t>多点：以江川农场、二九一农场内的管理区和宝山农场内的作业站为主的多个次要发展节点。</w:t>
      </w:r>
    </w:p>
    <w:p w14:paraId="6C9F6AD3">
      <w:pPr>
        <w:pStyle w:val="31"/>
        <w:spacing w:before="156" w:beforeLines="50" w:after="156" w:afterLines="50" w:line="600" w:lineRule="atLeast"/>
        <w:ind w:firstLine="0" w:firstLineChars="0"/>
        <w:rPr>
          <w:rFonts w:hint="eastAsia" w:ascii="Times New Roman" w:hAnsi="Times New Roman" w:cs="Times New Roman"/>
          <w:highlight w:val="none"/>
        </w:rPr>
      </w:pPr>
      <w:bookmarkStart w:id="43" w:name="_Toc29019"/>
      <w:bookmarkStart w:id="44" w:name="_Toc768"/>
      <w:r>
        <w:rPr>
          <w:rFonts w:hint="eastAsia" w:ascii="Times New Roman" w:hAnsi="Times New Roman" w:cs="Times New Roman"/>
          <w:highlight w:val="none"/>
        </w:rPr>
        <w:t>第</w:t>
      </w:r>
      <w:r>
        <w:rPr>
          <w:rFonts w:hint="eastAsia" w:cs="Times New Roman"/>
          <w:highlight w:val="none"/>
          <w:lang w:val="en-US" w:eastAsia="zh-CN"/>
        </w:rPr>
        <w:t>四</w:t>
      </w:r>
      <w:r>
        <w:rPr>
          <w:rFonts w:hint="eastAsia" w:ascii="Times New Roman" w:hAnsi="Times New Roman" w:cs="Times New Roman"/>
          <w:highlight w:val="none"/>
        </w:rPr>
        <w:t>节 规划分区</w:t>
      </w:r>
      <w:bookmarkEnd w:id="43"/>
      <w:bookmarkEnd w:id="44"/>
    </w:p>
    <w:p w14:paraId="70FFB400">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eastAsia" w:ascii="Times New Roman" w:hAnsi="Times New Roman" w:cs="Times New Roman"/>
          <w:b/>
          <w:bCs w:val="0"/>
          <w:highlight w:val="none"/>
          <w:lang w:val="en-US" w:eastAsia="zh-CN"/>
        </w:rPr>
        <w:t>国土空间规划分区</w:t>
      </w:r>
    </w:p>
    <w:p w14:paraId="4BD68F08">
      <w:pPr>
        <w:bidi w:val="0"/>
      </w:pPr>
      <w:r>
        <w:rPr>
          <w:rFonts w:hint="default" w:ascii="Times New Roman" w:hAnsi="Times New Roman"/>
          <w:lang w:val="en-US" w:eastAsia="zh-CN"/>
        </w:rPr>
        <w:t>统筹建设空间和山水</w:t>
      </w:r>
      <w:r>
        <w:rPr>
          <w:rFonts w:hint="eastAsia"/>
          <w:highlight w:val="none"/>
          <w:lang w:val="en-US" w:eastAsia="zh-CN"/>
        </w:rPr>
        <w:t>林田湖草沙</w:t>
      </w:r>
      <w:r>
        <w:rPr>
          <w:rFonts w:hint="default" w:ascii="Times New Roman" w:hAnsi="Times New Roman"/>
          <w:lang w:val="en-US" w:eastAsia="zh-CN"/>
        </w:rPr>
        <w:t>建设空间，遵循用途主导功能的原则，合理划分覆盖全域全类型的国土空间规划分区</w:t>
      </w:r>
      <w:r>
        <w:rPr>
          <w:rFonts w:hint="default"/>
          <w:lang w:val="en-US" w:eastAsia="zh-CN"/>
        </w:rPr>
        <w:t>，调整优化国土空间保护和开发利用格局，实现全域全类型国土空间规划管制，严格落实国土空间规划管制制度。严格落实国土空间规划管制制度。镇域共划定农田保护区、生态保护区、生态控制区、城镇发展区、乡村发展区、矿产能源发展区6类一级规划分区。</w:t>
      </w:r>
    </w:p>
    <w:tbl>
      <w:tblPr>
        <w:tblStyle w:val="1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6811"/>
      </w:tblGrid>
      <w:tr w14:paraId="59D1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5000" w:type="pct"/>
            <w:gridSpan w:val="2"/>
            <w:tcBorders>
              <w:tl2br w:val="nil"/>
              <w:tr2bl w:val="nil"/>
            </w:tcBorders>
            <w:shd w:val="clear" w:color="auto" w:fill="auto"/>
            <w:vAlign w:val="center"/>
          </w:tcPr>
          <w:p w14:paraId="172F9740">
            <w:pPr>
              <w:bidi w:val="0"/>
              <w:jc w:val="center"/>
              <w:rPr>
                <w:rFonts w:hint="default" w:ascii="Times New Roman" w:hAnsi="Times New Roman" w:eastAsia="仿宋_GB2312" w:cs="Times New Roman"/>
                <w:kern w:val="0"/>
                <w:szCs w:val="32"/>
                <w:highlight w:val="none"/>
                <w:lang w:bidi="ar"/>
              </w:rPr>
            </w:pPr>
            <w:r>
              <w:rPr>
                <w:rFonts w:hint="default" w:ascii="Times New Roman" w:hAnsi="Times New Roman" w:eastAsia="黑体" w:cs="Times New Roman"/>
                <w:sz w:val="30"/>
                <w:szCs w:val="30"/>
                <w:highlight w:val="none"/>
              </w:rPr>
              <w:t>专栏</w:t>
            </w:r>
            <w:r>
              <w:rPr>
                <w:rFonts w:hint="eastAsia" w:ascii="Times New Roman" w:hAnsi="Times New Roman" w:eastAsia="黑体" w:cs="Times New Roman"/>
                <w:sz w:val="30"/>
                <w:szCs w:val="30"/>
                <w:highlight w:val="none"/>
                <w:lang w:val="en-US" w:eastAsia="zh-CN"/>
              </w:rPr>
              <w:t>1</w:t>
            </w:r>
            <w:r>
              <w:rPr>
                <w:rFonts w:hint="default" w:ascii="Times New Roman" w:hAnsi="Times New Roman" w:eastAsia="黑体" w:cs="Times New Roman"/>
                <w:sz w:val="30"/>
                <w:szCs w:val="30"/>
                <w:highlight w:val="none"/>
              </w:rPr>
              <w:t>：规划用途分区及管控规则</w:t>
            </w:r>
          </w:p>
        </w:tc>
      </w:tr>
      <w:tr w14:paraId="35A5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004" w:type="pct"/>
            <w:tcBorders>
              <w:tl2br w:val="nil"/>
              <w:tr2bl w:val="nil"/>
            </w:tcBorders>
            <w:shd w:val="clear" w:color="auto" w:fill="auto"/>
            <w:vAlign w:val="center"/>
          </w:tcPr>
          <w:p w14:paraId="09F5BC82">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类型</w:t>
            </w:r>
          </w:p>
        </w:tc>
        <w:tc>
          <w:tcPr>
            <w:tcW w:w="3995" w:type="pct"/>
            <w:tcBorders>
              <w:tl2br w:val="nil"/>
              <w:tr2bl w:val="nil"/>
            </w:tcBorders>
            <w:shd w:val="clear" w:color="auto" w:fill="auto"/>
            <w:vAlign w:val="center"/>
          </w:tcPr>
          <w:p w14:paraId="52FC7597">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管控要求</w:t>
            </w:r>
          </w:p>
        </w:tc>
      </w:tr>
      <w:tr w14:paraId="3D75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6785F339">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生态保护区</w:t>
            </w:r>
          </w:p>
        </w:tc>
        <w:tc>
          <w:tcPr>
            <w:tcW w:w="3995" w:type="pct"/>
            <w:tcBorders>
              <w:tl2br w:val="nil"/>
              <w:tr2bl w:val="nil"/>
            </w:tcBorders>
            <w:shd w:val="clear" w:color="auto" w:fill="auto"/>
            <w:vAlign w:val="center"/>
          </w:tcPr>
          <w:p w14:paraId="37FC7F55">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eastAsia" w:eastAsia="仿宋_GB2312" w:cs="Times New Roman"/>
                <w:color w:val="auto"/>
                <w:sz w:val="24"/>
                <w:szCs w:val="24"/>
                <w:highlight w:val="none"/>
                <w:lang w:val="en-US" w:eastAsia="zh-CN"/>
              </w:rPr>
              <w:t>应以严格保护、禁止开发区域进行管理，实行最严格的准入制度，严禁任何不符合主体功能定位的开发活动，任何单位和个人不得擅自占用或改变原国土用途。区内原有的林场、工矿等用途区域应严格控制建设行为扩展，并应根据实际发展需要逐步引导退出。</w:t>
            </w:r>
          </w:p>
        </w:tc>
      </w:tr>
      <w:tr w14:paraId="4F72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7A3E586A">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生态控制区</w:t>
            </w:r>
          </w:p>
        </w:tc>
        <w:tc>
          <w:tcPr>
            <w:tcW w:w="3995" w:type="pct"/>
            <w:tcBorders>
              <w:tl2br w:val="nil"/>
              <w:tr2bl w:val="nil"/>
            </w:tcBorders>
            <w:shd w:val="clear" w:color="auto" w:fill="auto"/>
            <w:vAlign w:val="center"/>
          </w:tcPr>
          <w:p w14:paraId="39888E23">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本区域采取“名录管理+约束指标+分区准入”相结合的方式细化管理规定，以保护为主，按照限制开发的要求进行管理，允许在不降低生态功能、不破坏自然生态系统、符合准入条件的前提下适度开发利用。</w:t>
            </w:r>
          </w:p>
        </w:tc>
      </w:tr>
      <w:tr w14:paraId="308BB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2A0B1542">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农田保护区</w:t>
            </w:r>
          </w:p>
        </w:tc>
        <w:tc>
          <w:tcPr>
            <w:tcW w:w="3995" w:type="pct"/>
            <w:tcBorders>
              <w:tl2br w:val="nil"/>
              <w:tr2bl w:val="nil"/>
            </w:tcBorders>
            <w:shd w:val="clear" w:color="auto" w:fill="auto"/>
            <w:vAlign w:val="center"/>
          </w:tcPr>
          <w:p w14:paraId="5F8A8E75">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本区域按照永久基本农田保护的相关法律法规进行管理，区内从严管控非农建设占用永久基本农田，鼓励开展高标准农田建设和土地整治，提高永久基本农田质量。</w:t>
            </w:r>
          </w:p>
        </w:tc>
      </w:tr>
      <w:tr w14:paraId="23F2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07DB50CE">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城镇发展区</w:t>
            </w:r>
          </w:p>
        </w:tc>
        <w:tc>
          <w:tcPr>
            <w:tcW w:w="3995" w:type="pct"/>
            <w:tcBorders>
              <w:tl2br w:val="nil"/>
              <w:tr2bl w:val="nil"/>
            </w:tcBorders>
            <w:shd w:val="clear" w:color="auto" w:fill="auto"/>
            <w:vAlign w:val="center"/>
          </w:tcPr>
          <w:p w14:paraId="43720496">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区内实行“详细规划+规划许可”的管理方式。</w:t>
            </w:r>
          </w:p>
        </w:tc>
      </w:tr>
      <w:tr w14:paraId="55B04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59CECCF8">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乡村发展区</w:t>
            </w:r>
          </w:p>
        </w:tc>
        <w:tc>
          <w:tcPr>
            <w:tcW w:w="3995" w:type="pct"/>
            <w:tcBorders>
              <w:tl2br w:val="nil"/>
              <w:tr2bl w:val="nil"/>
            </w:tcBorders>
            <w:shd w:val="clear" w:color="auto" w:fill="auto"/>
            <w:vAlign w:val="center"/>
          </w:tcPr>
          <w:p w14:paraId="55D961C4">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以促进农业和乡村特色产业发展、改善农民生产生活条件为导向，统筹协调村庄建设、农田和生态保护。保障农业和乡村产业发展及其配套设施建设，以及为改善农村人居环境而进行的村庄建设与整治。严禁集中连片的城镇开发建设。</w:t>
            </w:r>
          </w:p>
          <w:p w14:paraId="725EB864">
            <w:pPr>
              <w:numPr>
                <w:ilvl w:val="0"/>
                <w:numId w:val="0"/>
              </w:numPr>
              <w:autoSpaceDE w:val="0"/>
              <w:autoSpaceDN w:val="0"/>
              <w:spacing w:line="240" w:lineRule="auto"/>
              <w:ind w:leftChars="0"/>
              <w:rPr>
                <w:rFonts w:hint="default"/>
                <w:lang w:val="en-US" w:eastAsia="zh-CN"/>
              </w:rPr>
            </w:pPr>
            <w:r>
              <w:rPr>
                <w:rFonts w:hint="eastAsia" w:ascii="Times New Roman" w:hAnsi="Times New Roman" w:cs="Times New Roman"/>
                <w:sz w:val="24"/>
                <w:highlight w:val="none"/>
                <w:lang w:val="en-US" w:eastAsia="zh-CN"/>
              </w:rPr>
              <w:t>其中，林业发展区鼓励依据国土空间规划及其他相关规划，实施生态修复工程，提升生态环境质量。从严控制商业性经营设施建设用地准入，严禁未经审批毁林开垦和使用林地等涉林违法违规行为，严格限制采石取土等用地准入，限制勘查、开采矿藏和其他项目用地准入。</w:t>
            </w:r>
          </w:p>
        </w:tc>
      </w:tr>
      <w:tr w14:paraId="2CB19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04" w:type="pct"/>
            <w:tcBorders>
              <w:tl2br w:val="nil"/>
              <w:tr2bl w:val="nil"/>
            </w:tcBorders>
            <w:shd w:val="clear" w:color="auto" w:fill="auto"/>
            <w:vAlign w:val="center"/>
          </w:tcPr>
          <w:p w14:paraId="4A6CEF72">
            <w:pPr>
              <w:numPr>
                <w:ilvl w:val="0"/>
                <w:numId w:val="0"/>
              </w:numPr>
              <w:autoSpaceDE w:val="0"/>
              <w:autoSpaceDN w:val="0"/>
              <w:spacing w:line="240" w:lineRule="auto"/>
              <w:ind w:leftChars="0"/>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矿产能源发展区</w:t>
            </w:r>
          </w:p>
        </w:tc>
        <w:tc>
          <w:tcPr>
            <w:tcW w:w="3995" w:type="pct"/>
            <w:tcBorders>
              <w:tl2br w:val="nil"/>
              <w:tr2bl w:val="nil"/>
            </w:tcBorders>
            <w:shd w:val="clear" w:color="auto" w:fill="auto"/>
            <w:vAlign w:val="center"/>
          </w:tcPr>
          <w:p w14:paraId="3E3AE019">
            <w:pPr>
              <w:numPr>
                <w:ilvl w:val="0"/>
                <w:numId w:val="0"/>
              </w:numPr>
              <w:autoSpaceDE w:val="0"/>
              <w:autoSpaceDN w:val="0"/>
              <w:spacing w:line="240" w:lineRule="auto"/>
              <w:ind w:leftChars="0"/>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对矿产资源开发进行合理布局，严格矿产资源开采规划准入管理，严禁在水源保护区、自然保护地等环境敏感区、重要生态功能保护区内开发利用矿产资源。建立和完善绿色矿业发展机制，最大限度地减少矿产能源开发对生态环境的影响，现有矿区在开采期内按绿色矿山标准实行开采，开采期结束后应由矿山企业采取生态修复手段恢复矿区地质环境。</w:t>
            </w:r>
          </w:p>
        </w:tc>
      </w:tr>
    </w:tbl>
    <w:p w14:paraId="20BC6F3B">
      <w:pPr>
        <w:pStyle w:val="31"/>
        <w:spacing w:before="156" w:beforeLines="50" w:after="156" w:afterLines="50" w:line="600" w:lineRule="atLeast"/>
        <w:ind w:firstLine="0" w:firstLineChars="0"/>
        <w:rPr>
          <w:rFonts w:hint="eastAsia" w:ascii="Times New Roman" w:hAnsi="Times New Roman" w:cs="Times New Roman"/>
          <w:highlight w:val="none"/>
        </w:rPr>
      </w:pPr>
      <w:bookmarkStart w:id="45" w:name="_Toc10597"/>
      <w:bookmarkStart w:id="46" w:name="_Toc13085"/>
      <w:r>
        <w:rPr>
          <w:rFonts w:hint="eastAsia" w:ascii="Times New Roman" w:hAnsi="Times New Roman" w:cs="Times New Roman"/>
          <w:highlight w:val="none"/>
        </w:rPr>
        <w:t>第</w:t>
      </w:r>
      <w:r>
        <w:rPr>
          <w:rFonts w:hint="eastAsia" w:cs="Times New Roman"/>
          <w:highlight w:val="none"/>
          <w:lang w:val="en-US" w:eastAsia="zh-CN"/>
        </w:rPr>
        <w:t>五</w:t>
      </w:r>
      <w:r>
        <w:rPr>
          <w:rFonts w:hint="eastAsia" w:ascii="Times New Roman" w:hAnsi="Times New Roman" w:cs="Times New Roman"/>
          <w:highlight w:val="none"/>
        </w:rPr>
        <w:t>节 国土空间用地功能结构调整</w:t>
      </w:r>
      <w:bookmarkEnd w:id="45"/>
      <w:bookmarkEnd w:id="46"/>
    </w:p>
    <w:p w14:paraId="3CCC609D">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农用地结构调整</w:t>
      </w:r>
    </w:p>
    <w:p w14:paraId="07A34B85">
      <w:pPr>
        <w:pStyle w:val="29"/>
        <w:bidi w:val="0"/>
        <w:rPr>
          <w:rFonts w:hint="default"/>
          <w:lang w:val="en-US" w:eastAsia="zh-CN"/>
        </w:rPr>
      </w:pPr>
      <w:r>
        <w:rPr>
          <w:rFonts w:hint="default"/>
          <w:lang w:val="en-US" w:eastAsia="zh-CN"/>
        </w:rPr>
        <w:t>严守耕地红线，推行耕地生态</w:t>
      </w:r>
      <w:r>
        <w:rPr>
          <w:rFonts w:hint="eastAsia"/>
          <w:lang w:val="en-US" w:eastAsia="zh-CN"/>
        </w:rPr>
        <w:t>化</w:t>
      </w:r>
      <w:r>
        <w:rPr>
          <w:rFonts w:hint="default"/>
          <w:lang w:val="en-US" w:eastAsia="zh-CN"/>
        </w:rPr>
        <w:t>，确保农业空间稳定性。优先保障粮食安全，在黑土侵蚀、农业不适宜耕作、湿地退化地区、水土流失地区、不稳定耕地区域实行退耕还林还草还湿，实现农业可持续发展。</w:t>
      </w:r>
    </w:p>
    <w:p w14:paraId="1E94D0AF">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建设用地结构调整</w:t>
      </w:r>
    </w:p>
    <w:p w14:paraId="456745AF">
      <w:pPr>
        <w:bidi w:val="0"/>
        <w:rPr>
          <w:rFonts w:hint="default"/>
          <w:lang w:val="en-US" w:eastAsia="zh-CN"/>
        </w:rPr>
      </w:pPr>
      <w:r>
        <w:rPr>
          <w:rFonts w:hint="default" w:ascii="Times New Roman" w:hAnsi="Times New Roman" w:cs="Times New Roman"/>
          <w:lang w:val="en-US" w:eastAsia="zh-CN"/>
        </w:rPr>
        <w:t>严控建设用地总规模，提高土地集约节约度，高效利用建设用地。按照</w:t>
      </w:r>
      <w:r>
        <w:rPr>
          <w:rFonts w:hint="eastAsia" w:ascii="Times New Roman" w:hAnsi="Times New Roman" w:cs="Times New Roman"/>
          <w:lang w:val="en-US" w:eastAsia="zh-CN"/>
        </w:rPr>
        <w:t>“</w:t>
      </w:r>
      <w:r>
        <w:rPr>
          <w:rFonts w:hint="default" w:ascii="Times New Roman" w:hAnsi="Times New Roman" w:cs="Times New Roman"/>
          <w:lang w:val="en-US" w:eastAsia="zh-CN"/>
        </w:rPr>
        <w:t>框定总量、限定容量、盘活存量、做优增量，提高质量</w:t>
      </w:r>
      <w:r>
        <w:rPr>
          <w:rFonts w:hint="eastAsia" w:ascii="Times New Roman" w:hAnsi="Times New Roman" w:cs="Times New Roman"/>
          <w:lang w:val="en-US" w:eastAsia="zh-CN"/>
        </w:rPr>
        <w:t>”</w:t>
      </w:r>
      <w:r>
        <w:rPr>
          <w:rFonts w:hint="default" w:ascii="Times New Roman" w:hAnsi="Times New Roman" w:cs="Times New Roman"/>
          <w:lang w:val="en-US" w:eastAsia="zh-CN"/>
        </w:rPr>
        <w:t>的思路，合理调整建设用地结构，通过空心村用地整治、城乡增减挂钩等措施集约高效利用城乡建设用地，加快废弃工矿用地整理，加快闲置用地及批而未用土地处置。优先保障国家、省级重点项目及民生项目建设，实现城乡建设用地增长。</w:t>
      </w:r>
    </w:p>
    <w:p w14:paraId="5400FCC4">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其他用地结构调整</w:t>
      </w:r>
    </w:p>
    <w:p w14:paraId="2FDDD8B0">
      <w:pPr>
        <w:bidi w:val="0"/>
        <w:rPr>
          <w:rFonts w:hint="default"/>
          <w:lang w:val="en-US" w:eastAsia="zh-CN"/>
        </w:rPr>
      </w:pPr>
      <w:bookmarkStart w:id="47" w:name="_Toc72936511"/>
      <w:bookmarkStart w:id="48" w:name="_Toc72936502"/>
      <w:r>
        <w:rPr>
          <w:rFonts w:hint="default"/>
        </w:rPr>
        <w:t>提升全域生态价值，优先满足生态用地。保护森林、</w:t>
      </w:r>
      <w:r>
        <w:rPr>
          <w:rFonts w:hint="eastAsia"/>
          <w:lang w:eastAsia="zh-CN"/>
        </w:rPr>
        <w:t>河</w:t>
      </w:r>
      <w:r>
        <w:rPr>
          <w:rFonts w:hint="default"/>
        </w:rPr>
        <w:t>流、水库、湿地等重要生态功能用地，优化生态用地结构，拓展蓝绿空间，提升生态服务功能。</w:t>
      </w:r>
    </w:p>
    <w:bookmarkEnd w:id="47"/>
    <w:bookmarkEnd w:id="48"/>
    <w:p w14:paraId="5AD6C5F8">
      <w:pPr>
        <w:spacing w:line="600" w:lineRule="atLeast"/>
        <w:rPr>
          <w:rFonts w:ascii="Times New Roman" w:hAnsi="Times New Roman" w:cs="Times New Roman"/>
          <w:szCs w:val="32"/>
        </w:rPr>
      </w:pPr>
      <w:r>
        <w:rPr>
          <w:rFonts w:ascii="Times New Roman" w:hAnsi="Times New Roman" w:cs="Times New Roman"/>
        </w:rPr>
        <w:br w:type="page"/>
      </w:r>
    </w:p>
    <w:p w14:paraId="22666065">
      <w:pPr>
        <w:pStyle w:val="2"/>
        <w:spacing w:line="600" w:lineRule="atLeast"/>
        <w:rPr>
          <w:rFonts w:hint="default" w:ascii="Times New Roman" w:hAnsi="Times New Roman" w:eastAsia="方正小标宋简体" w:cs="Times New Roman"/>
          <w:kern w:val="2"/>
          <w:sz w:val="36"/>
          <w:szCs w:val="36"/>
          <w:lang w:val="en-US" w:eastAsia="zh-CN" w:bidi="ar-SA"/>
        </w:rPr>
      </w:pPr>
      <w:bookmarkStart w:id="49" w:name="_Toc6447"/>
      <w:bookmarkStart w:id="50" w:name="_Toc30724"/>
      <w:bookmarkStart w:id="51" w:name="_Toc12420"/>
      <w:bookmarkStart w:id="52" w:name="_Toc22107"/>
      <w:r>
        <w:rPr>
          <w:rFonts w:hint="eastAsia" w:ascii="Times New Roman" w:hAnsi="Times New Roman" w:eastAsia="方正小标宋简体" w:cs="Times New Roman"/>
          <w:kern w:val="2"/>
          <w:sz w:val="36"/>
          <w:szCs w:val="36"/>
          <w:lang w:val="en-US" w:eastAsia="zh-CN" w:bidi="ar-SA"/>
        </w:rPr>
        <w:t>第四章 空间</w:t>
      </w:r>
      <w:bookmarkEnd w:id="49"/>
      <w:r>
        <w:rPr>
          <w:rFonts w:hint="eastAsia" w:ascii="Times New Roman" w:hAnsi="Times New Roman" w:eastAsia="方正小标宋简体" w:cs="Times New Roman"/>
          <w:kern w:val="2"/>
          <w:sz w:val="36"/>
          <w:szCs w:val="36"/>
          <w:lang w:val="en-US" w:eastAsia="zh-CN" w:bidi="ar-SA"/>
        </w:rPr>
        <w:t>布局优化</w:t>
      </w:r>
      <w:bookmarkEnd w:id="50"/>
    </w:p>
    <w:p w14:paraId="625894FD">
      <w:pPr>
        <w:pStyle w:val="31"/>
        <w:spacing w:before="156" w:beforeLines="50" w:after="156" w:afterLines="50" w:line="600" w:lineRule="atLeast"/>
        <w:ind w:firstLine="0" w:firstLineChars="0"/>
        <w:rPr>
          <w:rFonts w:hint="default" w:eastAsia="黑体"/>
          <w:lang w:val="en-US" w:eastAsia="zh-CN"/>
        </w:rPr>
      </w:pPr>
      <w:bookmarkStart w:id="53" w:name="_Toc14599"/>
      <w:r>
        <w:rPr>
          <w:rFonts w:hint="eastAsia" w:ascii="Times New Roman" w:hAnsi="Times New Roman" w:cs="Times New Roman"/>
          <w:highlight w:val="none"/>
        </w:rPr>
        <w:t>第</w:t>
      </w:r>
      <w:r>
        <w:rPr>
          <w:rFonts w:hint="eastAsia" w:cs="Times New Roman"/>
          <w:highlight w:val="none"/>
          <w:lang w:val="en-US" w:eastAsia="zh-CN"/>
        </w:rPr>
        <w:t>一</w:t>
      </w:r>
      <w:r>
        <w:rPr>
          <w:rFonts w:hint="eastAsia" w:ascii="Times New Roman" w:hAnsi="Times New Roman" w:cs="Times New Roman"/>
          <w:highlight w:val="none"/>
        </w:rPr>
        <w:t xml:space="preserve">节 </w:t>
      </w:r>
      <w:bookmarkStart w:id="54" w:name="_Toc2464"/>
      <w:r>
        <w:rPr>
          <w:rFonts w:hint="eastAsia"/>
          <w:lang w:val="en-US" w:eastAsia="zh-CN"/>
        </w:rPr>
        <w:t>农业生产空间</w:t>
      </w:r>
      <w:bookmarkEnd w:id="53"/>
      <w:bookmarkEnd w:id="54"/>
    </w:p>
    <w:p w14:paraId="45657FC6">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农业总体格局</w:t>
      </w:r>
    </w:p>
    <w:p w14:paraId="2C0EBBDF">
      <w:pPr>
        <w:pStyle w:val="9"/>
        <w:overflowPunct w:val="0"/>
        <w:ind w:firstLine="640" w:firstLineChars="200"/>
        <w:rPr>
          <w:rFonts w:hint="default" w:ascii="Times New Roman" w:hAnsi="Times New Roman" w:eastAsia="仿宋_GB2312" w:cs="Times New Roman"/>
          <w:kern w:val="2"/>
          <w:sz w:val="32"/>
          <w:szCs w:val="24"/>
          <w:lang w:val="en-US" w:eastAsia="zh-CN" w:bidi="ar-SA"/>
        </w:rPr>
      </w:pPr>
      <w:bookmarkStart w:id="55" w:name="_Hlk175289113"/>
      <w:r>
        <w:rPr>
          <w:rFonts w:hint="eastAsia" w:ascii="Times New Roman" w:hAnsi="Times New Roman" w:eastAsia="仿宋_GB2312" w:cs="Times New Roman"/>
          <w:kern w:val="2"/>
          <w:sz w:val="32"/>
          <w:szCs w:val="24"/>
          <w:lang w:val="en-US" w:eastAsia="zh-CN" w:bidi="ar-SA"/>
        </w:rPr>
        <w:t>落实三江平原国家农产品主产区功能定位要求，保障国家粮食安全。严格保护耕地资源，落实耕地数量、质量、生态“三位一体”保护。提升优势种植业空间生产能力，保障农产品生产空间，保障优质水稻、玉米、大豆和畜禽产品供给，发展构建“一核、一轴、四区”的农业空间格局。</w:t>
      </w:r>
    </w:p>
    <w:p w14:paraId="14AFBE07">
      <w:pPr>
        <w:pStyle w:val="9"/>
        <w:overflowPunct w:val="0"/>
        <w:ind w:firstLine="640" w:firstLineChars="200"/>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“一核”依托于江川农场场部打造综合经济发展核心，促进产城融合发展。</w:t>
      </w:r>
    </w:p>
    <w:p w14:paraId="66D1B7D8">
      <w:pPr>
        <w:pStyle w:val="9"/>
        <w:overflowPunct w:val="0"/>
        <w:ind w:firstLine="640" w:firstLineChars="200"/>
        <w:rPr>
          <w:rFonts w:hint="default"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“一轴”指依托国道G102公路形成的南北向产业主要发展轴。</w:t>
      </w:r>
    </w:p>
    <w:p w14:paraId="43BDC72E">
      <w:pPr>
        <w:pStyle w:val="9"/>
        <w:overflowPunct w:val="0"/>
        <w:ind w:firstLine="640" w:firstLineChars="200"/>
        <w:rPr>
          <w:rFonts w:hint="eastAsia" w:ascii="Times New Roman" w:hAnsi="Times New Roman" w:eastAsia="仿宋_GB2312" w:cs="Times New Roman"/>
          <w:kern w:val="2"/>
          <w:sz w:val="32"/>
          <w:szCs w:val="24"/>
          <w:lang w:val="en-US" w:eastAsia="zh-CN" w:bidi="ar-SA"/>
        </w:rPr>
      </w:pPr>
      <w:r>
        <w:rPr>
          <w:rFonts w:hint="eastAsia" w:ascii="Times New Roman" w:hAnsi="Times New Roman" w:eastAsia="仿宋_GB2312" w:cs="Times New Roman"/>
          <w:kern w:val="2"/>
          <w:sz w:val="32"/>
          <w:szCs w:val="24"/>
          <w:lang w:val="en-US" w:eastAsia="zh-CN" w:bidi="ar-SA"/>
        </w:rPr>
        <w:t>“四区”指</w:t>
      </w:r>
      <w:bookmarkEnd w:id="55"/>
      <w:r>
        <w:rPr>
          <w:rFonts w:hint="eastAsia" w:ascii="Times New Roman" w:hAnsi="Times New Roman" w:eastAsia="仿宋_GB2312" w:cs="Times New Roman"/>
          <w:kern w:val="2"/>
          <w:sz w:val="32"/>
          <w:szCs w:val="24"/>
          <w:lang w:val="en-US" w:eastAsia="zh-CN" w:bidi="ar-SA"/>
        </w:rPr>
        <w:t>综合经济产业区：以红兴隆分局（桦川境内）江川农场场部为中心，发展农副产品加工业、柳编产品加工、对外物流贸易，打造红兴隆分局（桦川境内）农场产业核心。现代农业产业区：以红兴隆分局（桦川境内）的宝山农场及二九一农场内的农业产业为主，打造基础产业片区。生态种养产业区：结合第二、第三、第六管理区内的稻田打造绿色生态的“稻+鱼”立体种养模式，形成农场特色生态种养产业区。现代农业产业区：以第一、第五管理区及宝山农场、二九一农场管理区稻米加工及种植为主。生态文旅产业区：以第四管理区内的万里河村古生物化石出土点及万里河村马鞍山城址为主形成的生态文旅产业区。</w:t>
      </w:r>
    </w:p>
    <w:p w14:paraId="2A7EE54A">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严保耕地和落实永久基本农田红线</w:t>
      </w:r>
    </w:p>
    <w:p w14:paraId="410DD3F7">
      <w:pPr>
        <w:bidi w:val="0"/>
        <w:rPr>
          <w:rFonts w:hint="default"/>
          <w:lang w:val="en-US" w:eastAsia="zh-CN"/>
        </w:rPr>
      </w:pPr>
      <w:r>
        <w:rPr>
          <w:rFonts w:hint="default"/>
          <w:highlight w:val="none"/>
          <w:lang w:val="en-US" w:eastAsia="zh-CN" w:bidi="ar"/>
        </w:rPr>
        <w:t>落</w:t>
      </w:r>
      <w:r>
        <w:t>落实耕地数量、质量、生态“三位一体”保护，</w:t>
      </w:r>
      <w:r>
        <w:rPr>
          <w:rFonts w:hint="default"/>
          <w:lang w:val="en-US" w:eastAsia="zh-CN"/>
        </w:rPr>
        <w:t>落实县级规划确定的耕地和永久基本农田保护界线，以现状稳定耕地为基础，优先将优质耕地划为永久基本农田。</w:t>
      </w:r>
    </w:p>
    <w:p w14:paraId="038976DE">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推进</w:t>
      </w:r>
      <w:r>
        <w:rPr>
          <w:rFonts w:hint="eastAsia" w:ascii="Times New Roman" w:hAnsi="Times New Roman" w:cs="Times New Roman"/>
          <w:b/>
          <w:bCs w:val="0"/>
          <w:highlight w:val="none"/>
          <w:lang w:val="en-US" w:eastAsia="zh-CN"/>
        </w:rPr>
        <w:t>黑土地</w:t>
      </w:r>
      <w:r>
        <w:rPr>
          <w:rFonts w:hint="default" w:ascii="Times New Roman" w:hAnsi="Times New Roman" w:eastAsia="楷体_GB2312" w:cs="Times New Roman"/>
          <w:b/>
          <w:bCs w:val="0"/>
          <w:highlight w:val="none"/>
          <w:lang w:val="en-US" w:eastAsia="zh-CN"/>
        </w:rPr>
        <w:t>耕地保护利用</w:t>
      </w:r>
    </w:p>
    <w:p w14:paraId="1D5BB684">
      <w:pPr>
        <w:pStyle w:val="29"/>
        <w:spacing w:line="600" w:lineRule="atLeast"/>
        <w:ind w:firstLine="640"/>
        <w:rPr>
          <w:rFonts w:ascii="仿宋_GB2312" w:hAnsi="仿宋_GB2312" w:cs="仿宋_GB2312"/>
          <w:szCs w:val="32"/>
          <w:highlight w:val="none"/>
        </w:rPr>
      </w:pPr>
      <w:bookmarkStart w:id="56" w:name="_Hlk175287317"/>
      <w:bookmarkStart w:id="57" w:name="_Hlk175288198"/>
      <w:r>
        <w:rPr>
          <w:rFonts w:hint="eastAsia" w:ascii="仿宋_GB2312" w:hAnsi="仿宋_GB2312" w:cs="仿宋_GB2312"/>
          <w:szCs w:val="32"/>
          <w:highlight w:val="none"/>
        </w:rPr>
        <w:t>黑土地是黑龙江省的特色资源之一，将</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耕地所在区域的优质农田划入永久基本农田保护区和粮食生产功能区等重点区域，提高</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耕地保护和建设力度。采取工程、生物和耕作措施相结合，治理黑土区水土流失。</w:t>
      </w:r>
    </w:p>
    <w:p w14:paraId="127C5687">
      <w:pPr>
        <w:pStyle w:val="29"/>
        <w:spacing w:line="600" w:lineRule="atLeast"/>
        <w:ind w:firstLine="640"/>
        <w:rPr>
          <w:rFonts w:ascii="仿宋_GB2312" w:hAnsi="仿宋_GB2312" w:cs="仿宋_GB2312"/>
          <w:szCs w:val="32"/>
          <w:highlight w:val="none"/>
        </w:rPr>
      </w:pPr>
      <w:r>
        <w:rPr>
          <w:rFonts w:hint="eastAsia" w:ascii="仿宋_GB2312" w:hAnsi="仿宋_GB2312" w:cs="仿宋_GB2312"/>
          <w:szCs w:val="32"/>
          <w:highlight w:val="none"/>
        </w:rPr>
        <w:t>完善土地调查监测体系和耕地质量监测网络，建立卫星遥感+耕地质量检测物联网+土壤取样化验等技术组合应用模式，对耕地蓄水保墒、有机质含量、土壤侵蚀、土壤生物性状和稳产高产能力等耕地质量指标进行实时监测。制定实施</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地质量标准和分等定级技术规范，为推进实施黑土地保护和</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耕地占补平衡工作提供依据。</w:t>
      </w:r>
    </w:p>
    <w:p w14:paraId="182080DF">
      <w:pPr>
        <w:pStyle w:val="29"/>
        <w:spacing w:line="600" w:lineRule="atLeast"/>
        <w:ind w:firstLine="640"/>
        <w:rPr>
          <w:rFonts w:ascii="仿宋_GB2312" w:hAnsi="仿宋_GB2312" w:cs="仿宋_GB2312"/>
          <w:szCs w:val="32"/>
          <w:highlight w:val="none"/>
        </w:rPr>
      </w:pPr>
      <w:r>
        <w:rPr>
          <w:rFonts w:hint="eastAsia" w:ascii="仿宋_GB2312" w:hAnsi="仿宋_GB2312" w:cs="仿宋_GB2312"/>
          <w:szCs w:val="32"/>
          <w:highlight w:val="none"/>
        </w:rPr>
        <w:t>充分挖掘</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耕地潜力，支持</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表土剥离再利用计划，推进黑土区土地复垦工程，规范引导耕地后备资源适度生态化开发利用，鼓励开展黑土地生态修复和综合治理。</w:t>
      </w:r>
    </w:p>
    <w:p w14:paraId="09D7305A">
      <w:pPr>
        <w:pStyle w:val="29"/>
        <w:spacing w:line="600" w:lineRule="atLeast"/>
        <w:ind w:firstLine="640"/>
        <w:rPr>
          <w:szCs w:val="32"/>
          <w:highlight w:val="none"/>
        </w:rPr>
      </w:pPr>
      <w:r>
        <w:rPr>
          <w:rFonts w:hint="eastAsia" w:ascii="仿宋_GB2312" w:hAnsi="仿宋_GB2312" w:cs="仿宋_GB2312"/>
          <w:szCs w:val="32"/>
          <w:highlight w:val="none"/>
        </w:rPr>
        <w:t>完善各级政府耕地保护责任目标考核办法，把保护</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耕地数量、质量作为重要考核指标，加强对黑土区补充耕地任务完成情况、耕地占补平衡落实情况的检查；建立有效的约束管控机制，定期开展</w:t>
      </w:r>
      <w:r>
        <w:rPr>
          <w:rFonts w:hint="eastAsia" w:ascii="仿宋_GB2312" w:hAnsi="仿宋_GB2312" w:cs="仿宋_GB2312"/>
          <w:szCs w:val="32"/>
          <w:highlight w:val="none"/>
          <w:lang w:eastAsia="zh-CN"/>
        </w:rPr>
        <w:t>黑土地</w:t>
      </w:r>
      <w:r>
        <w:rPr>
          <w:rFonts w:hint="eastAsia" w:ascii="仿宋_GB2312" w:hAnsi="仿宋_GB2312" w:cs="仿宋_GB2312"/>
          <w:szCs w:val="32"/>
          <w:highlight w:val="none"/>
        </w:rPr>
        <w:t>耕地保护成效第三方评估评价，根据实绩实效兑现奖惩</w:t>
      </w:r>
      <w:r>
        <w:rPr>
          <w:szCs w:val="32"/>
          <w:highlight w:val="none"/>
        </w:rPr>
        <w:t>。</w:t>
      </w:r>
      <w:bookmarkEnd w:id="56"/>
    </w:p>
    <w:p w14:paraId="0C653912">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建设和保护耕地生态</w:t>
      </w:r>
    </w:p>
    <w:bookmarkEnd w:id="57"/>
    <w:p w14:paraId="43C10B3E">
      <w:pPr>
        <w:pStyle w:val="29"/>
        <w:spacing w:line="600" w:lineRule="atLeast"/>
        <w:ind w:firstLine="640"/>
        <w:rPr>
          <w:szCs w:val="32"/>
          <w:highlight w:val="none"/>
        </w:rPr>
      </w:pPr>
      <w:bookmarkStart w:id="58" w:name="_Hlk175288181"/>
      <w:r>
        <w:rPr>
          <w:szCs w:val="32"/>
          <w:highlight w:val="none"/>
        </w:rPr>
        <w:t>推动用地与养地相结合，积极落实农业轮作制度，推广玉米、大豆、杂粮、经济作物轮作等绿色、高产、高质、综合配套技术模式；稳步推进不适宜耕种土地的退耕还林，实行保护性耕作，加快耕地退化治理；深入实施土壤污染防治行动计划，加大农药残留、农膜等治理力度，</w:t>
      </w:r>
      <w:r>
        <w:rPr>
          <w:rFonts w:hint="eastAsia" w:ascii="仿宋_GB2312" w:hAnsi="仿宋_GB2312" w:eastAsia="仿宋_GB2312" w:cs="仿宋_GB2312"/>
          <w:szCs w:val="32"/>
          <w:highlight w:val="none"/>
          <w:lang w:val="en-US" w:eastAsia="zh-CN"/>
        </w:rPr>
        <w:t>科学合理施肥施药，</w:t>
      </w:r>
      <w:r>
        <w:rPr>
          <w:szCs w:val="32"/>
          <w:highlight w:val="none"/>
        </w:rPr>
        <w:t>推广土壤污染防治与修复技术的应用。</w:t>
      </w:r>
    </w:p>
    <w:bookmarkEnd w:id="58"/>
    <w:p w14:paraId="6CB7B39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拓展农产品生产空间</w:t>
      </w:r>
    </w:p>
    <w:p w14:paraId="015A4FE0">
      <w:pPr>
        <w:pStyle w:val="9"/>
        <w:overflowPunct w:val="0"/>
        <w:ind w:firstLine="640" w:firstLineChars="200"/>
        <w:rPr>
          <w:rFonts w:ascii="Times New Roman" w:hAnsi="Times New Roman" w:eastAsia="仿宋_GB2312"/>
          <w:sz w:val="32"/>
          <w:szCs w:val="32"/>
          <w:highlight w:val="none"/>
        </w:rPr>
      </w:pPr>
      <w:bookmarkStart w:id="59" w:name="_Hlk175288494"/>
      <w:r>
        <w:rPr>
          <w:rFonts w:hint="eastAsia" w:ascii="楷体_GB2312" w:hAnsi="楷体_GB2312" w:eastAsia="楷体_GB2312" w:cs="楷体_GB2312"/>
          <w:sz w:val="32"/>
          <w:szCs w:val="32"/>
          <w:highlight w:val="none"/>
        </w:rPr>
        <w:t>种植空间。</w:t>
      </w:r>
      <w:r>
        <w:rPr>
          <w:rFonts w:ascii="Times New Roman" w:hAnsi="Times New Roman" w:eastAsia="仿宋_GB2312"/>
          <w:sz w:val="32"/>
          <w:szCs w:val="32"/>
          <w:highlight w:val="none"/>
        </w:rPr>
        <w:t>加快推进粮食产能建设，稳定发展现有种植结构，坚持稳定面积、调整结构和提高单产并重。推进特色种植向规模化、集约化、标准化方向发展。同时做好生态退耕工作，积极落实粮食生产功能区和重要农产品生产保护区的高标准农田建设工作。</w:t>
      </w:r>
    </w:p>
    <w:p w14:paraId="15B19AA8">
      <w:pPr>
        <w:pStyle w:val="9"/>
        <w:overflowPunct w:val="0"/>
        <w:ind w:firstLine="640" w:firstLineChars="200"/>
        <w:rPr>
          <w:rFonts w:ascii="Times New Roman" w:hAnsi="Times New Roman" w:eastAsia="仿宋_GB2312"/>
          <w:sz w:val="32"/>
          <w:szCs w:val="32"/>
          <w:highlight w:val="none"/>
        </w:rPr>
      </w:pPr>
      <w:r>
        <w:rPr>
          <w:rFonts w:hint="eastAsia" w:ascii="楷体_GB2312" w:hAnsi="楷体_GB2312" w:eastAsia="楷体_GB2312" w:cs="楷体_GB2312"/>
          <w:sz w:val="32"/>
          <w:szCs w:val="32"/>
          <w:highlight w:val="none"/>
        </w:rPr>
        <w:t>养殖空间。</w:t>
      </w:r>
      <w:r>
        <w:rPr>
          <w:rFonts w:ascii="Times New Roman" w:hAnsi="Times New Roman" w:eastAsia="仿宋_GB2312"/>
          <w:sz w:val="32"/>
          <w:szCs w:val="32"/>
          <w:highlight w:val="none"/>
        </w:rPr>
        <w:t>以“优供给、强安全、保生态”为目标，以集约化、规模化、标准化养殖为方向，稳步提升畜牧业综合生产能力。逐渐发展壮大生猪</w:t>
      </w:r>
      <w:r>
        <w:rPr>
          <w:rFonts w:hint="eastAsia" w:ascii="Times New Roman" w:hAnsi="Times New Roman" w:eastAsia="仿宋_GB2312"/>
          <w:sz w:val="32"/>
          <w:szCs w:val="32"/>
          <w:highlight w:val="none"/>
        </w:rPr>
        <w:t>、</w:t>
      </w:r>
      <w:r>
        <w:rPr>
          <w:rFonts w:ascii="Times New Roman" w:hAnsi="Times New Roman" w:eastAsia="仿宋_GB2312"/>
          <w:sz w:val="32"/>
          <w:szCs w:val="32"/>
          <w:highlight w:val="none"/>
        </w:rPr>
        <w:t>肉牛</w:t>
      </w:r>
      <w:r>
        <w:rPr>
          <w:rFonts w:hint="eastAsia" w:ascii="Times New Roman" w:hAnsi="Times New Roman" w:eastAsia="仿宋_GB2312"/>
          <w:sz w:val="32"/>
          <w:szCs w:val="32"/>
          <w:highlight w:val="none"/>
        </w:rPr>
        <w:t>、家禽</w:t>
      </w:r>
      <w:r>
        <w:rPr>
          <w:rFonts w:ascii="Times New Roman" w:hAnsi="Times New Roman" w:eastAsia="仿宋_GB2312"/>
          <w:sz w:val="32"/>
          <w:szCs w:val="32"/>
          <w:highlight w:val="none"/>
        </w:rPr>
        <w:t>等养殖，进一步优化畜禽品种结构，构建协同发展、相互促进的畜牧产业格局。</w:t>
      </w:r>
      <w:bookmarkStart w:id="60" w:name="_Toc89871132"/>
      <w:bookmarkStart w:id="61" w:name="_Toc81291240"/>
      <w:bookmarkStart w:id="62" w:name="_Toc73522742"/>
    </w:p>
    <w:p w14:paraId="352DE353">
      <w:pPr>
        <w:pStyle w:val="29"/>
        <w:ind w:firstLine="640"/>
        <w:rPr>
          <w:rFonts w:hint="default"/>
          <w:lang w:val="en-US" w:eastAsia="zh-CN"/>
        </w:rPr>
      </w:pPr>
      <w:r>
        <w:rPr>
          <w:rFonts w:hint="eastAsia" w:ascii="楷体_GB2312" w:hAnsi="楷体_GB2312" w:eastAsia="楷体_GB2312" w:cs="楷体_GB2312"/>
          <w:szCs w:val="32"/>
          <w:highlight w:val="none"/>
        </w:rPr>
        <w:t>特色农业空间</w:t>
      </w:r>
      <w:bookmarkEnd w:id="60"/>
      <w:bookmarkEnd w:id="61"/>
      <w:bookmarkEnd w:id="62"/>
      <w:r>
        <w:rPr>
          <w:rFonts w:hint="eastAsia" w:ascii="楷体_GB2312" w:hAnsi="楷体_GB2312" w:eastAsia="楷体_GB2312" w:cs="楷体_GB2312"/>
          <w:szCs w:val="32"/>
          <w:highlight w:val="none"/>
        </w:rPr>
        <w:t>。</w:t>
      </w:r>
      <w:r>
        <w:rPr>
          <w:szCs w:val="32"/>
          <w:highlight w:val="none"/>
        </w:rPr>
        <w:t>坚持用工业化理念发展农业，围绕鲜食玉米</w:t>
      </w:r>
      <w:r>
        <w:rPr>
          <w:rFonts w:hint="eastAsia"/>
          <w:szCs w:val="32"/>
          <w:highlight w:val="none"/>
        </w:rPr>
        <w:t>、南瓜、</w:t>
      </w:r>
      <w:r>
        <w:rPr>
          <w:szCs w:val="32"/>
          <w:highlight w:val="none"/>
        </w:rPr>
        <w:t>马铃薯等高值高效经济作物种植带动</w:t>
      </w:r>
      <w:r>
        <w:rPr>
          <w:rFonts w:hint="eastAsia"/>
          <w:szCs w:val="32"/>
          <w:highlight w:val="none"/>
        </w:rPr>
        <w:t>庭院</w:t>
      </w:r>
      <w:r>
        <w:rPr>
          <w:szCs w:val="32"/>
          <w:highlight w:val="none"/>
        </w:rPr>
        <w:t>经济种植。</w:t>
      </w:r>
      <w:bookmarkEnd w:id="59"/>
    </w:p>
    <w:p w14:paraId="20777FC5">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bookmarkStart w:id="63" w:name="_Hlk175289273"/>
      <w:r>
        <w:rPr>
          <w:rFonts w:hint="eastAsia" w:ascii="Times New Roman" w:hAnsi="Times New Roman" w:eastAsia="楷体_GB2312" w:cs="Times New Roman"/>
          <w:b/>
          <w:bCs w:val="0"/>
          <w:highlight w:val="none"/>
          <w:lang w:val="en-US" w:eastAsia="zh-CN"/>
        </w:rPr>
        <w:t>合理确定居民点布局</w:t>
      </w:r>
    </w:p>
    <w:p w14:paraId="03E149A9">
      <w:pPr>
        <w:pStyle w:val="39"/>
        <w:ind w:firstLine="640"/>
        <w:rPr>
          <w:rFonts w:ascii="Times New Roman" w:hAnsi="Times New Roman" w:cs="Times New Roman"/>
          <w:szCs w:val="32"/>
          <w:highlight w:val="none"/>
        </w:rPr>
      </w:pPr>
      <w:r>
        <w:rPr>
          <w:rFonts w:ascii="Times New Roman" w:hAnsi="Times New Roman" w:cs="Times New Roman"/>
          <w:szCs w:val="32"/>
          <w:highlight w:val="none"/>
        </w:rPr>
        <w:t>结合当地自然条件、经济社会发展水平、产业特点等，科学布置村庄各项建设，针对不同</w:t>
      </w:r>
      <w:r>
        <w:rPr>
          <w:rFonts w:hint="eastAsia" w:ascii="Times New Roman" w:hAnsi="Times New Roman" w:cs="Times New Roman"/>
          <w:szCs w:val="32"/>
          <w:highlight w:val="none"/>
          <w:lang w:val="en-US" w:eastAsia="zh-CN"/>
        </w:rPr>
        <w:t>居民点</w:t>
      </w:r>
      <w:r>
        <w:rPr>
          <w:rFonts w:ascii="Times New Roman" w:hAnsi="Times New Roman" w:cs="Times New Roman"/>
          <w:szCs w:val="32"/>
          <w:highlight w:val="none"/>
        </w:rPr>
        <w:t>类型，因地制宜提出差异化规划引导策略，科学构建分类和评价体系，分类引导</w:t>
      </w:r>
      <w:r>
        <w:rPr>
          <w:rFonts w:hint="eastAsia" w:ascii="Times New Roman" w:hAnsi="Times New Roman" w:cs="Times New Roman"/>
          <w:szCs w:val="32"/>
          <w:highlight w:val="none"/>
          <w:lang w:val="en-US" w:eastAsia="zh-CN"/>
        </w:rPr>
        <w:t>管理区作业站</w:t>
      </w:r>
      <w:r>
        <w:rPr>
          <w:rFonts w:ascii="Times New Roman" w:hAnsi="Times New Roman" w:cs="Times New Roman"/>
          <w:szCs w:val="32"/>
          <w:highlight w:val="none"/>
        </w:rPr>
        <w:t>发展与布局。</w:t>
      </w:r>
    </w:p>
    <w:p w14:paraId="457A8C8A">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引导居民点分类有序发展</w:t>
      </w:r>
    </w:p>
    <w:p w14:paraId="3011E9A5">
      <w:pPr>
        <w:bidi w:val="0"/>
        <w:rPr>
          <w:rFonts w:hint="eastAsia"/>
        </w:rPr>
      </w:pPr>
      <w:r>
        <w:rPr>
          <w:rStyle w:val="26"/>
          <w:rFonts w:hint="eastAsia" w:ascii="楷体_GB2312" w:hAnsi="楷体_GB2312" w:cs="楷体_GB2312"/>
          <w:kern w:val="2"/>
          <w:szCs w:val="24"/>
          <w:highlight w:val="none"/>
          <w:lang w:val="en-US" w:eastAsia="zh-CN" w:bidi="ar-SA"/>
        </w:rPr>
        <w:t>城郊融合类。</w:t>
      </w:r>
      <w:r>
        <w:rPr>
          <w:rFonts w:hint="eastAsia"/>
          <w:lang w:val="en-US" w:eastAsia="zh-CN"/>
        </w:rPr>
        <w:t>加强与城市边缘建设用地功能的衔接，统筹安排、协调发展，建设成为城市的一部分，突出节约集约用地理念，加强与城市其他功能区的衔接和分工，原则上纳入控制性详细规划，近中期城镇无法发展的村庄可以提出村庄近期建设方案，但不得与国土空间总体规划、控制性详细规划相矛盾。着重解决好村庄发展近期与远期衔接的问题，以人居环境整治、村庄危房维护修建、公共服务设施提升、村庄违法建设拆除控制、集体产业用地集中整治为重点。</w:t>
      </w:r>
    </w:p>
    <w:p w14:paraId="06EE48BA">
      <w:pPr>
        <w:pStyle w:val="39"/>
        <w:ind w:firstLine="640"/>
        <w:rPr>
          <w:rFonts w:hint="eastAsia" w:ascii="仿宋_GB2312" w:hAnsi="仿宋_GB2312" w:cs="仿宋_GB2312"/>
          <w:szCs w:val="32"/>
          <w:highlight w:val="none"/>
        </w:rPr>
      </w:pPr>
      <w:r>
        <w:rPr>
          <w:rStyle w:val="26"/>
          <w:rFonts w:hint="eastAsia" w:ascii="楷体_GB2312" w:hAnsi="楷体_GB2312" w:eastAsia="楷体_GB2312" w:cs="楷体_GB2312"/>
          <w:highlight w:val="none"/>
        </w:rPr>
        <w:t>集聚提升类</w:t>
      </w:r>
      <w:r>
        <w:rPr>
          <w:rStyle w:val="26"/>
          <w:rFonts w:hint="eastAsia" w:ascii="楷体_GB2312" w:hAnsi="楷体_GB2312" w:eastAsia="楷体_GB2312" w:cs="楷体_GB2312"/>
          <w:highlight w:val="none"/>
          <w:lang w:val="en-US" w:eastAsia="zh-CN"/>
        </w:rPr>
        <w:t>居民点</w:t>
      </w:r>
      <w:r>
        <w:rPr>
          <w:rStyle w:val="26"/>
          <w:rFonts w:hint="eastAsia" w:ascii="仿宋_GB2312" w:hAnsi="仿宋_GB2312" w:eastAsia="仿宋_GB2312" w:cs="仿宋_GB2312"/>
          <w:highlight w:val="none"/>
        </w:rPr>
        <w:t>。</w:t>
      </w:r>
      <w:r>
        <w:rPr>
          <w:rFonts w:hint="eastAsia" w:ascii="仿宋_GB2312" w:hAnsi="仿宋_GB2312" w:cs="仿宋_GB2312"/>
          <w:szCs w:val="32"/>
          <w:highlight w:val="none"/>
        </w:rPr>
        <w:t>发挥自身比较优势，强化主导产业支撑，完善以农业为核心的现代农业产业体系，支持农业、工贸、休闲服务等专业化村庄发展。推动“空心村”改造盘活利用，打造“生态—休闲—旅游”复合空间。</w:t>
      </w:r>
      <w:bookmarkEnd w:id="63"/>
    </w:p>
    <w:p w14:paraId="43B397D0">
      <w:pPr>
        <w:pStyle w:val="31"/>
        <w:spacing w:before="156" w:beforeLines="50" w:after="156" w:afterLines="50" w:line="600" w:lineRule="atLeast"/>
        <w:ind w:firstLine="0" w:firstLineChars="0"/>
        <w:rPr>
          <w:rFonts w:hint="eastAsia" w:ascii="Times New Roman" w:hAnsi="Times New Roman" w:cs="Times New Roman"/>
          <w:highlight w:val="none"/>
        </w:rPr>
      </w:pPr>
      <w:bookmarkStart w:id="64" w:name="_Toc21154"/>
      <w:bookmarkStart w:id="65" w:name="_Toc22661"/>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二</w:t>
      </w:r>
      <w:r>
        <w:rPr>
          <w:rFonts w:hint="eastAsia" w:ascii="Times New Roman" w:hAnsi="Times New Roman" w:cs="Times New Roman"/>
          <w:highlight w:val="none"/>
        </w:rPr>
        <w:t>节 构建生态安全格局</w:t>
      </w:r>
      <w:bookmarkEnd w:id="64"/>
      <w:bookmarkEnd w:id="65"/>
    </w:p>
    <w:p w14:paraId="4265511B">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生态空间格局</w:t>
      </w:r>
    </w:p>
    <w:p w14:paraId="77D07E3A">
      <w:pPr>
        <w:ind w:firstLine="640" w:firstLineChars="200"/>
        <w:rPr>
          <w:rFonts w:hint="eastAsia" w:ascii="仿宋_GB2312" w:hAnsi="仿宋_GB2312" w:eastAsia="仿宋_GB2312" w:cs="仿宋_GB2312"/>
          <w:kern w:val="2"/>
          <w:sz w:val="32"/>
          <w:szCs w:val="32"/>
          <w:highlight w:val="none"/>
          <w:lang w:val="en-US" w:eastAsia="zh-CN" w:bidi="ar-SA"/>
        </w:rPr>
      </w:pPr>
      <w:bookmarkStart w:id="66" w:name="_Hlk175290060"/>
      <w:r>
        <w:rPr>
          <w:rFonts w:hint="eastAsia" w:ascii="仿宋_GB2312" w:hAnsi="仿宋_GB2312" w:eastAsia="仿宋_GB2312" w:cs="仿宋_GB2312"/>
          <w:kern w:val="2"/>
          <w:sz w:val="32"/>
          <w:szCs w:val="32"/>
          <w:highlight w:val="none"/>
          <w:lang w:val="en-US" w:eastAsia="zh-CN" w:bidi="ar-SA"/>
        </w:rPr>
        <w:t>落实桦川县“一心、一廊、三带”的生态格局要求，筑牢丰收沟生态廊道，强化县域生态廊道联通性，构建“一廊、一带”生态系统保护格局，作为</w:t>
      </w:r>
      <w:r>
        <w:rPr>
          <w:rFonts w:hint="eastAsia" w:ascii="仿宋_GB2312" w:hAnsi="仿宋_GB2312" w:cs="仿宋_GB2312"/>
          <w:kern w:val="2"/>
          <w:sz w:val="32"/>
          <w:szCs w:val="32"/>
          <w:highlight w:val="none"/>
          <w:lang w:val="en-US" w:eastAsia="zh-CN" w:bidi="ar-SA"/>
        </w:rPr>
        <w:t>红兴隆分局（桦川境内）农村的</w:t>
      </w:r>
      <w:r>
        <w:rPr>
          <w:rFonts w:hint="eastAsia" w:ascii="仿宋_GB2312" w:hAnsi="仿宋_GB2312" w:eastAsia="仿宋_GB2312" w:cs="仿宋_GB2312"/>
          <w:kern w:val="2"/>
          <w:sz w:val="32"/>
          <w:szCs w:val="32"/>
          <w:highlight w:val="none"/>
          <w:lang w:val="en-US" w:eastAsia="zh-CN" w:bidi="ar-SA"/>
        </w:rPr>
        <w:t>基本生态骨架，维持生态系统功能稳定的基底，提升全域生态系统服务能力。</w:t>
      </w:r>
    </w:p>
    <w:p w14:paraId="1CA332D4">
      <w:pPr>
        <w:pStyle w:val="39"/>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一廊：指穿过</w:t>
      </w:r>
      <w:r>
        <w:rPr>
          <w:rFonts w:hint="eastAsia" w:ascii="仿宋_GB2312" w:hAnsi="仿宋_GB2312" w:cs="仿宋_GB2312"/>
          <w:kern w:val="2"/>
          <w:sz w:val="32"/>
          <w:szCs w:val="32"/>
          <w:highlight w:val="none"/>
          <w:lang w:val="en-US" w:eastAsia="zh-CN" w:bidi="ar-SA"/>
        </w:rPr>
        <w:t>红兴隆分局（桦川境内）江川农场北</w:t>
      </w:r>
      <w:r>
        <w:rPr>
          <w:rFonts w:hint="eastAsia" w:ascii="仿宋_GB2312" w:hAnsi="仿宋_GB2312" w:eastAsia="仿宋_GB2312" w:cs="仿宋_GB2312"/>
          <w:kern w:val="2"/>
          <w:sz w:val="32"/>
          <w:szCs w:val="32"/>
          <w:highlight w:val="none"/>
          <w:lang w:val="en-US" w:eastAsia="zh-CN" w:bidi="ar-SA"/>
        </w:rPr>
        <w:t>侧的</w:t>
      </w:r>
      <w:r>
        <w:rPr>
          <w:rFonts w:hint="eastAsia" w:ascii="仿宋_GB2312" w:hAnsi="仿宋_GB2312" w:cs="仿宋_GB2312"/>
          <w:kern w:val="2"/>
          <w:sz w:val="32"/>
          <w:szCs w:val="32"/>
          <w:highlight w:val="none"/>
          <w:lang w:val="en-US" w:eastAsia="zh-CN" w:bidi="ar-SA"/>
        </w:rPr>
        <w:t>松花江</w:t>
      </w:r>
      <w:r>
        <w:rPr>
          <w:rFonts w:hint="eastAsia" w:ascii="仿宋_GB2312" w:hAnsi="仿宋_GB2312" w:eastAsia="仿宋_GB2312" w:cs="仿宋_GB2312"/>
          <w:kern w:val="2"/>
          <w:sz w:val="32"/>
          <w:szCs w:val="32"/>
          <w:highlight w:val="none"/>
          <w:lang w:val="en-US" w:eastAsia="zh-CN" w:bidi="ar-SA"/>
        </w:rPr>
        <w:t>生态廊道</w:t>
      </w:r>
      <w:r>
        <w:rPr>
          <w:rFonts w:hint="eastAsia" w:ascii="仿宋_GB2312" w:hAnsi="仿宋_GB2312" w:cs="仿宋_GB2312"/>
          <w:kern w:val="2"/>
          <w:sz w:val="32"/>
          <w:szCs w:val="32"/>
          <w:highlight w:val="none"/>
          <w:lang w:val="en-US" w:eastAsia="zh-CN" w:bidi="ar-SA"/>
        </w:rPr>
        <w:t>，</w:t>
      </w:r>
      <w:r>
        <w:rPr>
          <w:rFonts w:hint="eastAsia" w:ascii="仿宋_GB2312" w:hAnsi="仿宋_GB2312" w:eastAsia="仿宋_GB2312" w:cs="仿宋_GB2312"/>
          <w:kern w:val="2"/>
          <w:sz w:val="32"/>
          <w:szCs w:val="32"/>
          <w:highlight w:val="none"/>
          <w:lang w:val="en-US" w:eastAsia="zh-CN" w:bidi="ar-SA"/>
        </w:rPr>
        <w:t>加强生态修复和空间的植被种植，充分发挥廊道的护蓝、增绿、通风等作用。</w:t>
      </w:r>
    </w:p>
    <w:p w14:paraId="4CE23510">
      <w:pPr>
        <w:pStyle w:val="39"/>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一带：指沿</w:t>
      </w:r>
      <w:r>
        <w:rPr>
          <w:rFonts w:hint="eastAsia" w:ascii="仿宋_GB2312" w:hAnsi="仿宋_GB2312" w:cs="仿宋_GB2312"/>
          <w:kern w:val="2"/>
          <w:sz w:val="32"/>
          <w:szCs w:val="32"/>
          <w:highlight w:val="none"/>
          <w:lang w:val="en-US" w:eastAsia="zh-CN" w:bidi="ar-SA"/>
        </w:rPr>
        <w:t>国道G102两侧</w:t>
      </w:r>
      <w:r>
        <w:rPr>
          <w:rFonts w:hint="eastAsia" w:ascii="仿宋_GB2312" w:hAnsi="仿宋_GB2312" w:eastAsia="仿宋_GB2312" w:cs="仿宋_GB2312"/>
          <w:kern w:val="2"/>
          <w:sz w:val="32"/>
          <w:szCs w:val="32"/>
          <w:highlight w:val="none"/>
          <w:lang w:val="en-US" w:eastAsia="zh-CN" w:bidi="ar-SA"/>
        </w:rPr>
        <w:t>形成的生态绿带。</w:t>
      </w:r>
      <w:bookmarkEnd w:id="66"/>
    </w:p>
    <w:p w14:paraId="2A8120E5">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自然保护地空间</w:t>
      </w:r>
    </w:p>
    <w:p w14:paraId="170CA38A">
      <w:pPr>
        <w:bidi w:val="0"/>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bidi="ar-SA"/>
        </w:rPr>
        <w:t>桦川</w:t>
      </w:r>
      <w:r>
        <w:rPr>
          <w:rFonts w:hint="default" w:ascii="仿宋_GB2312" w:hAnsi="仿宋_GB2312" w:eastAsia="仿宋_GB2312" w:cs="仿宋_GB2312"/>
          <w:kern w:val="2"/>
          <w:sz w:val="32"/>
          <w:szCs w:val="32"/>
          <w:highlight w:val="none"/>
          <w:lang w:val="en-US" w:eastAsia="zh-CN" w:bidi="ar-SA"/>
        </w:rPr>
        <w:t>县建立以黑龙江桦川湿地省级自然保护区、黑龙江桦川国家森林公园为主体的自然保护地体系，</w:t>
      </w:r>
      <w:bookmarkEnd w:id="51"/>
      <w:r>
        <w:rPr>
          <w:rStyle w:val="26"/>
          <w:rFonts w:hint="eastAsia" w:ascii="仿宋_GB2312" w:hAnsi="仿宋_GB2312" w:eastAsia="仿宋_GB2312" w:cs="仿宋_GB2312"/>
          <w:b w:val="0"/>
          <w:color w:val="auto"/>
          <w:sz w:val="32"/>
          <w:szCs w:val="32"/>
          <w:highlight w:val="none"/>
        </w:rPr>
        <w:t>科学划定自然保护地类型</w:t>
      </w:r>
      <w:r>
        <w:rPr>
          <w:rStyle w:val="26"/>
          <w:rFonts w:hint="eastAsia" w:ascii="仿宋_GB2312" w:hAnsi="仿宋_GB2312" w:eastAsia="仿宋_GB2312" w:cs="仿宋_GB2312"/>
          <w:b w:val="0"/>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开展自然保护地整合归并优化，按照“保护面积不减少、保护强度不降低、保护性质不改变”的总体要求，坚持生态优先、管理从严的原则，整合归并现有各类自然保护地，优化调整边界范围、功能分区，着力解决交叉重叠、边界不清、管理分割等问题，严格做好自然保护地规划管控。</w:t>
      </w:r>
    </w:p>
    <w:p w14:paraId="0BD4B25E">
      <w:pPr>
        <w:pStyle w:val="39"/>
        <w:pageBreakBefore w:val="0"/>
        <w:kinsoku/>
        <w:wordWrap/>
        <w:overflowPunct/>
        <w:topLinePunct w:val="0"/>
        <w:bidi w:val="0"/>
        <w:spacing w:line="560" w:lineRule="exact"/>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建立统一规范的管理体制。按照国家相关要求，实施自然保护地实行分级设立、分级管理，实行差别化管控。</w:t>
      </w:r>
    </w:p>
    <w:p w14:paraId="4250D192">
      <w:pPr>
        <w:pStyle w:val="39"/>
        <w:pageBreakBefore w:val="0"/>
        <w:kinsoku/>
        <w:wordWrap/>
        <w:overflowPunct/>
        <w:topLinePunct w:val="0"/>
        <w:bidi w:val="0"/>
        <w:spacing w:line="560" w:lineRule="exact"/>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建设健康稳定的自然生态系统。开展生态系统调查监测，加强生态系统保护修复，科学开展生态廊道、野生动植物栖息地、地质灾害隐患点等受损生态系统修复，全面提升生态系统完整性和稳定性。</w:t>
      </w:r>
    </w:p>
    <w:p w14:paraId="2ACBCD62">
      <w:pPr>
        <w:pStyle w:val="39"/>
        <w:pageBreakBefore w:val="0"/>
        <w:kinsoku/>
        <w:wordWrap/>
        <w:overflowPunct/>
        <w:topLinePunct w:val="0"/>
        <w:bidi w:val="0"/>
        <w:spacing w:line="560" w:lineRule="exact"/>
        <w:ind w:firstLine="64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加强生态环境监督考核。建立生态监测体系，对自然保护地内设施建设等人类活动实施全面监控。加强评估考核，建立以生态环境质量、生态资产和生态服务价值为核心的考核评估指标体系，对自然保护地管理成效组织开展评估。对造成自然保护地生态系统和资源环境损害的，依纪依法依规追责问责。</w:t>
      </w:r>
    </w:p>
    <w:p w14:paraId="68326FDC">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水资源保护与利用</w:t>
      </w:r>
    </w:p>
    <w:p w14:paraId="4D069021">
      <w:pPr>
        <w:pStyle w:val="9"/>
        <w:overflowPunct w:val="0"/>
        <w:ind w:firstLine="640" w:firstLineChars="200"/>
        <w:rPr>
          <w:rFonts w:ascii="Times New Roman" w:hAnsi="Times New Roman" w:eastAsia="仿宋_GB2312"/>
          <w:sz w:val="32"/>
          <w:highlight w:val="none"/>
        </w:rPr>
      </w:pPr>
      <w:bookmarkStart w:id="67" w:name="_Hlk175290147"/>
      <w:r>
        <w:rPr>
          <w:rFonts w:ascii="Times New Roman" w:hAnsi="Times New Roman" w:eastAsia="仿宋_GB2312"/>
          <w:sz w:val="32"/>
          <w:highlight w:val="none"/>
        </w:rPr>
        <w:t>坚持以水定城、以水定地、以水定人、以水定产的总体思路，实施最严格的水资源管理制度，严格用水总量、用水效率、水功能限制纳污三条红线，落实水资源消耗总量与强度双控，坚决抑制不合理用水需求。至2035年，完成上级下达任务，严格控制全镇用水总量。</w:t>
      </w:r>
    </w:p>
    <w:p w14:paraId="18705E7F">
      <w:pPr>
        <w:pStyle w:val="9"/>
        <w:overflowPunct w:val="0"/>
        <w:ind w:firstLine="640" w:firstLineChars="200"/>
        <w:rPr>
          <w:rFonts w:ascii="仿宋_GB2312" w:hAnsi="仿宋_GB2312" w:eastAsia="仿宋_GB2312" w:cs="仿宋_GB2312"/>
          <w:sz w:val="32"/>
          <w:highlight w:val="none"/>
        </w:rPr>
      </w:pPr>
      <w:r>
        <w:rPr>
          <w:rFonts w:hint="eastAsia" w:ascii="楷体_GB2312" w:hAnsi="楷体_GB2312" w:eastAsia="楷体_GB2312" w:cs="楷体_GB2312"/>
          <w:sz w:val="32"/>
          <w:highlight w:val="none"/>
        </w:rPr>
        <w:t>保障水源地安全。</w:t>
      </w:r>
      <w:r>
        <w:rPr>
          <w:rFonts w:hint="eastAsia" w:ascii="仿宋_GB2312" w:hAnsi="仿宋_GB2312" w:eastAsia="仿宋_GB2312" w:cs="仿宋_GB2312"/>
          <w:sz w:val="32"/>
          <w:highlight w:val="none"/>
        </w:rPr>
        <w:t>划定并严格保护镇级集中式饮用水水源保护区。至2035年，全镇集中式饮用水水源水质达到或优于</w:t>
      </w:r>
      <w:r>
        <w:rPr>
          <w:rFonts w:hint="eastAsia" w:ascii="仿宋_GB2312" w:hAnsi="仿宋_GB2312" w:eastAsia="仿宋_GB2312" w:cs="仿宋_GB2312"/>
          <w:sz w:val="32"/>
          <w:highlight w:val="none"/>
          <w:lang w:eastAsia="zh-CN"/>
        </w:rPr>
        <w:t>Ⅲ</w:t>
      </w:r>
      <w:r>
        <w:rPr>
          <w:rFonts w:hint="eastAsia" w:ascii="仿宋_GB2312" w:hAnsi="仿宋_GB2312" w:eastAsia="仿宋_GB2312" w:cs="仿宋_GB2312"/>
          <w:sz w:val="32"/>
          <w:highlight w:val="none"/>
        </w:rPr>
        <w:t>类比例达到100%。</w:t>
      </w:r>
    </w:p>
    <w:p w14:paraId="05B0E7FD">
      <w:pPr>
        <w:ind w:firstLine="640" w:firstLineChars="200"/>
        <w:rPr>
          <w:rFonts w:ascii="仿宋_GB2312" w:hAnsi="仿宋_GB2312" w:cs="仿宋_GB2312"/>
          <w:highlight w:val="none"/>
        </w:rPr>
      </w:pPr>
      <w:r>
        <w:rPr>
          <w:rFonts w:hint="eastAsia" w:ascii="楷体_GB2312" w:hAnsi="楷体_GB2312" w:eastAsia="楷体_GB2312" w:cs="楷体_GB2312"/>
          <w:highlight w:val="none"/>
        </w:rPr>
        <w:t>强化水域空间用途管制。</w:t>
      </w:r>
      <w:r>
        <w:rPr>
          <w:rFonts w:hint="eastAsia" w:ascii="仿宋_GB2312" w:hAnsi="仿宋_GB2312" w:cs="仿宋_GB2312"/>
          <w:highlight w:val="none"/>
        </w:rPr>
        <w:t>强化河湖长制，统筹流域保护，开展河湖水域岸线登记，系统保护河流、湿地、水库，保持岸线自然形态，维护河湖水域岸线生态空间的完整性、原真性。加强用途管制，正确处理开发与保护的关系，河湖岸线土地开发利用和产业布局，与河湖水域岸线的分区管控要求相衔接。规范采砂等涉水活动，整治侵占、破坏河湖行为。规范各级涉河湖建设项目审批、河道采砂许可和实施监管，确保河湖水域岸线有效保护和节约集约利用，持续改善河湖面貌。</w:t>
      </w:r>
    </w:p>
    <w:p w14:paraId="1260A85B">
      <w:pPr>
        <w:tabs>
          <w:tab w:val="left" w:pos="1701"/>
          <w:tab w:val="left" w:pos="1985"/>
        </w:tabs>
        <w:ind w:firstLine="640" w:firstLineChars="200"/>
        <w:rPr>
          <w:rFonts w:cs="Times New Roman"/>
          <w:highlight w:val="none"/>
        </w:rPr>
      </w:pPr>
      <w:r>
        <w:rPr>
          <w:rFonts w:hint="eastAsia" w:ascii="楷体_GB2312" w:hAnsi="楷体_GB2312" w:eastAsia="楷体_GB2312" w:cs="楷体_GB2312"/>
          <w:highlight w:val="none"/>
        </w:rPr>
        <w:t>水环境污染治理。</w:t>
      </w:r>
      <w:r>
        <w:rPr>
          <w:rFonts w:hint="eastAsia" w:ascii="仿宋_GB2312" w:hAnsi="仿宋_GB2312" w:cs="仿宋_GB2312"/>
          <w:highlight w:val="none"/>
        </w:rPr>
        <w:t>实施水污染综合治理工程，统筹治理黑臭水体、工业废水、农业退水、城乡污水，推进生态沟道、污水净塘、人工湿地、植物隔离条带等生态拦截净化工程，加强污水处置设施建设提标改造，逐年提升农村污水处理覆盖率，全面取缔工业直排口、非法入河排污口，清理整顿列入负面清单的产业和项目，贯彻“源头消减”和“过程拦截”方式，建立“点源控制+面源消减”的污染治理体系，综合改善水环境质量。</w:t>
      </w:r>
    </w:p>
    <w:bookmarkEnd w:id="67"/>
    <w:p w14:paraId="1EDD0C5A">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森林资源保护与利用</w:t>
      </w:r>
    </w:p>
    <w:p w14:paraId="1A71AE18">
      <w:pPr>
        <w:pStyle w:val="9"/>
        <w:overflowPunct w:val="0"/>
        <w:ind w:firstLine="640" w:firstLineChars="200"/>
        <w:rPr>
          <w:rFonts w:ascii="Times New Roman" w:hAnsi="Times New Roman" w:eastAsia="仿宋_GB2312"/>
          <w:sz w:val="32"/>
          <w:highlight w:val="none"/>
        </w:rPr>
      </w:pPr>
      <w:bookmarkStart w:id="68" w:name="_Hlk175290328"/>
      <w:r>
        <w:rPr>
          <w:rFonts w:ascii="Times New Roman" w:hAnsi="Times New Roman" w:eastAsia="仿宋_GB2312"/>
          <w:sz w:val="32"/>
          <w:highlight w:val="none"/>
        </w:rPr>
        <w:t>严格控制林地转为建设用地，加强镇域林业资源管理，禁止毁林开垦。规划期内稳步推进提升林地面积，落实造林绿化空间工作，规划至2035年，森林覆盖率有所提升。</w:t>
      </w:r>
    </w:p>
    <w:p w14:paraId="0B3A3DEB">
      <w:pPr>
        <w:pStyle w:val="9"/>
        <w:overflowPunct w:val="0"/>
        <w:ind w:firstLine="640" w:firstLineChars="200"/>
        <w:rPr>
          <w:rFonts w:ascii="Times New Roman" w:hAnsi="Times New Roman" w:eastAsia="仿宋_GB2312"/>
          <w:sz w:val="32"/>
          <w:highlight w:val="none"/>
        </w:rPr>
      </w:pPr>
      <w:r>
        <w:rPr>
          <w:rFonts w:hint="eastAsia" w:ascii="楷体_GB2312" w:hAnsi="楷体_GB2312" w:eastAsia="楷体_GB2312" w:cs="楷体_GB2312"/>
          <w:sz w:val="32"/>
          <w:highlight w:val="none"/>
        </w:rPr>
        <w:t>强化林地利用管理。</w:t>
      </w:r>
      <w:r>
        <w:rPr>
          <w:rFonts w:ascii="Times New Roman" w:hAnsi="Times New Roman" w:eastAsia="仿宋_GB2312"/>
          <w:sz w:val="32"/>
          <w:highlight w:val="none"/>
        </w:rPr>
        <w:t>坚持森林保护优先、保护与利用兼顾的原则，在不破坏地表植被、不影响生物多样性保护前提下，允许有限利用林地适度发展生态旅游、休闲康养、研学基地和营地、自然教育、特色种植养殖等绿色产业，有效提升生态系统碳汇量。</w:t>
      </w:r>
    </w:p>
    <w:p w14:paraId="67F2D8FD">
      <w:pPr>
        <w:pStyle w:val="9"/>
        <w:overflowPunct w:val="0"/>
        <w:ind w:firstLine="640" w:firstLineChars="200"/>
        <w:rPr>
          <w:rFonts w:ascii="Times New Roman" w:hAnsi="Times New Roman" w:eastAsia="仿宋_GB2312"/>
          <w:sz w:val="32"/>
          <w:highlight w:val="none"/>
        </w:rPr>
      </w:pPr>
      <w:r>
        <w:rPr>
          <w:rFonts w:ascii="Times New Roman" w:hAnsi="Times New Roman" w:eastAsia="仿宋_GB2312"/>
          <w:sz w:val="32"/>
          <w:highlight w:val="none"/>
        </w:rPr>
        <w:t>严格实施林地用途管制，严格按</w:t>
      </w:r>
      <w:r>
        <w:rPr>
          <w:rFonts w:hint="eastAsia" w:ascii="Times New Roman" w:hAnsi="Times New Roman" w:eastAsia="仿宋_GB2312"/>
          <w:sz w:val="32"/>
          <w:highlight w:val="none"/>
          <w:lang w:val="en-US" w:eastAsia="zh-CN"/>
        </w:rPr>
        <w:t>照</w:t>
      </w:r>
      <w:r>
        <w:rPr>
          <w:rFonts w:ascii="Times New Roman" w:hAnsi="Times New Roman" w:eastAsia="仿宋_GB2312"/>
          <w:sz w:val="32"/>
          <w:highlight w:val="none"/>
        </w:rPr>
        <w:t>相关部门制定的采伐限额进行采伐，全力做好建设绿水青山、保护绿水青山、利用绿水青山的林业工作。各类建设必须占用林地时，必须按相关要求做好林地使用补偿措施，做到资金专户储存、专款专用、严肃财经纪律等。</w:t>
      </w:r>
    </w:p>
    <w:bookmarkEnd w:id="68"/>
    <w:p w14:paraId="5BFC0E9F">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草地资源保护与利用</w:t>
      </w:r>
    </w:p>
    <w:p w14:paraId="66A294E3">
      <w:pPr>
        <w:pStyle w:val="39"/>
        <w:ind w:firstLine="640"/>
        <w:rPr>
          <w:rFonts w:hint="eastAsia" w:eastAsia="仿宋_GB2312"/>
          <w:sz w:val="32"/>
          <w:highlight w:val="none"/>
          <w:lang w:eastAsia="zh-CN"/>
        </w:rPr>
      </w:pPr>
      <w:bookmarkStart w:id="69" w:name="_Hlk175290457"/>
      <w:r>
        <w:rPr>
          <w:rFonts w:eastAsia="仿宋_GB2312" w:cs="Times New Roman"/>
          <w:sz w:val="32"/>
          <w:szCs w:val="32"/>
          <w:highlight w:val="none"/>
        </w:rPr>
        <w:t>落实</w:t>
      </w:r>
      <w:r>
        <w:rPr>
          <w:rFonts w:hint="eastAsia" w:cs="Times New Roman"/>
          <w:sz w:val="32"/>
          <w:szCs w:val="32"/>
          <w:highlight w:val="none"/>
          <w:lang w:val="en-US" w:eastAsia="zh-CN"/>
        </w:rPr>
        <w:t>县级</w:t>
      </w:r>
      <w:r>
        <w:rPr>
          <w:rFonts w:eastAsia="仿宋_GB2312" w:cs="Times New Roman"/>
          <w:sz w:val="32"/>
          <w:szCs w:val="32"/>
          <w:highlight w:val="none"/>
        </w:rPr>
        <w:t>封禁沙化土地保护区管理要求，加强草原用途管制。</w:t>
      </w:r>
    </w:p>
    <w:p w14:paraId="280172E4">
      <w:pPr>
        <w:pStyle w:val="9"/>
        <w:overflowPunct w:val="0"/>
        <w:ind w:firstLine="640"/>
        <w:rPr>
          <w:rFonts w:hint="eastAsia" w:ascii="Times New Roman" w:hAnsi="Times New Roman" w:eastAsia="仿宋_GB2312"/>
          <w:sz w:val="32"/>
          <w:highlight w:val="none"/>
        </w:rPr>
      </w:pPr>
      <w:r>
        <w:rPr>
          <w:rFonts w:ascii="Times New Roman" w:hAnsi="Times New Roman" w:eastAsia="仿宋_GB2312"/>
          <w:sz w:val="32"/>
          <w:highlight w:val="none"/>
        </w:rPr>
        <w:t>加大草地资源保护</w:t>
      </w:r>
      <w:r>
        <w:rPr>
          <w:rFonts w:hint="eastAsia" w:ascii="Times New Roman" w:hAnsi="Times New Roman" w:eastAsia="仿宋_GB2312"/>
          <w:sz w:val="32"/>
          <w:highlight w:val="none"/>
          <w:lang w:eastAsia="zh-CN"/>
        </w:rPr>
        <w:t>。</w:t>
      </w:r>
      <w:r>
        <w:rPr>
          <w:rFonts w:ascii="Times New Roman" w:hAnsi="Times New Roman" w:eastAsia="仿宋_GB2312"/>
          <w:sz w:val="32"/>
          <w:highlight w:val="none"/>
        </w:rPr>
        <w:t>防止</w:t>
      </w:r>
      <w:r>
        <w:rPr>
          <w:rFonts w:hint="eastAsia" w:ascii="Times New Roman" w:hAnsi="Times New Roman" w:eastAsia="仿宋_GB2312"/>
          <w:sz w:val="32"/>
          <w:highlight w:val="none"/>
        </w:rPr>
        <w:t>天然、人工牧草地</w:t>
      </w:r>
      <w:r>
        <w:rPr>
          <w:rFonts w:ascii="Times New Roman" w:hAnsi="Times New Roman" w:eastAsia="仿宋_GB2312"/>
          <w:sz w:val="32"/>
          <w:highlight w:val="none"/>
        </w:rPr>
        <w:t>因耕地开垦、城市扩张、修路开矿等而被破坏。</w:t>
      </w:r>
      <w:r>
        <w:rPr>
          <w:rFonts w:hint="eastAsia" w:ascii="Times New Roman" w:hAnsi="Times New Roman" w:eastAsia="仿宋_GB2312"/>
          <w:sz w:val="32"/>
          <w:highlight w:val="none"/>
        </w:rPr>
        <w:t>实施更加严格</w:t>
      </w:r>
      <w:r>
        <w:rPr>
          <w:rFonts w:hint="eastAsia" w:ascii="Times New Roman" w:hAnsi="Times New Roman" w:eastAsia="仿宋_GB2312"/>
          <w:sz w:val="32"/>
          <w:highlight w:val="none"/>
          <w:lang w:eastAsia="zh-CN"/>
        </w:rPr>
        <w:t>地</w:t>
      </w:r>
      <w:r>
        <w:rPr>
          <w:rFonts w:hint="eastAsia" w:ascii="Times New Roman" w:hAnsi="Times New Roman" w:eastAsia="仿宋_GB2312"/>
          <w:sz w:val="32"/>
          <w:highlight w:val="none"/>
        </w:rPr>
        <w:t>保护和管理，确保基本草原面积不减少、质量不下降、用途不改变。严厉打击、坚决遏制各类非法挤占草原生态空间、乱开滥垦草原等行为。加强矿藏开采、工程建设等征占用草原审核审批管理，强化源头管控和事中事后监管。完善落实禁牧休牧和草畜平衡制度，依法查处超载过牧和禁牧休牧期违规放牧行为。</w:t>
      </w:r>
    </w:p>
    <w:p w14:paraId="3C5B8ABF">
      <w:pPr>
        <w:pStyle w:val="9"/>
        <w:overflowPunct w:val="0"/>
        <w:ind w:firstLine="640" w:firstLineChars="200"/>
        <w:rPr>
          <w:rFonts w:eastAsia="仿宋_GB2312" w:asciiTheme="minorHAnsi" w:hAnsiTheme="minorHAnsi"/>
          <w:sz w:val="32"/>
          <w:highlight w:val="none"/>
        </w:rPr>
      </w:pPr>
      <w:r>
        <w:rPr>
          <w:rFonts w:hint="eastAsia" w:ascii="Times New Roman" w:hAnsi="Times New Roman" w:eastAsia="仿宋_GB2312" w:cs="Times New Roman"/>
          <w:kern w:val="2"/>
          <w:sz w:val="32"/>
          <w:szCs w:val="24"/>
          <w:highlight w:val="none"/>
          <w:lang w:val="en-US" w:eastAsia="zh-CN" w:bidi="ar-SA"/>
        </w:rPr>
        <w:t>加快推进天然、人工牧草地</w:t>
      </w:r>
      <w:r>
        <w:rPr>
          <w:rFonts w:hint="eastAsia" w:eastAsia="仿宋_GB2312" w:cs="Times New Roman"/>
          <w:kern w:val="2"/>
          <w:sz w:val="32"/>
          <w:szCs w:val="24"/>
          <w:highlight w:val="none"/>
          <w:lang w:val="en-US" w:eastAsia="zh-CN" w:bidi="ar-SA"/>
        </w:rPr>
        <w:t>恢</w:t>
      </w:r>
      <w:r>
        <w:rPr>
          <w:rFonts w:hint="eastAsia" w:ascii="Times New Roman" w:hAnsi="Times New Roman" w:eastAsia="仿宋_GB2312" w:cs="Times New Roman"/>
          <w:kern w:val="2"/>
          <w:sz w:val="32"/>
          <w:szCs w:val="24"/>
          <w:highlight w:val="none"/>
          <w:lang w:val="en-US" w:eastAsia="zh-CN" w:bidi="ar-SA"/>
        </w:rPr>
        <w:t>复。加快退化草原植被和土壤恢复，提升草原生态功能和生产功能。在水土条件适宜地区，实施退化草原生态修复，鼓励和支持人工草地建设，恢复提升草原生产能力，支持优质储备饲草基地建设，促进草原生态修复与草原畜牧业高质量发展有机融合。强化草原生物灾害监测预警，加强草原有害生物及外来入侵物种防治，不断提高绿色防治水平。</w:t>
      </w:r>
    </w:p>
    <w:bookmarkEnd w:id="69"/>
    <w:p w14:paraId="2D310C16">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加强生物多样性保护</w:t>
      </w:r>
    </w:p>
    <w:p w14:paraId="5C4E03F7">
      <w:pPr>
        <w:pStyle w:val="9"/>
        <w:overflowPunct w:val="0"/>
        <w:ind w:firstLine="640" w:firstLineChars="200"/>
        <w:rPr>
          <w:rFonts w:eastAsia="仿宋_GB2312" w:asciiTheme="minorHAnsi" w:hAnsiTheme="minorHAnsi"/>
          <w:sz w:val="32"/>
          <w:highlight w:val="none"/>
        </w:rPr>
      </w:pPr>
      <w:bookmarkStart w:id="70" w:name="_Hlk175290552"/>
      <w:r>
        <w:rPr>
          <w:rFonts w:hint="eastAsia" w:eastAsia="仿宋_GB2312" w:asciiTheme="minorHAnsi" w:hAnsiTheme="minorHAnsi"/>
          <w:sz w:val="32"/>
          <w:highlight w:val="none"/>
        </w:rPr>
        <w:t>加强对生物多样性重点地区的自然生态系统原真性、完整性保护工作。保护和修复珍稀濒危野生动植物重要栖息地，构建以陆生野生动物和候鸟迁徙廊道为连通的生物多样性保护网络</w:t>
      </w:r>
      <w:bookmarkEnd w:id="70"/>
      <w:r>
        <w:rPr>
          <w:rFonts w:hint="eastAsia" w:eastAsia="仿宋_GB2312" w:asciiTheme="minorHAnsi" w:hAnsiTheme="minorHAnsi"/>
          <w:sz w:val="32"/>
          <w:highlight w:val="none"/>
        </w:rPr>
        <w:t>。</w:t>
      </w:r>
    </w:p>
    <w:p w14:paraId="0DA1D5F6">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矿产资源保护与利用</w:t>
      </w:r>
    </w:p>
    <w:p w14:paraId="0A55BD8D">
      <w:pPr>
        <w:pStyle w:val="17"/>
        <w:ind w:firstLine="640"/>
        <w:rPr>
          <w:rFonts w:ascii="Times New Roman" w:hAnsi="Times New Roman"/>
          <w:sz w:val="32"/>
          <w:szCs w:val="32"/>
          <w:highlight w:val="none"/>
        </w:rPr>
      </w:pPr>
      <w:bookmarkStart w:id="71" w:name="_Hlk175296746"/>
      <w:r>
        <w:rPr>
          <w:rFonts w:ascii="Times New Roman" w:hAnsi="Times New Roman"/>
          <w:sz w:val="32"/>
          <w:szCs w:val="32"/>
          <w:highlight w:val="none"/>
        </w:rPr>
        <w:t>矿产资源供给与保障能力进一步提升；矿产资源开发利用结构和布局进一步优化；主要矿产资源节约集约利用水平有效提升；矿产资源领域治理体系和治理能力得到进一步完善；矿业产业与经济社会、生态文明协调发展的新格局基本建成</w:t>
      </w:r>
      <w:bookmarkEnd w:id="71"/>
      <w:r>
        <w:rPr>
          <w:rFonts w:ascii="Times New Roman" w:hAnsi="Times New Roman"/>
          <w:sz w:val="32"/>
          <w:szCs w:val="32"/>
          <w:highlight w:val="none"/>
        </w:rPr>
        <w:t>。</w:t>
      </w:r>
    </w:p>
    <w:p w14:paraId="7F8DD231">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绿色矿山建设</w:t>
      </w:r>
    </w:p>
    <w:p w14:paraId="0DB3F656">
      <w:pPr>
        <w:keepNext w:val="0"/>
        <w:keepLines w:val="0"/>
        <w:pageBreakBefore w:val="0"/>
        <w:widowControl w:val="0"/>
        <w:kinsoku/>
        <w:wordWrap/>
        <w:overflowPunct/>
        <w:topLinePunct w:val="0"/>
        <w:autoSpaceDE/>
        <w:autoSpaceDN/>
        <w:bidi w:val="0"/>
        <w:adjustRightInd/>
        <w:snapToGrid/>
        <w:spacing w:line="360" w:lineRule="auto"/>
        <w:ind w:firstLine="616"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bookmarkStart w:id="72" w:name="_Hlk175296766"/>
      <w:r>
        <w:rPr>
          <w:rFonts w:hint="default" w:ascii="Times New Roman" w:hAnsi="Times New Roman" w:eastAsia="仿宋_GB2312" w:cs="Times New Roman"/>
          <w:color w:val="auto"/>
          <w:spacing w:val="-6"/>
          <w:sz w:val="32"/>
          <w:szCs w:val="32"/>
          <w:highlight w:val="none"/>
          <w:u w:val="none"/>
          <w:lang w:val="en-US" w:eastAsia="zh-CN"/>
        </w:rPr>
        <w:t>围绕桦川县域矿产资源勘查开发区域布局，依据</w:t>
      </w:r>
      <w:r>
        <w:rPr>
          <w:rFonts w:hint="eastAsia" w:ascii="Times New Roman" w:hAnsi="Times New Roman" w:cs="Times New Roman"/>
          <w:color w:val="auto"/>
          <w:spacing w:val="-6"/>
          <w:sz w:val="32"/>
          <w:szCs w:val="32"/>
          <w:highlight w:val="none"/>
          <w:u w:val="none"/>
          <w:lang w:val="en-US" w:eastAsia="zh-CN"/>
        </w:rPr>
        <w:t>红兴隆分局（桦川境内）农场</w:t>
      </w:r>
      <w:r>
        <w:rPr>
          <w:rFonts w:hint="default" w:ascii="Times New Roman" w:hAnsi="Times New Roman" w:eastAsia="仿宋_GB2312" w:cs="Times New Roman"/>
          <w:color w:val="auto"/>
          <w:spacing w:val="-6"/>
          <w:sz w:val="32"/>
          <w:szCs w:val="32"/>
          <w:highlight w:val="none"/>
          <w:u w:val="none"/>
          <w:lang w:val="en-US" w:eastAsia="zh-CN"/>
        </w:rPr>
        <w:t>矿山开发利用实际情况。推进绿色矿山建设，实行清洁生产，消除污染，美化环境。</w:t>
      </w:r>
      <w:bookmarkEnd w:id="72"/>
    </w:p>
    <w:p w14:paraId="349FD19C">
      <w:pPr>
        <w:pStyle w:val="31"/>
        <w:spacing w:before="156" w:beforeLines="50" w:after="156" w:afterLines="50" w:line="600" w:lineRule="atLeast"/>
        <w:ind w:firstLine="0" w:firstLineChars="0"/>
        <w:rPr>
          <w:rFonts w:hint="default" w:ascii="Times New Roman" w:hAnsi="Times New Roman" w:cs="Times New Roman"/>
          <w:highlight w:val="none"/>
          <w:lang w:val="en-US" w:eastAsia="zh-CN"/>
        </w:rPr>
      </w:pPr>
      <w:bookmarkStart w:id="73" w:name="_Toc23912"/>
      <w:bookmarkStart w:id="74" w:name="_Toc32616"/>
      <w:r>
        <w:rPr>
          <w:rFonts w:hint="eastAsia" w:ascii="Times New Roman" w:hAnsi="Times New Roman" w:cs="Times New Roman"/>
          <w:highlight w:val="none"/>
        </w:rPr>
        <w:t>第</w:t>
      </w:r>
      <w:r>
        <w:rPr>
          <w:rFonts w:hint="eastAsia" w:cs="Times New Roman"/>
          <w:highlight w:val="none"/>
          <w:lang w:val="en-US" w:eastAsia="zh-CN"/>
        </w:rPr>
        <w:t>三</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构建农场空间开发格局</w:t>
      </w:r>
      <w:bookmarkEnd w:id="73"/>
    </w:p>
    <w:p w14:paraId="7F53BD5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cs="Times New Roman"/>
          <w:b/>
          <w:bCs w:val="0"/>
          <w:highlight w:val="none"/>
          <w:lang w:val="en-US" w:eastAsia="zh-CN"/>
        </w:rPr>
        <w:t>农场</w:t>
      </w:r>
      <w:r>
        <w:rPr>
          <w:rFonts w:hint="eastAsia" w:ascii="Times New Roman" w:hAnsi="Times New Roman" w:eastAsia="楷体_GB2312" w:cs="Times New Roman"/>
          <w:b/>
          <w:bCs w:val="0"/>
          <w:highlight w:val="none"/>
          <w:lang w:val="en-US" w:eastAsia="zh-CN"/>
        </w:rPr>
        <w:t>发展格局</w:t>
      </w:r>
    </w:p>
    <w:p w14:paraId="660944DE">
      <w:pPr>
        <w:pStyle w:val="17"/>
        <w:ind w:firstLine="640"/>
        <w:rPr>
          <w:rFonts w:hint="eastAsia"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规划构建场域“一核、一轴、多管理区”的城镇发展格局。</w:t>
      </w:r>
    </w:p>
    <w:p w14:paraId="1AFABA45">
      <w:pPr>
        <w:pStyle w:val="17"/>
        <w:ind w:firstLine="640"/>
        <w:rPr>
          <w:rFonts w:hint="default"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“一核”。场域发展核：以农场场部为综合服务中心，引领全域发展。</w:t>
      </w:r>
    </w:p>
    <w:p w14:paraId="69EA94F4">
      <w:pPr>
        <w:pStyle w:val="17"/>
        <w:ind w:firstLine="640"/>
        <w:rPr>
          <w:rFonts w:hint="eastAsia"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“一轴”。以公路为依托，依托国道G102形成的公路发展轴。</w:t>
      </w:r>
    </w:p>
    <w:p w14:paraId="6657EA33">
      <w:pPr>
        <w:pStyle w:val="17"/>
        <w:ind w:firstLine="640"/>
        <w:rPr>
          <w:rFonts w:hint="eastAsia" w:ascii="Times New Roman" w:hAnsi="Times New Roman" w:cs="Times New Roman"/>
          <w:sz w:val="32"/>
          <w:szCs w:val="32"/>
          <w:highlight w:val="none"/>
          <w:lang w:val="en-US" w:eastAsia="zh-CN"/>
        </w:rPr>
      </w:pPr>
      <w:r>
        <w:rPr>
          <w:rFonts w:hint="eastAsia" w:ascii="Times New Roman" w:hAnsi="Times New Roman" w:cs="Times New Roman"/>
          <w:sz w:val="32"/>
          <w:szCs w:val="32"/>
          <w:highlight w:val="none"/>
          <w:lang w:val="en-US" w:eastAsia="zh-CN"/>
        </w:rPr>
        <w:t>“多管理区”。是指红兴隆分局（桦川境内）农场除江川农场场部外的管理区。</w:t>
      </w:r>
    </w:p>
    <w:p w14:paraId="6C3977B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构建农场管理区等级体系</w:t>
      </w:r>
    </w:p>
    <w:p w14:paraId="478E8436">
      <w:pPr>
        <w:spacing w:line="600" w:lineRule="atLeast"/>
        <w:ind w:firstLine="640" w:firstLineChars="200"/>
        <w:rPr>
          <w:rFonts w:ascii="Times New Roman" w:hAnsi="Times New Roman" w:cs="Times New Roman"/>
          <w:szCs w:val="32"/>
          <w:u w:val="none"/>
        </w:rPr>
      </w:pPr>
      <w:r>
        <w:rPr>
          <w:rFonts w:ascii="Times New Roman" w:hAnsi="Times New Roman" w:cs="Times New Roman"/>
          <w:szCs w:val="32"/>
          <w:u w:val="none"/>
        </w:rPr>
        <w:t>综合考虑</w:t>
      </w:r>
      <w:r>
        <w:rPr>
          <w:rFonts w:hint="eastAsia" w:ascii="Times New Roman" w:hAnsi="Times New Roman" w:cs="Times New Roman"/>
          <w:szCs w:val="32"/>
          <w:u w:val="none"/>
          <w:lang w:val="en-US" w:eastAsia="zh-CN"/>
        </w:rPr>
        <w:t>农场</w:t>
      </w:r>
      <w:r>
        <w:rPr>
          <w:rFonts w:ascii="Times New Roman" w:hAnsi="Times New Roman" w:cs="Times New Roman"/>
          <w:szCs w:val="32"/>
          <w:u w:val="none"/>
        </w:rPr>
        <w:t>当地人口规模、经济职能等因素，同时结合乡村振兴战略要求，在</w:t>
      </w:r>
      <w:r>
        <w:rPr>
          <w:rFonts w:hint="eastAsia" w:ascii="Times New Roman" w:hAnsi="Times New Roman" w:cs="Times New Roman"/>
          <w:szCs w:val="32"/>
          <w:u w:val="none"/>
          <w:lang w:val="en-US" w:eastAsia="zh-CN"/>
        </w:rPr>
        <w:t>农场</w:t>
      </w:r>
      <w:r>
        <w:rPr>
          <w:rFonts w:ascii="Times New Roman" w:hAnsi="Times New Roman" w:cs="Times New Roman"/>
          <w:szCs w:val="32"/>
          <w:u w:val="none"/>
        </w:rPr>
        <w:t>分类调整的基础上规划形成</w:t>
      </w:r>
      <w:r>
        <w:rPr>
          <w:rFonts w:hint="eastAsia" w:ascii="Times New Roman" w:hAnsi="Times New Roman" w:cs="Times New Roman"/>
          <w:szCs w:val="32"/>
          <w:u w:val="none"/>
        </w:rPr>
        <w:t>场域中心、重点建设管理区</w:t>
      </w:r>
      <w:r>
        <w:rPr>
          <w:rFonts w:hint="eastAsia" w:ascii="Times New Roman" w:hAnsi="Times New Roman" w:cs="Times New Roman"/>
          <w:szCs w:val="32"/>
          <w:u w:val="none"/>
          <w:lang w:eastAsia="zh-CN"/>
        </w:rPr>
        <w:t>、</w:t>
      </w:r>
      <w:r>
        <w:rPr>
          <w:rFonts w:hint="eastAsia" w:ascii="Times New Roman" w:hAnsi="Times New Roman" w:cs="Times New Roman"/>
          <w:szCs w:val="32"/>
          <w:u w:val="none"/>
          <w:lang w:val="en-US" w:eastAsia="zh-CN"/>
        </w:rPr>
        <w:t>一般管理区、基层村四级</w:t>
      </w:r>
      <w:r>
        <w:rPr>
          <w:rFonts w:ascii="Times New Roman" w:hAnsi="Times New Roman" w:cs="Times New Roman"/>
          <w:szCs w:val="32"/>
          <w:u w:val="none"/>
        </w:rPr>
        <w:t>等级体系：</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1"/>
        <w:gridCol w:w="6168"/>
      </w:tblGrid>
      <w:tr w14:paraId="32FE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5000" w:type="pct"/>
            <w:gridSpan w:val="2"/>
            <w:vAlign w:val="center"/>
          </w:tcPr>
          <w:p w14:paraId="5CD2D297">
            <w:pPr>
              <w:pStyle w:val="18"/>
              <w:pageBreakBefore w:val="0"/>
              <w:overflowPunct/>
              <w:bidi w:val="0"/>
              <w:adjustRightInd/>
              <w:spacing w:line="600" w:lineRule="atLeast"/>
              <w:rPr>
                <w:rFonts w:hint="eastAsia" w:ascii="Times New Roman" w:hAnsi="Times New Roman" w:cs="Times New Roman"/>
                <w:b w:val="0"/>
                <w:bCs w:val="0"/>
                <w:color w:val="auto"/>
                <w:sz w:val="24"/>
                <w:highlight w:val="none"/>
                <w:lang w:val="en-US" w:eastAsia="zh-CN"/>
              </w:rPr>
            </w:pPr>
            <w:r>
              <w:rPr>
                <w:rFonts w:hint="default" w:ascii="黑体" w:hAnsi="黑体" w:eastAsia="黑体" w:cs="黑体"/>
                <w:kern w:val="2"/>
                <w:sz w:val="30"/>
                <w:szCs w:val="30"/>
                <w:lang w:val="en-US" w:eastAsia="zh-CN" w:bidi="ar-SA"/>
              </w:rPr>
              <w:t>专栏</w:t>
            </w:r>
            <w:r>
              <w:rPr>
                <w:rFonts w:hint="eastAsia" w:ascii="黑体" w:hAnsi="黑体" w:eastAsia="黑体" w:cs="黑体"/>
                <w:kern w:val="2"/>
                <w:sz w:val="30"/>
                <w:szCs w:val="30"/>
                <w:lang w:val="en-US" w:eastAsia="zh-CN" w:bidi="ar-SA"/>
              </w:rPr>
              <w:t>2：镇村等级体系</w:t>
            </w:r>
            <w:r>
              <w:rPr>
                <w:rFonts w:hint="default" w:ascii="黑体" w:hAnsi="黑体" w:eastAsia="黑体" w:cs="黑体"/>
                <w:kern w:val="2"/>
                <w:sz w:val="30"/>
                <w:szCs w:val="30"/>
                <w:lang w:val="en-US" w:eastAsia="zh-CN" w:bidi="ar-SA"/>
              </w:rPr>
              <w:t>一览表</w:t>
            </w:r>
          </w:p>
        </w:tc>
      </w:tr>
      <w:tr w14:paraId="06E4C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720A6D75">
            <w:pPr>
              <w:numPr>
                <w:ilvl w:val="0"/>
                <w:numId w:val="0"/>
              </w:numPr>
              <w:autoSpaceDE w:val="0"/>
              <w:autoSpaceDN w:val="0"/>
              <w:spacing w:line="240" w:lineRule="auto"/>
              <w:jc w:val="cente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等级</w:t>
            </w:r>
          </w:p>
        </w:tc>
        <w:tc>
          <w:tcPr>
            <w:tcW w:w="3619" w:type="pct"/>
            <w:vAlign w:val="center"/>
          </w:tcPr>
          <w:p w14:paraId="429FF931">
            <w:pPr>
              <w:numPr>
                <w:ilvl w:val="0"/>
                <w:numId w:val="0"/>
              </w:numPr>
              <w:autoSpaceDE w:val="0"/>
              <w:autoSpaceDN w:val="0"/>
              <w:spacing w:line="240" w:lineRule="auto"/>
              <w:jc w:val="cente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名称</w:t>
            </w:r>
          </w:p>
        </w:tc>
      </w:tr>
      <w:tr w14:paraId="01AD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4F25F6FC">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场域中心</w:t>
            </w:r>
          </w:p>
        </w:tc>
        <w:tc>
          <w:tcPr>
            <w:tcW w:w="3619" w:type="pct"/>
            <w:vAlign w:val="center"/>
          </w:tcPr>
          <w:p w14:paraId="3787502D">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江川农场场部</w:t>
            </w:r>
          </w:p>
        </w:tc>
      </w:tr>
      <w:tr w14:paraId="1677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1380" w:type="pct"/>
            <w:vAlign w:val="center"/>
          </w:tcPr>
          <w:p w14:paraId="4ED52138">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重点管理区</w:t>
            </w:r>
          </w:p>
        </w:tc>
        <w:tc>
          <w:tcPr>
            <w:tcW w:w="3619" w:type="pct"/>
            <w:vAlign w:val="center"/>
          </w:tcPr>
          <w:p w14:paraId="563F485A">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江川农场（第一管理区、第三管理区、第四管理区）</w:t>
            </w:r>
          </w:p>
        </w:tc>
      </w:tr>
      <w:tr w14:paraId="5628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exact"/>
        </w:trPr>
        <w:tc>
          <w:tcPr>
            <w:tcW w:w="1380" w:type="pct"/>
            <w:vAlign w:val="center"/>
          </w:tcPr>
          <w:p w14:paraId="1FE8B1C2">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一般管理区</w:t>
            </w:r>
          </w:p>
        </w:tc>
        <w:tc>
          <w:tcPr>
            <w:tcW w:w="3619" w:type="pct"/>
            <w:vAlign w:val="center"/>
          </w:tcPr>
          <w:p w14:paraId="5346A351">
            <w:pPr>
              <w:numPr>
                <w:ilvl w:val="0"/>
                <w:numId w:val="0"/>
              </w:numPr>
              <w:autoSpaceDE w:val="0"/>
              <w:autoSpaceDN w:val="0"/>
              <w:spacing w:line="240" w:lineRule="auto"/>
              <w:jc w:val="cente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江川农场（第二管理区、第五管理区、第六管理区）</w:t>
            </w:r>
          </w:p>
          <w:p w14:paraId="4F672777">
            <w:pPr>
              <w:numPr>
                <w:ilvl w:val="0"/>
                <w:numId w:val="0"/>
              </w:numPr>
              <w:autoSpaceDE w:val="0"/>
              <w:autoSpaceDN w:val="0"/>
              <w:spacing w:line="240" w:lineRule="auto"/>
              <w:jc w:val="cente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宝山农场（第一作业站、第二作业站）</w:t>
            </w:r>
          </w:p>
          <w:p w14:paraId="68D3BA0F">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二九一农场（第七管理区、第八管理区、第九管理区、第十管理区、第十一管理区）</w:t>
            </w:r>
          </w:p>
        </w:tc>
      </w:tr>
      <w:tr w14:paraId="596B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trPr>
        <w:tc>
          <w:tcPr>
            <w:tcW w:w="1380" w:type="pct"/>
            <w:vAlign w:val="center"/>
          </w:tcPr>
          <w:p w14:paraId="298D959B">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基层村</w:t>
            </w:r>
          </w:p>
        </w:tc>
        <w:tc>
          <w:tcPr>
            <w:tcW w:w="3619" w:type="pct"/>
            <w:vAlign w:val="center"/>
          </w:tcPr>
          <w:p w14:paraId="74930D56">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腰林子村（权属位于悦来镇）</w:t>
            </w:r>
          </w:p>
        </w:tc>
      </w:tr>
    </w:tbl>
    <w:p w14:paraId="23039E50">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优化农场职能分工</w:t>
      </w:r>
    </w:p>
    <w:p w14:paraId="4999256D">
      <w:pPr>
        <w:pStyle w:val="29"/>
        <w:spacing w:line="600" w:lineRule="atLeast"/>
        <w:ind w:firstLine="640"/>
      </w:pPr>
      <w:r>
        <w:rPr>
          <w:rFonts w:ascii="Times New Roman" w:hAnsi="Times New Roman" w:eastAsia="仿宋_GB2312" w:cs="Times New Roman"/>
          <w:kern w:val="2"/>
          <w:sz w:val="32"/>
          <w:szCs w:val="32"/>
          <w:highlight w:val="none"/>
          <w:lang w:val="en-US" w:eastAsia="zh-CN" w:bidi="ar-SA"/>
        </w:rPr>
        <w:t>结合现状城镇职能特点，划分</w:t>
      </w:r>
      <w:r>
        <w:rPr>
          <w:rFonts w:hint="eastAsia" w:ascii="Times New Roman" w:hAnsi="Times New Roman" w:eastAsia="仿宋_GB2312" w:cs="Times New Roman"/>
          <w:kern w:val="2"/>
          <w:sz w:val="32"/>
          <w:szCs w:val="32"/>
          <w:highlight w:val="none"/>
          <w:lang w:val="en-US" w:eastAsia="zh-CN" w:bidi="ar-SA"/>
        </w:rPr>
        <w:t>农场</w:t>
      </w:r>
      <w:r>
        <w:rPr>
          <w:rFonts w:ascii="Times New Roman" w:hAnsi="Times New Roman" w:eastAsia="仿宋_GB2312" w:cs="Times New Roman"/>
          <w:kern w:val="2"/>
          <w:sz w:val="32"/>
          <w:szCs w:val="32"/>
          <w:highlight w:val="none"/>
          <w:lang w:val="en-US" w:eastAsia="zh-CN" w:bidi="ar-SA"/>
        </w:rPr>
        <w:t>职能分工为综合服务型，农业生产型、农旅融合型三类。其中，综合服务型</w:t>
      </w:r>
      <w:r>
        <w:rPr>
          <w:rFonts w:hint="eastAsia" w:ascii="Times New Roman" w:hAnsi="Times New Roman" w:eastAsia="仿宋_GB2312" w:cs="Times New Roman"/>
          <w:kern w:val="2"/>
          <w:sz w:val="32"/>
          <w:szCs w:val="32"/>
          <w:highlight w:val="none"/>
          <w:lang w:val="en-US" w:eastAsia="zh-CN" w:bidi="ar-SA"/>
        </w:rPr>
        <w:t>场部</w:t>
      </w:r>
      <w:r>
        <w:rPr>
          <w:rFonts w:ascii="Times New Roman" w:hAnsi="Times New Roman" w:eastAsia="仿宋_GB2312" w:cs="Times New Roman"/>
          <w:kern w:val="2"/>
          <w:sz w:val="32"/>
          <w:szCs w:val="32"/>
          <w:highlight w:val="none"/>
          <w:lang w:val="en-US" w:eastAsia="zh-CN" w:bidi="ar-SA"/>
        </w:rPr>
        <w:t>是完善江川农场服务配套的重要节点与承载产业转型发展</w:t>
      </w:r>
      <w:r>
        <w:t>的战略要地，农业生产型</w:t>
      </w:r>
      <w:r>
        <w:rPr>
          <w:rFonts w:hint="eastAsia"/>
          <w:lang w:val="en-US" w:eastAsia="zh-CN"/>
        </w:rPr>
        <w:t>管理区</w:t>
      </w:r>
      <w:r>
        <w:t>是以种植业和畜牧业为主的现代农业种养示范基地，农旅融合型</w:t>
      </w:r>
      <w:r>
        <w:rPr>
          <w:rFonts w:hint="eastAsia"/>
          <w:lang w:val="en-US" w:eastAsia="zh-CN"/>
        </w:rPr>
        <w:t>管理区</w:t>
      </w:r>
      <w:r>
        <w:t>是推动休闲农业和乡村旅游蓬勃发展的重要依托。</w:t>
      </w:r>
    </w:p>
    <w:tbl>
      <w:tblPr>
        <w:tblStyle w:val="2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1"/>
        <w:gridCol w:w="6168"/>
      </w:tblGrid>
      <w:tr w14:paraId="1E96C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vAlign w:val="center"/>
          </w:tcPr>
          <w:p w14:paraId="56D200ED">
            <w:pPr>
              <w:pStyle w:val="18"/>
              <w:pageBreakBefore w:val="0"/>
              <w:overflowPunct/>
              <w:bidi w:val="0"/>
              <w:adjustRightInd/>
              <w:spacing w:line="600" w:lineRule="atLeast"/>
              <w:rPr>
                <w:rFonts w:hint="eastAsia" w:ascii="Times New Roman" w:hAnsi="Times New Roman" w:cs="Times New Roman"/>
                <w:sz w:val="24"/>
                <w:highlight w:val="none"/>
                <w:lang w:val="en-US" w:eastAsia="zh-CN"/>
              </w:rPr>
            </w:pPr>
            <w:r>
              <w:rPr>
                <w:rFonts w:hint="default" w:ascii="黑体" w:hAnsi="黑体" w:eastAsia="黑体" w:cs="黑体"/>
                <w:kern w:val="2"/>
                <w:sz w:val="30"/>
                <w:szCs w:val="30"/>
                <w:lang w:val="en-US" w:eastAsia="zh-CN" w:bidi="ar-SA"/>
              </w:rPr>
              <w:t>专栏</w:t>
            </w:r>
            <w:r>
              <w:rPr>
                <w:rFonts w:hint="eastAsia" w:ascii="黑体" w:hAnsi="黑体" w:eastAsia="黑体" w:cs="黑体"/>
                <w:kern w:val="2"/>
                <w:sz w:val="30"/>
                <w:szCs w:val="30"/>
                <w:lang w:val="en-US" w:eastAsia="zh-CN" w:bidi="ar-SA"/>
              </w:rPr>
              <w:t>3：</w:t>
            </w:r>
            <w:r>
              <w:rPr>
                <w:rFonts w:hint="eastAsia" w:ascii="Times New Roman" w:hAnsi="Times New Roman" w:eastAsia="黑体" w:cs="Times New Roman"/>
                <w:b w:val="0"/>
                <w:bCs w:val="0"/>
                <w:color w:val="auto"/>
                <w:sz w:val="30"/>
                <w:szCs w:val="30"/>
                <w:highlight w:val="none"/>
                <w:lang w:val="en-US" w:eastAsia="zh-CN"/>
              </w:rPr>
              <w:t>农场</w:t>
            </w:r>
            <w:r>
              <w:rPr>
                <w:rFonts w:hint="default" w:ascii="Times New Roman" w:hAnsi="Times New Roman" w:eastAsia="黑体" w:cs="Times New Roman"/>
                <w:b w:val="0"/>
                <w:bCs w:val="0"/>
                <w:color w:val="auto"/>
                <w:sz w:val="30"/>
                <w:szCs w:val="30"/>
                <w:highlight w:val="none"/>
              </w:rPr>
              <w:t>职能</w:t>
            </w:r>
            <w:r>
              <w:rPr>
                <w:rFonts w:hint="eastAsia" w:ascii="Times New Roman" w:hAnsi="Times New Roman" w:eastAsia="黑体" w:cs="Times New Roman"/>
                <w:b w:val="0"/>
                <w:bCs w:val="0"/>
                <w:color w:val="auto"/>
                <w:sz w:val="30"/>
                <w:szCs w:val="30"/>
                <w:highlight w:val="none"/>
                <w:lang w:val="en-US" w:eastAsia="zh-CN"/>
              </w:rPr>
              <w:t>分工</w:t>
            </w:r>
            <w:r>
              <w:rPr>
                <w:rFonts w:hint="default" w:ascii="Times New Roman" w:hAnsi="Times New Roman" w:eastAsia="黑体" w:cs="Times New Roman"/>
                <w:b w:val="0"/>
                <w:bCs w:val="0"/>
                <w:color w:val="auto"/>
                <w:sz w:val="30"/>
                <w:szCs w:val="30"/>
                <w:highlight w:val="none"/>
              </w:rPr>
              <w:t>一览表</w:t>
            </w:r>
          </w:p>
        </w:tc>
      </w:tr>
      <w:tr w14:paraId="4447F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69467482">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职能类型</w:t>
            </w:r>
          </w:p>
        </w:tc>
        <w:tc>
          <w:tcPr>
            <w:tcW w:w="3619" w:type="pct"/>
            <w:vAlign w:val="center"/>
          </w:tcPr>
          <w:p w14:paraId="14B7EAF9">
            <w:pPr>
              <w:numPr>
                <w:ilvl w:val="0"/>
                <w:numId w:val="0"/>
              </w:numPr>
              <w:autoSpaceDE w:val="0"/>
              <w:autoSpaceDN w:val="0"/>
              <w:spacing w:line="240" w:lineRule="auto"/>
              <w:jc w:val="center"/>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名称</w:t>
            </w:r>
          </w:p>
        </w:tc>
      </w:tr>
      <w:tr w14:paraId="4265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114365E8">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综合</w:t>
            </w:r>
            <w:r>
              <w:rPr>
                <w:rFonts w:hint="eastAsia" w:ascii="Times New Roman" w:hAnsi="Times New Roman" w:cs="Times New Roman"/>
                <w:sz w:val="24"/>
                <w:highlight w:val="none"/>
                <w:lang w:val="en-US" w:eastAsia="zh-CN"/>
              </w:rPr>
              <w:t>服务</w:t>
            </w:r>
            <w:r>
              <w:rPr>
                <w:rFonts w:hint="default" w:ascii="Times New Roman" w:hAnsi="Times New Roman" w:cs="Times New Roman"/>
                <w:sz w:val="24"/>
                <w:highlight w:val="none"/>
                <w:lang w:val="en-US" w:eastAsia="zh-CN"/>
              </w:rPr>
              <w:t>型</w:t>
            </w:r>
          </w:p>
        </w:tc>
        <w:tc>
          <w:tcPr>
            <w:tcW w:w="3619" w:type="pct"/>
            <w:vAlign w:val="center"/>
          </w:tcPr>
          <w:p w14:paraId="5AC6643A">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江川农场场部</w:t>
            </w:r>
          </w:p>
        </w:tc>
      </w:tr>
      <w:tr w14:paraId="2EBDE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577635AA">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农业生产</w:t>
            </w:r>
            <w:r>
              <w:rPr>
                <w:rFonts w:hint="default" w:ascii="Times New Roman" w:hAnsi="Times New Roman" w:cs="Times New Roman"/>
                <w:sz w:val="24"/>
                <w:highlight w:val="none"/>
                <w:lang w:val="en-US" w:eastAsia="zh-CN"/>
              </w:rPr>
              <w:t>型</w:t>
            </w:r>
          </w:p>
        </w:tc>
        <w:tc>
          <w:tcPr>
            <w:tcW w:w="3619" w:type="pct"/>
            <w:vAlign w:val="center"/>
          </w:tcPr>
          <w:p w14:paraId="5CBF36EC">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第一管理区、第二管理区、第三管理区、第五管理区、第六管理区）；二九一农场（第七管理区、第八管理区、第九管理区、第十管理区、第十一管理区）；宝山农场（第一作业站、第二作业站），腰林子村（权属位于悦来镇）</w:t>
            </w:r>
          </w:p>
        </w:tc>
      </w:tr>
      <w:tr w14:paraId="7A70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380" w:type="pct"/>
            <w:vAlign w:val="center"/>
          </w:tcPr>
          <w:p w14:paraId="6BB8FFDC">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农</w:t>
            </w:r>
            <w:r>
              <w:rPr>
                <w:rFonts w:hint="default" w:ascii="Times New Roman" w:hAnsi="Times New Roman" w:cs="Times New Roman"/>
                <w:sz w:val="24"/>
                <w:highlight w:val="none"/>
                <w:lang w:val="en-US" w:eastAsia="zh-CN"/>
              </w:rPr>
              <w:t>旅融合型</w:t>
            </w:r>
          </w:p>
        </w:tc>
        <w:tc>
          <w:tcPr>
            <w:tcW w:w="3619" w:type="pct"/>
            <w:vAlign w:val="center"/>
          </w:tcPr>
          <w:p w14:paraId="510AEC63">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江川农场（第四管理区）</w:t>
            </w:r>
          </w:p>
        </w:tc>
      </w:tr>
      <w:bookmarkEnd w:id="74"/>
    </w:tbl>
    <w:p w14:paraId="49654C31">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落实城镇开发边界</w:t>
      </w:r>
    </w:p>
    <w:p w14:paraId="4E28E22C">
      <w:pPr>
        <w:pStyle w:val="29"/>
        <w:spacing w:line="600" w:lineRule="atLeast"/>
        <w:ind w:firstLine="640"/>
        <w:rPr>
          <w:rFonts w:hint="eastAsia"/>
          <w:szCs w:val="32"/>
          <w:u w:val="single"/>
        </w:rPr>
      </w:pPr>
      <w:r>
        <w:rPr>
          <w:rFonts w:hint="eastAsia"/>
          <w:szCs w:val="32"/>
          <w:u w:val="single"/>
        </w:rPr>
        <w:t>落实县级规划城镇开发边界的规模与管控要求，优化城镇布局</w:t>
      </w:r>
      <w:r>
        <w:rPr>
          <w:rFonts w:hint="eastAsia"/>
          <w:szCs w:val="32"/>
          <w:u w:val="single"/>
          <w:lang w:eastAsia="zh-CN"/>
        </w:rPr>
        <w:t>，</w:t>
      </w:r>
      <w:r>
        <w:rPr>
          <w:rFonts w:hint="eastAsia"/>
          <w:szCs w:val="32"/>
          <w:u w:val="single"/>
        </w:rPr>
        <w:t>促进城镇空间集约高效。</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5"/>
        <w:gridCol w:w="1745"/>
        <w:gridCol w:w="5812"/>
      </w:tblGrid>
      <w:tr w14:paraId="0E3ED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5000" w:type="pct"/>
            <w:gridSpan w:val="3"/>
            <w:shd w:val="clear" w:color="auto" w:fill="auto"/>
            <w:vAlign w:val="center"/>
          </w:tcPr>
          <w:p w14:paraId="195D71E8">
            <w:pPr>
              <w:pStyle w:val="29"/>
              <w:pageBreakBefore w:val="0"/>
              <w:overflowPunct/>
              <w:bidi w:val="0"/>
              <w:adjustRightInd/>
              <w:spacing w:line="600" w:lineRule="atLeast"/>
              <w:ind w:firstLine="0" w:firstLineChars="0"/>
              <w:jc w:val="center"/>
              <w:rPr>
                <w:rFonts w:hint="default" w:ascii="Times New Roman" w:hAnsi="Times New Roman" w:cs="Times New Roman"/>
                <w:sz w:val="24"/>
                <w:highlight w:val="none"/>
                <w:lang w:val="en-US" w:eastAsia="zh-CN"/>
              </w:rPr>
            </w:pPr>
            <w:r>
              <w:rPr>
                <w:rFonts w:hint="default" w:ascii="黑体" w:hAnsi="黑体" w:eastAsia="黑体" w:cs="黑体"/>
                <w:kern w:val="2"/>
                <w:sz w:val="30"/>
                <w:szCs w:val="30"/>
                <w:lang w:val="en-US" w:eastAsia="zh-CN" w:bidi="ar-SA"/>
              </w:rPr>
              <w:t>专栏</w:t>
            </w:r>
            <w:r>
              <w:rPr>
                <w:rFonts w:hint="eastAsia" w:ascii="黑体" w:hAnsi="黑体" w:eastAsia="黑体" w:cs="黑体"/>
                <w:kern w:val="2"/>
                <w:sz w:val="30"/>
                <w:szCs w:val="30"/>
                <w:lang w:val="en-US" w:eastAsia="zh-CN" w:bidi="ar-SA"/>
              </w:rPr>
              <w:t>4：</w:t>
            </w:r>
            <w:r>
              <w:rPr>
                <w:rFonts w:hint="default" w:ascii="黑体" w:hAnsi="黑体" w:eastAsia="黑体" w:cs="黑体"/>
                <w:kern w:val="2"/>
                <w:sz w:val="30"/>
                <w:szCs w:val="30"/>
                <w:lang w:val="en-US" w:eastAsia="zh-CN" w:bidi="ar-SA"/>
              </w:rPr>
              <w:t>城镇开发边界管控要求一览表</w:t>
            </w:r>
          </w:p>
        </w:tc>
      </w:tr>
      <w:tr w14:paraId="7D8DC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590" w:type="pct"/>
            <w:gridSpan w:val="2"/>
            <w:shd w:val="clear" w:color="auto" w:fill="auto"/>
            <w:vAlign w:val="center"/>
          </w:tcPr>
          <w:p w14:paraId="2B4BB5D6">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管控区域</w:t>
            </w:r>
          </w:p>
        </w:tc>
        <w:tc>
          <w:tcPr>
            <w:tcW w:w="3409" w:type="pct"/>
            <w:shd w:val="clear" w:color="auto" w:fill="auto"/>
            <w:vAlign w:val="center"/>
          </w:tcPr>
          <w:p w14:paraId="137C4046">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管控要求</w:t>
            </w:r>
          </w:p>
        </w:tc>
      </w:tr>
      <w:tr w14:paraId="2991B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566" w:type="pct"/>
            <w:shd w:val="clear" w:color="auto" w:fill="auto"/>
            <w:vAlign w:val="center"/>
          </w:tcPr>
          <w:p w14:paraId="101E3D94">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边界内管理</w:t>
            </w:r>
          </w:p>
        </w:tc>
        <w:tc>
          <w:tcPr>
            <w:tcW w:w="1023" w:type="pct"/>
            <w:shd w:val="clear" w:color="auto" w:fill="auto"/>
            <w:vAlign w:val="center"/>
          </w:tcPr>
          <w:p w14:paraId="791D5CF3">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集中建设区</w:t>
            </w:r>
          </w:p>
        </w:tc>
        <w:tc>
          <w:tcPr>
            <w:tcW w:w="3409" w:type="pct"/>
            <w:shd w:val="clear" w:color="auto" w:fill="auto"/>
            <w:vAlign w:val="center"/>
          </w:tcPr>
          <w:p w14:paraId="2AB07FE5">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实行</w:t>
            </w:r>
            <w:r>
              <w:rPr>
                <w:rFonts w:hint="eastAsia" w:ascii="Times New Roman" w:hAnsi="Times New Roman" w:cs="Times New Roman"/>
                <w:sz w:val="24"/>
                <w:highlight w:val="none"/>
                <w:lang w:val="en-US" w:eastAsia="zh-CN"/>
              </w:rPr>
              <w:t>“</w:t>
            </w:r>
            <w:r>
              <w:rPr>
                <w:rFonts w:hint="default" w:ascii="Times New Roman" w:hAnsi="Times New Roman" w:cs="Times New Roman"/>
                <w:sz w:val="24"/>
                <w:highlight w:val="none"/>
                <w:lang w:val="en-US" w:eastAsia="zh-CN"/>
              </w:rPr>
              <w:t>详细规划+规划许可</w:t>
            </w:r>
            <w:r>
              <w:rPr>
                <w:rFonts w:hint="eastAsia" w:ascii="Times New Roman" w:hAnsi="Times New Roman" w:cs="Times New Roman"/>
                <w:sz w:val="24"/>
                <w:highlight w:val="none"/>
                <w:lang w:val="en-US" w:eastAsia="zh-CN"/>
              </w:rPr>
              <w:t>”</w:t>
            </w:r>
            <w:r>
              <w:rPr>
                <w:rFonts w:hint="default" w:ascii="Times New Roman" w:hAnsi="Times New Roman" w:cs="Times New Roman"/>
                <w:sz w:val="24"/>
                <w:highlight w:val="none"/>
                <w:lang w:val="en-US" w:eastAsia="zh-CN"/>
              </w:rPr>
              <w:t>的管制方式，并加强与城市蓝线、绿线、黄线、紫线等控制线的协同管控。</w:t>
            </w:r>
          </w:p>
          <w:p w14:paraId="3F83B875">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实行战略留白，为国家重大发展战略和城市可持续发展预留空间。</w:t>
            </w:r>
          </w:p>
        </w:tc>
      </w:tr>
      <w:tr w14:paraId="4B28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66" w:type="pct"/>
            <w:vMerge w:val="restart"/>
            <w:shd w:val="clear" w:color="auto" w:fill="auto"/>
            <w:vAlign w:val="center"/>
          </w:tcPr>
          <w:p w14:paraId="6299420B">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边界外管理</w:t>
            </w:r>
          </w:p>
        </w:tc>
        <w:tc>
          <w:tcPr>
            <w:tcW w:w="1023" w:type="pct"/>
            <w:shd w:val="clear" w:color="auto" w:fill="auto"/>
            <w:vAlign w:val="center"/>
          </w:tcPr>
          <w:p w14:paraId="06C76240">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主导用途</w:t>
            </w:r>
          </w:p>
        </w:tc>
        <w:tc>
          <w:tcPr>
            <w:tcW w:w="3409" w:type="pct"/>
            <w:shd w:val="clear" w:color="auto" w:fill="auto"/>
            <w:vAlign w:val="center"/>
          </w:tcPr>
          <w:p w14:paraId="308B2C38">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农业和生态功能，是开发农业生产、实施乡村振兴和加强生态保护的主要区域。</w:t>
            </w:r>
          </w:p>
        </w:tc>
      </w:tr>
      <w:tr w14:paraId="6DF5D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atLeast"/>
          <w:jc w:val="center"/>
        </w:trPr>
        <w:tc>
          <w:tcPr>
            <w:tcW w:w="566" w:type="pct"/>
            <w:vMerge w:val="continue"/>
            <w:shd w:val="clear" w:color="auto" w:fill="auto"/>
            <w:vAlign w:val="center"/>
          </w:tcPr>
          <w:p w14:paraId="1E4659AF">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p>
        </w:tc>
        <w:tc>
          <w:tcPr>
            <w:tcW w:w="1023" w:type="pct"/>
            <w:shd w:val="clear" w:color="auto" w:fill="auto"/>
            <w:vAlign w:val="center"/>
          </w:tcPr>
          <w:p w14:paraId="52F4F4AB">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允许建设项目</w:t>
            </w:r>
          </w:p>
        </w:tc>
        <w:tc>
          <w:tcPr>
            <w:tcW w:w="3409" w:type="pct"/>
            <w:shd w:val="clear" w:color="auto" w:fill="auto"/>
            <w:vAlign w:val="center"/>
          </w:tcPr>
          <w:p w14:paraId="7DF06F33">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允许交通、基础设施及其他线性工程，军事及安全保密、宗教、殡葬、综合防灾减灾、战略储备等特殊建设项目，郊野公园、风景游览设施的配套服务设施，直接为乡村振兴战略服务的建设项目，以及其他必要的服务设施和城镇民生保障项目。</w:t>
            </w:r>
          </w:p>
          <w:p w14:paraId="0161EB50">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村庄建设、独立选址的点状和线性工程项目，应符合有关国土规划和用途管制要求。</w:t>
            </w:r>
          </w:p>
        </w:tc>
      </w:tr>
      <w:tr w14:paraId="7BD8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566" w:type="pct"/>
            <w:vMerge w:val="continue"/>
            <w:shd w:val="clear" w:color="auto" w:fill="auto"/>
            <w:vAlign w:val="center"/>
          </w:tcPr>
          <w:p w14:paraId="534E96E2">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p>
        </w:tc>
        <w:tc>
          <w:tcPr>
            <w:tcW w:w="1023" w:type="pct"/>
            <w:shd w:val="clear" w:color="auto" w:fill="auto"/>
            <w:vAlign w:val="center"/>
          </w:tcPr>
          <w:p w14:paraId="7FF30134">
            <w:pPr>
              <w:numPr>
                <w:ilvl w:val="0"/>
                <w:numId w:val="0"/>
              </w:numPr>
              <w:autoSpaceDE w:val="0"/>
              <w:autoSpaceDN w:val="0"/>
              <w:spacing w:line="240" w:lineRule="auto"/>
              <w:jc w:val="center"/>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限制建设项目</w:t>
            </w:r>
          </w:p>
        </w:tc>
        <w:tc>
          <w:tcPr>
            <w:tcW w:w="3409" w:type="pct"/>
            <w:shd w:val="clear" w:color="auto" w:fill="auto"/>
            <w:vAlign w:val="center"/>
          </w:tcPr>
          <w:p w14:paraId="1B67067C">
            <w:pPr>
              <w:numPr>
                <w:ilvl w:val="0"/>
                <w:numId w:val="0"/>
              </w:numPr>
              <w:autoSpaceDE w:val="0"/>
              <w:autoSpaceDN w:val="0"/>
              <w:spacing w:line="240" w:lineRule="auto"/>
              <w:jc w:val="both"/>
              <w:rPr>
                <w:rFonts w:hint="default" w:ascii="Times New Roman" w:hAnsi="Times New Roman" w:cs="Times New Roman"/>
                <w:sz w:val="24"/>
                <w:highlight w:val="none"/>
                <w:lang w:val="en-US" w:eastAsia="zh-CN"/>
              </w:rPr>
            </w:pPr>
            <w:r>
              <w:rPr>
                <w:rFonts w:hint="default" w:ascii="Times New Roman" w:hAnsi="Times New Roman" w:cs="Times New Roman"/>
                <w:sz w:val="24"/>
                <w:highlight w:val="none"/>
                <w:lang w:val="en-US" w:eastAsia="zh-CN"/>
              </w:rPr>
              <w:t>不得进行城镇集中建设，不得设立各类开发区，严格控制政府投资的城镇基础设施资金投入。</w:t>
            </w:r>
          </w:p>
        </w:tc>
      </w:tr>
    </w:tbl>
    <w:p w14:paraId="4481C825">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划定作业站建设边界</w:t>
      </w:r>
    </w:p>
    <w:p w14:paraId="7EDF2E7D">
      <w:pPr>
        <w:pStyle w:val="29"/>
        <w:spacing w:line="600" w:lineRule="atLeast"/>
        <w:ind w:firstLine="640"/>
        <w:rPr>
          <w:szCs w:val="32"/>
        </w:rPr>
      </w:pPr>
      <w:bookmarkStart w:id="75" w:name="_Toc18078"/>
      <w:r>
        <w:rPr>
          <w:szCs w:val="32"/>
        </w:rPr>
        <w:t>结合现状</w:t>
      </w:r>
      <w:r>
        <w:rPr>
          <w:rFonts w:hint="eastAsia"/>
          <w:szCs w:val="32"/>
          <w:lang w:eastAsia="zh-CN"/>
        </w:rPr>
        <w:t>作业站</w:t>
      </w:r>
      <w:r>
        <w:rPr>
          <w:szCs w:val="32"/>
        </w:rPr>
        <w:t>建设用地范围及未来发展趋势，在城镇开发边界以外划定</w:t>
      </w:r>
      <w:r>
        <w:rPr>
          <w:rFonts w:hint="eastAsia"/>
          <w:szCs w:val="32"/>
          <w:lang w:eastAsia="zh-CN"/>
        </w:rPr>
        <w:t>作业站建设边界</w:t>
      </w:r>
      <w:r>
        <w:rPr>
          <w:szCs w:val="32"/>
        </w:rPr>
        <w:t>。新增建设用地应符合规划确定的人均</w:t>
      </w:r>
      <w:r>
        <w:rPr>
          <w:rFonts w:hint="eastAsia"/>
          <w:szCs w:val="32"/>
          <w:lang w:eastAsia="zh-CN"/>
        </w:rPr>
        <w:t>作业站</w:t>
      </w:r>
      <w:r>
        <w:rPr>
          <w:szCs w:val="32"/>
        </w:rPr>
        <w:t>建设用地规模和范围要求</w:t>
      </w:r>
      <w:r>
        <w:rPr>
          <w:rFonts w:hint="eastAsia"/>
          <w:szCs w:val="32"/>
        </w:rPr>
        <w:t>，</w:t>
      </w:r>
      <w:r>
        <w:rPr>
          <w:szCs w:val="32"/>
        </w:rPr>
        <w:t>优先保障农村宅基地和公共服务设施用地的建设需求</w:t>
      </w:r>
      <w:r>
        <w:rPr>
          <w:rFonts w:hint="eastAsia"/>
          <w:szCs w:val="32"/>
        </w:rPr>
        <w:t>，</w:t>
      </w:r>
      <w:r>
        <w:rPr>
          <w:szCs w:val="32"/>
        </w:rPr>
        <w:t>宅基地建设应依法落实 “一户一宅” 要求</w:t>
      </w:r>
      <w:r>
        <w:rPr>
          <w:rFonts w:hint="eastAsia"/>
          <w:szCs w:val="32"/>
        </w:rPr>
        <w:t>，</w:t>
      </w:r>
      <w:r>
        <w:rPr>
          <w:szCs w:val="32"/>
        </w:rPr>
        <w:t>遵守地方宅基地建设标准</w:t>
      </w:r>
      <w:r>
        <w:rPr>
          <w:rFonts w:hint="eastAsia"/>
          <w:szCs w:val="32"/>
        </w:rPr>
        <w:t>；</w:t>
      </w:r>
      <w:r>
        <w:rPr>
          <w:szCs w:val="32"/>
        </w:rPr>
        <w:t>公共服务设施应严格按照国土空间规划明确的公共服务设施建设标准和布局要求进行建设。</w:t>
      </w:r>
    </w:p>
    <w:p w14:paraId="0E97C03B">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实行建设用地总量控制</w:t>
      </w:r>
    </w:p>
    <w:p w14:paraId="754A4CBD">
      <w:pPr>
        <w:bidi w:val="0"/>
        <w:rPr>
          <w:rFonts w:hint="default"/>
        </w:rPr>
      </w:pPr>
      <w:r>
        <w:rPr>
          <w:rFonts w:hint="default"/>
        </w:rPr>
        <w:t>落实最严格的节约用地制度，严控建设用地总量。</w:t>
      </w:r>
    </w:p>
    <w:p w14:paraId="2AF4B5F7">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提高建设用地利用效率</w:t>
      </w:r>
    </w:p>
    <w:p w14:paraId="5D00520A">
      <w:pPr>
        <w:bidi w:val="0"/>
        <w:rPr>
          <w:rFonts w:hint="default"/>
        </w:rPr>
      </w:pPr>
      <w:r>
        <w:rPr>
          <w:rFonts w:hint="default"/>
        </w:rPr>
        <w:t>严格用地标准，优化建设用地结构和布局。积极开展城乡建设用地增减挂钩、工矿废弃地复垦，推动建设用地在城镇和农村内部、城乡之间合理流动，优化建设用地布局。</w:t>
      </w:r>
    </w:p>
    <w:p w14:paraId="79337F96">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预留规划留白用地</w:t>
      </w:r>
    </w:p>
    <w:p w14:paraId="67A0AE32">
      <w:pPr>
        <w:bidi w:val="0"/>
        <w:rPr>
          <w:rFonts w:hint="default"/>
        </w:rPr>
      </w:pPr>
      <w:r>
        <w:rPr>
          <w:rFonts w:hint="default"/>
        </w:rPr>
        <w:t>根据《自然资源部办公厅关于加强村庄规划促进乡村振兴的通知》（自然资办发〔2019〕35号），可预留不超过5%的建设用地机动指标，村民居住、农村公共公益设施、零星分散的乡村文旅设施及农村新产业新业态等用地可申请使用。</w:t>
      </w:r>
    </w:p>
    <w:p w14:paraId="6B06CC41">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bookmarkStart w:id="76" w:name="_Hlk175291066"/>
      <w:r>
        <w:rPr>
          <w:rFonts w:hint="eastAsia" w:ascii="Times New Roman" w:hAnsi="Times New Roman" w:eastAsia="楷体_GB2312" w:cs="Times New Roman"/>
          <w:b/>
          <w:bCs w:val="0"/>
          <w:highlight w:val="none"/>
          <w:lang w:val="en-US" w:eastAsia="zh-CN"/>
        </w:rPr>
        <w:t>产业发展目标</w:t>
      </w:r>
    </w:p>
    <w:p w14:paraId="1AB169F2">
      <w:pPr>
        <w:ind w:firstLine="640" w:firstLineChars="200"/>
        <w:rPr>
          <w:rFonts w:ascii="Times New Roman" w:hAnsi="Times New Roman" w:cs="Times New Roman"/>
          <w:szCs w:val="32"/>
          <w:highlight w:val="none"/>
        </w:rPr>
      </w:pPr>
      <w:r>
        <w:rPr>
          <w:rFonts w:ascii="Times New Roman" w:hAnsi="Times New Roman" w:cs="Times New Roman"/>
          <w:szCs w:val="32"/>
          <w:highlight w:val="none"/>
        </w:rPr>
        <w:t>加快现代农业</w:t>
      </w:r>
      <w:r>
        <w:rPr>
          <w:rFonts w:hint="eastAsia" w:ascii="Times New Roman" w:hAnsi="Times New Roman" w:cs="Times New Roman"/>
          <w:szCs w:val="32"/>
          <w:highlight w:val="none"/>
        </w:rPr>
        <w:t>、</w:t>
      </w:r>
      <w:r>
        <w:rPr>
          <w:rFonts w:ascii="Times New Roman" w:hAnsi="Times New Roman" w:cs="Times New Roman"/>
          <w:szCs w:val="32"/>
          <w:highlight w:val="none"/>
        </w:rPr>
        <w:t>绿色有机食</w:t>
      </w:r>
      <w:r>
        <w:rPr>
          <w:rFonts w:hint="eastAsia" w:ascii="Times New Roman" w:hAnsi="Times New Roman" w:cs="Times New Roman"/>
          <w:szCs w:val="32"/>
          <w:highlight w:val="none"/>
          <w:lang w:eastAsia="zh-CN"/>
        </w:rPr>
        <w:t>品产</w:t>
      </w:r>
      <w:r>
        <w:rPr>
          <w:rFonts w:ascii="Times New Roman" w:hAnsi="Times New Roman" w:cs="Times New Roman"/>
          <w:szCs w:val="32"/>
          <w:highlight w:val="none"/>
        </w:rPr>
        <w:t>业、粮食和农副产品加工业</w:t>
      </w:r>
      <w:r>
        <w:rPr>
          <w:rFonts w:hint="eastAsia" w:ascii="Times New Roman" w:hAnsi="Times New Roman" w:cs="Times New Roman"/>
          <w:szCs w:val="32"/>
          <w:highlight w:val="none"/>
        </w:rPr>
        <w:t>，</w:t>
      </w:r>
      <w:r>
        <w:rPr>
          <w:rFonts w:ascii="Times New Roman" w:hAnsi="Times New Roman" w:cs="Times New Roman"/>
          <w:szCs w:val="32"/>
          <w:highlight w:val="none"/>
        </w:rPr>
        <w:t>三大主导产业提质扩容，积极培育仓储物流与居民服务等新兴产业，完善</w:t>
      </w:r>
      <w:r>
        <w:rPr>
          <w:rFonts w:hint="eastAsia" w:ascii="Times New Roman" w:hAnsi="Times New Roman" w:cs="Times New Roman"/>
          <w:szCs w:val="32"/>
          <w:highlight w:val="none"/>
          <w:lang w:val="en-US" w:eastAsia="zh-CN"/>
        </w:rPr>
        <w:t>红兴隆分局（桦川境内）农场</w:t>
      </w:r>
      <w:r>
        <w:rPr>
          <w:rFonts w:ascii="Times New Roman" w:hAnsi="Times New Roman" w:cs="Times New Roman"/>
          <w:szCs w:val="32"/>
          <w:highlight w:val="none"/>
        </w:rPr>
        <w:t>产业发展体系，到2035年将</w:t>
      </w:r>
      <w:r>
        <w:rPr>
          <w:rFonts w:hint="eastAsia" w:ascii="Times New Roman" w:hAnsi="Times New Roman" w:cs="Times New Roman"/>
          <w:szCs w:val="32"/>
          <w:highlight w:val="none"/>
          <w:lang w:val="en-US" w:eastAsia="zh-CN"/>
        </w:rPr>
        <w:t>红兴隆分局（桦川境内）农场</w:t>
      </w:r>
      <w:r>
        <w:rPr>
          <w:rFonts w:ascii="Times New Roman" w:hAnsi="Times New Roman" w:cs="Times New Roman"/>
          <w:szCs w:val="32"/>
          <w:highlight w:val="none"/>
        </w:rPr>
        <w:t>打造成为生态持续、经济集约、产城融合的现代化精品</w:t>
      </w:r>
      <w:r>
        <w:rPr>
          <w:rFonts w:hint="eastAsia" w:ascii="Times New Roman" w:hAnsi="Times New Roman" w:cs="Times New Roman"/>
          <w:szCs w:val="32"/>
          <w:highlight w:val="none"/>
          <w:lang w:val="en-US" w:eastAsia="zh-CN"/>
        </w:rPr>
        <w:t>农场</w:t>
      </w:r>
      <w:r>
        <w:rPr>
          <w:rFonts w:ascii="Times New Roman" w:hAnsi="Times New Roman" w:cs="Times New Roman"/>
          <w:szCs w:val="32"/>
          <w:highlight w:val="none"/>
        </w:rPr>
        <w:t>。</w:t>
      </w:r>
    </w:p>
    <w:bookmarkEnd w:id="76"/>
    <w:p w14:paraId="5F170270">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构建特色现代产业体系</w:t>
      </w:r>
    </w:p>
    <w:p w14:paraId="1588D452">
      <w:pPr>
        <w:widowControl/>
        <w:spacing w:line="600" w:lineRule="atLeast"/>
        <w:ind w:firstLine="640" w:firstLineChars="200"/>
        <w:rPr>
          <w:rFonts w:hint="eastAsia" w:ascii="Times New Roman" w:hAnsi="Times New Roman"/>
          <w:szCs w:val="32"/>
        </w:rPr>
      </w:pPr>
      <w:r>
        <w:rPr>
          <w:rFonts w:hint="eastAsia" w:ascii="Times New Roman" w:hAnsi="Times New Roman"/>
          <w:szCs w:val="32"/>
        </w:rPr>
        <w:t>依托红兴隆分局（桦川境内）农场自身产业特征，规划形成“3+</w:t>
      </w:r>
      <w:r>
        <w:rPr>
          <w:rFonts w:hint="eastAsia" w:ascii="Times New Roman" w:hAnsi="Times New Roman"/>
          <w:szCs w:val="32"/>
          <w:lang w:val="en-US" w:eastAsia="zh-CN"/>
        </w:rPr>
        <w:t>2</w:t>
      </w:r>
      <w:r>
        <w:rPr>
          <w:rFonts w:hint="eastAsia" w:ascii="Times New Roman" w:hAnsi="Times New Roman"/>
          <w:szCs w:val="32"/>
        </w:rPr>
        <w:t>+1”产业体系。包括3个支柱产业，</w:t>
      </w:r>
      <w:r>
        <w:rPr>
          <w:rFonts w:hint="eastAsia" w:ascii="Times New Roman" w:hAnsi="Times New Roman"/>
          <w:szCs w:val="32"/>
          <w:lang w:val="en-US" w:eastAsia="zh-CN"/>
        </w:rPr>
        <w:t>2</w:t>
      </w:r>
      <w:r>
        <w:rPr>
          <w:rFonts w:hint="eastAsia" w:ascii="Times New Roman" w:hAnsi="Times New Roman"/>
          <w:szCs w:val="32"/>
        </w:rPr>
        <w:t>个潜力产业以及1个特色产业。</w:t>
      </w:r>
    </w:p>
    <w:p w14:paraId="7FCB84F4">
      <w:pPr>
        <w:pStyle w:val="29"/>
        <w:spacing w:line="600" w:lineRule="atLeast"/>
        <w:ind w:firstLine="640"/>
        <w:rPr>
          <w:rFonts w:hint="eastAsia" w:ascii="Times New Roman" w:hAnsi="Times New Roman" w:cs="Times New Roman"/>
          <w:szCs w:val="32"/>
          <w:highlight w:val="none"/>
        </w:rPr>
      </w:pPr>
      <w:r>
        <w:rPr>
          <w:rFonts w:hint="eastAsia" w:ascii="Times New Roman" w:hAnsi="Times New Roman" w:cs="Times New Roman"/>
          <w:szCs w:val="32"/>
          <w:highlight w:val="none"/>
        </w:rPr>
        <w:t>红兴隆分局（桦川境内）农场未来产业发展应充分发挥现有优势，以现代农业为基础，粮食和农副产品加工业为支撑，以绿色有机食品为引擎。重点改造提升“三大支柱产业”、巩固完善“特色引擎产业”，积极培育“潜力产业”，构建“3+</w:t>
      </w:r>
      <w:r>
        <w:rPr>
          <w:rFonts w:hint="eastAsia" w:cs="Times New Roman"/>
          <w:szCs w:val="32"/>
          <w:highlight w:val="none"/>
          <w:lang w:val="en-US" w:eastAsia="zh-CN"/>
        </w:rPr>
        <w:t>2</w:t>
      </w:r>
      <w:r>
        <w:rPr>
          <w:rFonts w:hint="eastAsia" w:ascii="Times New Roman" w:hAnsi="Times New Roman" w:cs="Times New Roman"/>
          <w:szCs w:val="32"/>
          <w:highlight w:val="none"/>
        </w:rPr>
        <w:t>+1”的产业发展体系。</w:t>
      </w:r>
    </w:p>
    <w:p w14:paraId="29E0AFA3">
      <w:pPr>
        <w:spacing w:line="600" w:lineRule="atLeast"/>
        <w:ind w:firstLine="640" w:firstLineChars="200"/>
        <w:rPr>
          <w:rFonts w:ascii="Times New Roman" w:hAnsi="Times New Roman" w:cs="Times New Roman"/>
          <w:szCs w:val="32"/>
        </w:rPr>
      </w:pPr>
      <w:r>
        <w:rPr>
          <w:rFonts w:hint="eastAsia" w:ascii="Times New Roman" w:hAnsi="Times New Roman" w:eastAsia="楷体" w:cs="Times New Roman"/>
        </w:rPr>
        <w:t>“</w:t>
      </w:r>
      <w:r>
        <w:rPr>
          <w:rFonts w:ascii="Times New Roman" w:hAnsi="Times New Roman" w:eastAsia="楷体" w:cs="Times New Roman"/>
        </w:rPr>
        <w:t>3</w:t>
      </w:r>
      <w:r>
        <w:rPr>
          <w:rFonts w:hint="eastAsia" w:ascii="Times New Roman" w:hAnsi="Times New Roman" w:eastAsia="楷体" w:cs="Times New Roman"/>
        </w:rPr>
        <w:t>”</w:t>
      </w:r>
      <w:r>
        <w:rPr>
          <w:rFonts w:ascii="Times New Roman" w:hAnsi="Times New Roman" w:eastAsia="楷体" w:cs="Times New Roman"/>
        </w:rPr>
        <w:t>：即现代农业和绿色有机食品业、粮食和农副产品加工业。</w:t>
      </w:r>
      <w:r>
        <w:rPr>
          <w:rFonts w:ascii="Times New Roman" w:hAnsi="Times New Roman" w:cs="Times New Roman"/>
          <w:szCs w:val="32"/>
        </w:rPr>
        <w:t>改造提升三大支柱产业。</w:t>
      </w:r>
    </w:p>
    <w:p w14:paraId="0342E57A">
      <w:pPr>
        <w:spacing w:line="600" w:lineRule="atLeast"/>
        <w:ind w:firstLine="640" w:firstLineChars="200"/>
        <w:rPr>
          <w:rFonts w:ascii="Times New Roman" w:hAnsi="Times New Roman" w:cs="Times New Roman"/>
          <w:szCs w:val="32"/>
        </w:rPr>
      </w:pPr>
      <w:r>
        <w:rPr>
          <w:rFonts w:hint="eastAsia" w:ascii="Times New Roman" w:hAnsi="Times New Roman" w:eastAsia="楷体" w:cs="Times New Roman"/>
        </w:rPr>
        <w:t>“</w:t>
      </w:r>
      <w:r>
        <w:rPr>
          <w:rFonts w:hint="eastAsia" w:ascii="Times New Roman" w:hAnsi="Times New Roman" w:eastAsia="楷体" w:cs="Times New Roman"/>
          <w:lang w:val="en-US" w:eastAsia="zh-CN"/>
        </w:rPr>
        <w:t>2</w:t>
      </w:r>
      <w:r>
        <w:rPr>
          <w:rFonts w:hint="eastAsia" w:ascii="Times New Roman" w:hAnsi="Times New Roman" w:eastAsia="楷体" w:cs="Times New Roman"/>
        </w:rPr>
        <w:t>”</w:t>
      </w:r>
      <w:r>
        <w:rPr>
          <w:rFonts w:ascii="Times New Roman" w:hAnsi="Times New Roman" w:eastAsia="楷体" w:cs="Times New Roman"/>
        </w:rPr>
        <w:t>：即</w:t>
      </w:r>
      <w:r>
        <w:rPr>
          <w:rFonts w:hint="eastAsia" w:ascii="Times New Roman" w:hAnsi="Times New Roman" w:eastAsia="楷体" w:cs="Times New Roman"/>
          <w:lang w:val="en-US" w:eastAsia="zh-CN"/>
        </w:rPr>
        <w:t>潜力</w:t>
      </w:r>
      <w:r>
        <w:rPr>
          <w:rFonts w:ascii="Times New Roman" w:hAnsi="Times New Roman" w:eastAsia="楷体" w:cs="Times New Roman"/>
        </w:rPr>
        <w:t>产业。</w:t>
      </w:r>
      <w:r>
        <w:rPr>
          <w:rFonts w:hint="eastAsia" w:ascii="Times New Roman" w:hAnsi="Times New Roman" w:eastAsia="楷体" w:cs="Times New Roman"/>
          <w:lang w:val="en-US" w:eastAsia="zh-CN"/>
        </w:rPr>
        <w:t>仓储物流，新能源产业</w:t>
      </w:r>
      <w:r>
        <w:rPr>
          <w:rFonts w:ascii="Times New Roman" w:hAnsi="Times New Roman" w:cs="Times New Roman"/>
          <w:szCs w:val="32"/>
        </w:rPr>
        <w:t>。</w:t>
      </w:r>
    </w:p>
    <w:p w14:paraId="55B1D509">
      <w:pPr>
        <w:spacing w:line="600" w:lineRule="atLeast"/>
        <w:ind w:firstLine="640" w:firstLineChars="200"/>
        <w:rPr>
          <w:rFonts w:ascii="Times New Roman" w:hAnsi="Times New Roman" w:cs="Times New Roman"/>
          <w:szCs w:val="32"/>
        </w:rPr>
      </w:pPr>
      <w:r>
        <w:rPr>
          <w:rFonts w:hint="eastAsia" w:ascii="Times New Roman" w:hAnsi="Times New Roman" w:eastAsia="楷体" w:cs="Times New Roman"/>
        </w:rPr>
        <w:t>“</w:t>
      </w:r>
      <w:r>
        <w:rPr>
          <w:rFonts w:ascii="Times New Roman" w:hAnsi="Times New Roman" w:eastAsia="楷体" w:cs="Times New Roman"/>
        </w:rPr>
        <w:t>1</w:t>
      </w:r>
      <w:r>
        <w:rPr>
          <w:rFonts w:hint="eastAsia" w:ascii="Times New Roman" w:hAnsi="Times New Roman" w:eastAsia="楷体" w:cs="Times New Roman"/>
        </w:rPr>
        <w:t>”</w:t>
      </w:r>
      <w:r>
        <w:rPr>
          <w:rFonts w:ascii="Times New Roman" w:hAnsi="Times New Roman" w:eastAsia="楷体" w:cs="Times New Roman"/>
        </w:rPr>
        <w:t>：即</w:t>
      </w:r>
      <w:r>
        <w:rPr>
          <w:rFonts w:hint="eastAsia" w:ascii="Times New Roman" w:hAnsi="Times New Roman" w:eastAsia="楷体" w:cs="Times New Roman"/>
        </w:rPr>
        <w:t>文旅</w:t>
      </w:r>
      <w:r>
        <w:rPr>
          <w:rFonts w:ascii="Times New Roman" w:hAnsi="Times New Roman" w:eastAsia="楷体" w:cs="Times New Roman"/>
        </w:rPr>
        <w:t>产业。</w:t>
      </w:r>
      <w:r>
        <w:rPr>
          <w:rFonts w:ascii="Times New Roman" w:hAnsi="Times New Roman" w:cs="Times New Roman"/>
          <w:szCs w:val="32"/>
        </w:rPr>
        <w:t>完善</w:t>
      </w:r>
      <w:r>
        <w:rPr>
          <w:rFonts w:hint="eastAsia" w:ascii="Times New Roman" w:hAnsi="Times New Roman" w:cs="Times New Roman"/>
          <w:szCs w:val="32"/>
        </w:rPr>
        <w:t>并提升</w:t>
      </w:r>
      <w:r>
        <w:rPr>
          <w:rFonts w:ascii="Times New Roman" w:hAnsi="Times New Roman" w:cs="Times New Roman"/>
          <w:szCs w:val="32"/>
        </w:rPr>
        <w:t>特色</w:t>
      </w:r>
      <w:r>
        <w:rPr>
          <w:rFonts w:hint="eastAsia" w:ascii="Times New Roman" w:hAnsi="Times New Roman" w:cs="Times New Roman"/>
          <w:szCs w:val="32"/>
        </w:rPr>
        <w:t>文旅</w:t>
      </w:r>
      <w:r>
        <w:rPr>
          <w:rFonts w:ascii="Times New Roman" w:hAnsi="Times New Roman" w:cs="Times New Roman"/>
          <w:szCs w:val="32"/>
        </w:rPr>
        <w:t>产业。</w:t>
      </w:r>
    </w:p>
    <w:p w14:paraId="6BD7228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优化产业空间布局</w:t>
      </w:r>
    </w:p>
    <w:p w14:paraId="1512C15F">
      <w:pPr>
        <w:spacing w:line="600" w:lineRule="atLeast"/>
        <w:ind w:firstLine="640" w:firstLineChars="200"/>
        <w:rPr>
          <w:rFonts w:ascii="Times New Roman" w:hAnsi="Times New Roman" w:cs="Times New Roman"/>
          <w:szCs w:val="32"/>
        </w:rPr>
      </w:pPr>
      <w:r>
        <w:rPr>
          <w:rFonts w:ascii="Times New Roman" w:hAnsi="Times New Roman" w:cs="Times New Roman"/>
          <w:szCs w:val="32"/>
        </w:rPr>
        <w:t>规划构建</w:t>
      </w:r>
      <w:r>
        <w:rPr>
          <w:rFonts w:hint="eastAsia" w:ascii="Times New Roman" w:hAnsi="Times New Roman" w:cs="Times New Roman"/>
          <w:szCs w:val="32"/>
        </w:rPr>
        <w:t>“一核、</w:t>
      </w:r>
      <w:r>
        <w:rPr>
          <w:rFonts w:hint="eastAsia" w:ascii="Times New Roman" w:hAnsi="Times New Roman" w:cs="Times New Roman"/>
          <w:szCs w:val="32"/>
          <w:lang w:val="en-US" w:eastAsia="zh-CN"/>
        </w:rPr>
        <w:t>一</w:t>
      </w:r>
      <w:r>
        <w:rPr>
          <w:rFonts w:hint="eastAsia" w:ascii="Times New Roman" w:hAnsi="Times New Roman" w:cs="Times New Roman"/>
          <w:szCs w:val="32"/>
        </w:rPr>
        <w:t>轴、</w:t>
      </w:r>
      <w:r>
        <w:rPr>
          <w:rFonts w:hint="eastAsia" w:ascii="Times New Roman" w:hAnsi="Times New Roman" w:cs="Times New Roman"/>
          <w:szCs w:val="32"/>
          <w:lang w:val="en-US" w:eastAsia="zh-CN"/>
        </w:rPr>
        <w:t>五</w:t>
      </w:r>
      <w:r>
        <w:rPr>
          <w:rFonts w:hint="eastAsia" w:ascii="Times New Roman" w:hAnsi="Times New Roman" w:cs="Times New Roman"/>
          <w:szCs w:val="32"/>
        </w:rPr>
        <w:t>区”</w:t>
      </w:r>
      <w:r>
        <w:rPr>
          <w:rFonts w:ascii="Times New Roman" w:hAnsi="Times New Roman" w:cs="Times New Roman"/>
          <w:szCs w:val="32"/>
        </w:rPr>
        <w:t>的产业空间新布局。</w:t>
      </w:r>
    </w:p>
    <w:p w14:paraId="5304CB1A">
      <w:pPr>
        <w:spacing w:line="600" w:lineRule="atLeast"/>
        <w:ind w:firstLine="640" w:firstLineChars="200"/>
        <w:rPr>
          <w:rFonts w:ascii="Times New Roman" w:hAnsi="Times New Roman" w:cs="Times New Roman"/>
          <w:szCs w:val="32"/>
        </w:rPr>
      </w:pPr>
      <w:r>
        <w:rPr>
          <w:rFonts w:ascii="Times New Roman" w:hAnsi="Times New Roman" w:cs="Times New Roman"/>
          <w:szCs w:val="32"/>
        </w:rPr>
        <w:t>1.</w:t>
      </w:r>
      <w:r>
        <w:rPr>
          <w:rFonts w:hint="eastAsia" w:ascii="Times New Roman" w:hAnsi="Times New Roman" w:cs="Times New Roman"/>
          <w:szCs w:val="32"/>
        </w:rPr>
        <w:t>一</w:t>
      </w:r>
      <w:r>
        <w:rPr>
          <w:rFonts w:ascii="Times New Roman" w:hAnsi="Times New Roman" w:cs="Times New Roman"/>
          <w:szCs w:val="32"/>
        </w:rPr>
        <w:t>核</w:t>
      </w:r>
    </w:p>
    <w:p w14:paraId="772CDDC3">
      <w:pPr>
        <w:spacing w:line="600" w:lineRule="atLeast"/>
        <w:ind w:firstLine="640" w:firstLineChars="200"/>
        <w:rPr>
          <w:rFonts w:ascii="Times New Roman" w:hAnsi="Times New Roman" w:cs="Times New Roman"/>
          <w:szCs w:val="32"/>
        </w:rPr>
      </w:pPr>
      <w:r>
        <w:rPr>
          <w:rFonts w:ascii="Times New Roman" w:hAnsi="Times New Roman" w:cs="Times New Roman"/>
          <w:szCs w:val="32"/>
        </w:rPr>
        <w:t>重点依托</w:t>
      </w:r>
      <w:r>
        <w:rPr>
          <w:rFonts w:hint="eastAsia" w:ascii="Times New Roman" w:hAnsi="Times New Roman" w:cs="Times New Roman"/>
          <w:szCs w:val="32"/>
        </w:rPr>
        <w:t>江川农场场部</w:t>
      </w:r>
      <w:r>
        <w:rPr>
          <w:rFonts w:ascii="Times New Roman" w:hAnsi="Times New Roman" w:cs="Times New Roman"/>
          <w:szCs w:val="32"/>
        </w:rPr>
        <w:t>，打造</w:t>
      </w:r>
      <w:r>
        <w:rPr>
          <w:rFonts w:hint="eastAsia" w:ascii="Times New Roman" w:hAnsi="Times New Roman" w:cs="Times New Roman"/>
          <w:szCs w:val="32"/>
        </w:rPr>
        <w:t>综合服务发展</w:t>
      </w:r>
      <w:r>
        <w:rPr>
          <w:rFonts w:ascii="Times New Roman" w:hAnsi="Times New Roman" w:cs="Times New Roman"/>
          <w:szCs w:val="32"/>
        </w:rPr>
        <w:t>核心，促进产城融合发展。</w:t>
      </w:r>
    </w:p>
    <w:p w14:paraId="2F08B97F">
      <w:pPr>
        <w:spacing w:line="600" w:lineRule="atLeast"/>
        <w:ind w:firstLine="640" w:firstLineChars="200"/>
        <w:rPr>
          <w:rFonts w:ascii="Times New Roman" w:hAnsi="Times New Roman" w:cs="Times New Roman"/>
          <w:szCs w:val="32"/>
        </w:rPr>
      </w:pPr>
      <w:r>
        <w:rPr>
          <w:rFonts w:ascii="Times New Roman" w:hAnsi="Times New Roman" w:cs="Times New Roman"/>
          <w:szCs w:val="32"/>
        </w:rPr>
        <w:t>2.</w:t>
      </w:r>
      <w:r>
        <w:rPr>
          <w:rFonts w:hint="eastAsia" w:ascii="Times New Roman" w:hAnsi="Times New Roman" w:cs="Times New Roman"/>
          <w:szCs w:val="32"/>
        </w:rPr>
        <w:t>一轴</w:t>
      </w:r>
    </w:p>
    <w:p w14:paraId="61C36759">
      <w:pPr>
        <w:widowControl/>
        <w:spacing w:line="600" w:lineRule="atLeast"/>
        <w:ind w:firstLine="640" w:firstLineChars="200"/>
        <w:rPr>
          <w:rFonts w:ascii="Times New Roman" w:hAnsi="Times New Roman" w:cs="Times New Roman"/>
          <w:szCs w:val="32"/>
        </w:rPr>
      </w:pPr>
      <w:r>
        <w:rPr>
          <w:rFonts w:ascii="Times New Roman" w:hAnsi="Times New Roman" w:cs="Times New Roman"/>
          <w:szCs w:val="32"/>
        </w:rPr>
        <w:t>沿</w:t>
      </w:r>
      <w:r>
        <w:rPr>
          <w:rFonts w:hint="eastAsia" w:ascii="Times New Roman" w:hAnsi="Times New Roman" w:cs="Times New Roman"/>
          <w:szCs w:val="32"/>
        </w:rPr>
        <w:t>依托国道</w:t>
      </w:r>
      <w:r>
        <w:rPr>
          <w:rFonts w:hint="eastAsia" w:ascii="Times New Roman" w:hAnsi="Times New Roman" w:cs="Times New Roman"/>
          <w:szCs w:val="32"/>
          <w:lang w:eastAsia="zh-CN"/>
        </w:rPr>
        <w:t>京抚公路G102</w:t>
      </w:r>
      <w:r>
        <w:rPr>
          <w:rFonts w:hint="eastAsia" w:ascii="Times New Roman" w:hAnsi="Times New Roman" w:cs="Times New Roman"/>
          <w:szCs w:val="32"/>
        </w:rPr>
        <w:t>形成的公路产业主要发展轴</w:t>
      </w:r>
      <w:r>
        <w:rPr>
          <w:rFonts w:ascii="Times New Roman" w:hAnsi="Times New Roman" w:cs="Times New Roman"/>
          <w:szCs w:val="32"/>
        </w:rPr>
        <w:t>。</w:t>
      </w:r>
    </w:p>
    <w:p w14:paraId="316FDF7C">
      <w:pPr>
        <w:spacing w:line="600" w:lineRule="atLeast"/>
        <w:ind w:firstLine="640" w:firstLineChars="200"/>
        <w:rPr>
          <w:rFonts w:ascii="Times New Roman" w:hAnsi="Times New Roman" w:cs="Times New Roman"/>
          <w:szCs w:val="32"/>
        </w:rPr>
      </w:pPr>
      <w:r>
        <w:rPr>
          <w:rFonts w:ascii="Times New Roman" w:hAnsi="Times New Roman" w:cs="Times New Roman"/>
          <w:szCs w:val="32"/>
        </w:rPr>
        <w:t>3.</w:t>
      </w:r>
      <w:r>
        <w:rPr>
          <w:rFonts w:hint="eastAsia" w:ascii="Times New Roman" w:hAnsi="Times New Roman" w:cs="Times New Roman"/>
          <w:szCs w:val="32"/>
        </w:rPr>
        <w:t>五</w:t>
      </w:r>
      <w:r>
        <w:rPr>
          <w:rFonts w:ascii="Times New Roman" w:hAnsi="Times New Roman" w:cs="Times New Roman"/>
          <w:szCs w:val="32"/>
        </w:rPr>
        <w:t>区</w:t>
      </w:r>
    </w:p>
    <w:p w14:paraId="037D340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综合经济产业</w:t>
      </w:r>
      <w:r>
        <w:rPr>
          <w:rFonts w:ascii="Times New Roman" w:hAnsi="Times New Roman" w:cs="Times New Roman"/>
          <w:szCs w:val="32"/>
        </w:rPr>
        <w:t>区：</w:t>
      </w:r>
      <w:r>
        <w:rPr>
          <w:rFonts w:hint="eastAsia" w:ascii="Times New Roman" w:hAnsi="Times New Roman" w:cs="Times New Roman"/>
          <w:szCs w:val="32"/>
        </w:rPr>
        <w:t>以农场场部为中心，发展农副产品加工业、柳编产品加工、对外物流贸易，打造江川农场产业核心。</w:t>
      </w:r>
    </w:p>
    <w:p w14:paraId="249DB5A3">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生态文旅产业</w:t>
      </w:r>
      <w:r>
        <w:rPr>
          <w:rFonts w:ascii="Times New Roman" w:hAnsi="Times New Roman" w:cs="Times New Roman"/>
          <w:szCs w:val="32"/>
        </w:rPr>
        <w:t>区：</w:t>
      </w:r>
      <w:r>
        <w:rPr>
          <w:rFonts w:hint="eastAsia" w:ascii="Times New Roman" w:hAnsi="Times New Roman" w:cs="Times New Roman"/>
          <w:szCs w:val="32"/>
        </w:rPr>
        <w:t>以第二十三作业站的万里河遗址为主的文旅体验区。</w:t>
      </w:r>
    </w:p>
    <w:p w14:paraId="16A6D113">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现代农业产业区</w:t>
      </w:r>
      <w:r>
        <w:rPr>
          <w:rFonts w:ascii="Times New Roman" w:hAnsi="Times New Roman" w:cs="Times New Roman"/>
          <w:szCs w:val="32"/>
        </w:rPr>
        <w:t>：</w:t>
      </w:r>
      <w:r>
        <w:rPr>
          <w:rFonts w:hint="eastAsia" w:ascii="Times New Roman" w:hAnsi="Times New Roman" w:cs="Times New Roman"/>
          <w:szCs w:val="32"/>
        </w:rPr>
        <w:t>以</w:t>
      </w:r>
      <w:r>
        <w:rPr>
          <w:rFonts w:hint="eastAsia" w:ascii="Times New Roman" w:hAnsi="Times New Roman" w:cs="Times New Roman"/>
          <w:szCs w:val="32"/>
          <w:lang w:val="en-US" w:eastAsia="zh-CN"/>
        </w:rPr>
        <w:t>宝山农场第一、第二作业站和二九一农场管理区</w:t>
      </w:r>
      <w:r>
        <w:rPr>
          <w:rFonts w:hint="eastAsia" w:ascii="Times New Roman" w:hAnsi="Times New Roman" w:cs="Times New Roman"/>
          <w:szCs w:val="32"/>
        </w:rPr>
        <w:t>内的农田产业为主，打造基础产业片区。</w:t>
      </w:r>
    </w:p>
    <w:p w14:paraId="6E9B4159">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生态种养产业</w:t>
      </w:r>
      <w:r>
        <w:rPr>
          <w:rFonts w:ascii="Times New Roman" w:hAnsi="Times New Roman" w:cs="Times New Roman"/>
          <w:szCs w:val="32"/>
        </w:rPr>
        <w:t>区：</w:t>
      </w:r>
      <w:r>
        <w:rPr>
          <w:rFonts w:hint="eastAsia" w:ascii="Times New Roman" w:hAnsi="Times New Roman" w:cs="Times New Roman"/>
          <w:szCs w:val="32"/>
        </w:rPr>
        <w:t>以</w:t>
      </w:r>
      <w:r>
        <w:rPr>
          <w:rFonts w:hint="eastAsia" w:ascii="Times New Roman" w:hAnsi="Times New Roman" w:cs="Times New Roman"/>
          <w:szCs w:val="32"/>
          <w:lang w:val="en-US" w:eastAsia="zh-CN"/>
        </w:rPr>
        <w:t>第二、</w:t>
      </w:r>
      <w:r>
        <w:rPr>
          <w:rFonts w:hint="eastAsia" w:ascii="Times New Roman" w:hAnsi="Times New Roman" w:cs="Times New Roman"/>
          <w:szCs w:val="32"/>
        </w:rPr>
        <w:t>第三</w:t>
      </w:r>
      <w:r>
        <w:rPr>
          <w:rFonts w:hint="eastAsia" w:ascii="Times New Roman" w:hAnsi="Times New Roman" w:cs="Times New Roman"/>
          <w:szCs w:val="32"/>
          <w:lang w:eastAsia="zh-CN"/>
        </w:rPr>
        <w:t>、</w:t>
      </w:r>
      <w:r>
        <w:rPr>
          <w:rFonts w:hint="eastAsia" w:ascii="Times New Roman" w:hAnsi="Times New Roman" w:cs="Times New Roman"/>
          <w:szCs w:val="32"/>
          <w:lang w:val="en-US" w:eastAsia="zh-CN"/>
        </w:rPr>
        <w:t>第六</w:t>
      </w:r>
      <w:r>
        <w:rPr>
          <w:rFonts w:hint="eastAsia" w:ascii="Times New Roman" w:hAnsi="Times New Roman" w:cs="Times New Roman"/>
          <w:szCs w:val="32"/>
        </w:rPr>
        <w:t>管理区的鱼稻立体共养产业为主，打造创新绿色的生态种养产业片区</w:t>
      </w:r>
      <w:r>
        <w:rPr>
          <w:rFonts w:ascii="Times New Roman" w:hAnsi="Times New Roman" w:cs="Times New Roman"/>
          <w:szCs w:val="32"/>
        </w:rPr>
        <w:t>。</w:t>
      </w:r>
    </w:p>
    <w:p w14:paraId="16CD7ACD">
      <w:pPr>
        <w:spacing w:line="600" w:lineRule="atLeast"/>
        <w:ind w:firstLine="640" w:firstLineChars="200"/>
        <w:rPr>
          <w:rFonts w:hint="eastAsia" w:ascii="Times New Roman" w:hAnsi="Times New Roman" w:cs="Times New Roman"/>
          <w:szCs w:val="32"/>
        </w:rPr>
      </w:pPr>
      <w:r>
        <w:rPr>
          <w:rFonts w:hint="eastAsia" w:ascii="Times New Roman" w:hAnsi="Times New Roman" w:cs="Times New Roman"/>
          <w:szCs w:val="32"/>
        </w:rPr>
        <w:t>水稻种植产业</w:t>
      </w:r>
      <w:r>
        <w:rPr>
          <w:rFonts w:ascii="Times New Roman" w:hAnsi="Times New Roman" w:cs="Times New Roman"/>
          <w:szCs w:val="32"/>
        </w:rPr>
        <w:t>区：</w:t>
      </w:r>
      <w:r>
        <w:rPr>
          <w:rFonts w:hint="eastAsia" w:ascii="Times New Roman" w:hAnsi="Times New Roman" w:cs="Times New Roman"/>
          <w:szCs w:val="32"/>
        </w:rPr>
        <w:t>以第</w:t>
      </w:r>
      <w:r>
        <w:rPr>
          <w:rFonts w:hint="eastAsia" w:ascii="Times New Roman" w:hAnsi="Times New Roman" w:cs="Times New Roman"/>
          <w:szCs w:val="32"/>
          <w:lang w:val="en-US" w:eastAsia="zh-CN"/>
        </w:rPr>
        <w:t>一</w:t>
      </w:r>
      <w:r>
        <w:rPr>
          <w:rFonts w:hint="eastAsia" w:ascii="Times New Roman" w:hAnsi="Times New Roman" w:cs="Times New Roman"/>
          <w:szCs w:val="32"/>
        </w:rPr>
        <w:t>、第</w:t>
      </w:r>
      <w:r>
        <w:rPr>
          <w:rFonts w:hint="eastAsia" w:ascii="Times New Roman" w:hAnsi="Times New Roman" w:cs="Times New Roman"/>
          <w:szCs w:val="32"/>
          <w:lang w:val="en-US" w:eastAsia="zh-CN"/>
        </w:rPr>
        <w:t>五</w:t>
      </w:r>
      <w:r>
        <w:rPr>
          <w:rFonts w:hint="eastAsia" w:ascii="Times New Roman" w:hAnsi="Times New Roman" w:cs="Times New Roman"/>
          <w:szCs w:val="32"/>
        </w:rPr>
        <w:t>管理区稻米加工及种植为主。</w:t>
      </w:r>
    </w:p>
    <w:p w14:paraId="3CF257A0">
      <w:pPr>
        <w:spacing w:line="600" w:lineRule="atLeast"/>
        <w:ind w:firstLine="640" w:firstLineChars="200"/>
        <w:rPr>
          <w:rFonts w:hint="eastAsia" w:ascii="Times New Roman" w:hAnsi="Times New Roman" w:cs="Times New Roman"/>
          <w:szCs w:val="32"/>
        </w:rPr>
      </w:pPr>
    </w:p>
    <w:p w14:paraId="6225DDEE">
      <w:pPr>
        <w:spacing w:line="600" w:lineRule="atLeast"/>
        <w:ind w:firstLine="640" w:firstLineChars="200"/>
        <w:rPr>
          <w:rFonts w:hint="eastAsia" w:ascii="Times New Roman" w:hAnsi="Times New Roman" w:cs="Times New Roman"/>
          <w:szCs w:val="32"/>
        </w:rPr>
      </w:pPr>
    </w:p>
    <w:p w14:paraId="78485394">
      <w:pPr>
        <w:spacing w:line="600" w:lineRule="atLeast"/>
        <w:ind w:firstLine="640" w:firstLineChars="200"/>
        <w:rPr>
          <w:rFonts w:hint="eastAsia" w:ascii="Times New Roman" w:hAnsi="Times New Roman" w:cs="Times New Roman"/>
          <w:szCs w:val="32"/>
        </w:rPr>
      </w:pPr>
    </w:p>
    <w:p w14:paraId="02B2428B">
      <w:pPr>
        <w:spacing w:line="600" w:lineRule="atLeast"/>
        <w:ind w:firstLine="640" w:firstLineChars="200"/>
        <w:rPr>
          <w:rFonts w:hint="eastAsia" w:ascii="Times New Roman" w:hAnsi="Times New Roman" w:cs="Times New Roman"/>
          <w:szCs w:val="32"/>
        </w:rPr>
      </w:pPr>
    </w:p>
    <w:p w14:paraId="4C3A70F7">
      <w:pPr>
        <w:spacing w:line="600" w:lineRule="atLeast"/>
        <w:ind w:firstLine="640" w:firstLineChars="200"/>
        <w:rPr>
          <w:rFonts w:hint="eastAsia" w:ascii="Times New Roman" w:hAnsi="Times New Roman" w:cs="Times New Roman"/>
          <w:szCs w:val="32"/>
        </w:rPr>
      </w:pPr>
    </w:p>
    <w:p w14:paraId="2BEE211E">
      <w:pPr>
        <w:spacing w:line="600" w:lineRule="atLeast"/>
        <w:ind w:firstLine="640" w:firstLineChars="200"/>
        <w:rPr>
          <w:rFonts w:hint="eastAsia" w:ascii="Times New Roman" w:hAnsi="Times New Roman" w:cs="Times New Roman"/>
          <w:szCs w:val="32"/>
        </w:rPr>
      </w:pPr>
    </w:p>
    <w:p w14:paraId="51B893D6">
      <w:pPr>
        <w:spacing w:line="600" w:lineRule="atLeast"/>
        <w:ind w:firstLine="640" w:firstLineChars="200"/>
        <w:rPr>
          <w:rFonts w:hint="eastAsia" w:ascii="Times New Roman" w:hAnsi="Times New Roman" w:cs="Times New Roman"/>
          <w:szCs w:val="32"/>
        </w:rPr>
      </w:pPr>
    </w:p>
    <w:p w14:paraId="502D6BB0">
      <w:pPr>
        <w:spacing w:line="600" w:lineRule="atLeast"/>
        <w:ind w:firstLine="640" w:firstLineChars="200"/>
        <w:rPr>
          <w:rFonts w:hint="eastAsia" w:ascii="Times New Roman" w:hAnsi="Times New Roman" w:cs="Times New Roman"/>
          <w:szCs w:val="32"/>
        </w:rPr>
      </w:pPr>
    </w:p>
    <w:bookmarkEnd w:id="52"/>
    <w:bookmarkEnd w:id="75"/>
    <w:p w14:paraId="1105E588">
      <w:pPr>
        <w:pStyle w:val="2"/>
        <w:spacing w:line="600" w:lineRule="atLeast"/>
        <w:rPr>
          <w:rFonts w:hint="eastAsia" w:ascii="Times New Roman" w:hAnsi="Times New Roman" w:eastAsia="方正小标宋简体" w:cs="Times New Roman"/>
          <w:kern w:val="2"/>
          <w:sz w:val="36"/>
          <w:szCs w:val="36"/>
          <w:lang w:val="en-US" w:eastAsia="zh-CN" w:bidi="ar-SA"/>
        </w:rPr>
      </w:pPr>
      <w:bookmarkStart w:id="77" w:name="_Toc17365"/>
      <w:bookmarkStart w:id="78" w:name="_Toc6577"/>
      <w:bookmarkStart w:id="79" w:name="_Toc26665"/>
      <w:r>
        <w:rPr>
          <w:rFonts w:hint="eastAsia" w:ascii="Times New Roman" w:hAnsi="Times New Roman" w:eastAsia="方正小标宋简体" w:cs="Times New Roman"/>
          <w:kern w:val="2"/>
          <w:sz w:val="36"/>
          <w:szCs w:val="36"/>
          <w:lang w:val="en-US" w:eastAsia="zh-CN" w:bidi="ar-SA"/>
        </w:rPr>
        <w:t>第五章 农场场部用地布局与结构</w:t>
      </w:r>
      <w:bookmarkEnd w:id="77"/>
    </w:p>
    <w:p w14:paraId="2A43458B">
      <w:pPr>
        <w:pStyle w:val="31"/>
        <w:spacing w:before="156" w:beforeLines="50" w:after="156" w:afterLines="50" w:line="600" w:lineRule="atLeast"/>
        <w:ind w:firstLine="0" w:firstLineChars="0"/>
        <w:rPr>
          <w:rFonts w:hint="eastAsia" w:ascii="Times New Roman" w:hAnsi="Times New Roman" w:cs="Times New Roman"/>
          <w:highlight w:val="none"/>
        </w:rPr>
      </w:pPr>
      <w:bookmarkStart w:id="80" w:name="_Toc5087"/>
      <w:bookmarkStart w:id="81" w:name="_Toc5054"/>
      <w:r>
        <w:rPr>
          <w:rFonts w:hint="eastAsia" w:ascii="Times New Roman" w:hAnsi="Times New Roman" w:cs="Times New Roman"/>
          <w:highlight w:val="none"/>
        </w:rPr>
        <w:t>第一节 优化空间结构与用地布局</w:t>
      </w:r>
      <w:bookmarkEnd w:id="80"/>
      <w:bookmarkEnd w:id="81"/>
    </w:p>
    <w:p w14:paraId="7D47C2BA">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优化空间结构</w:t>
      </w:r>
    </w:p>
    <w:p w14:paraId="450660D1">
      <w:pPr>
        <w:pStyle w:val="18"/>
        <w:spacing w:line="600" w:lineRule="atLeas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规划形成</w:t>
      </w:r>
      <w:r>
        <w:rPr>
          <w:rFonts w:hint="eastAsia" w:ascii="Times New Roman" w:hAnsi="Times New Roman" w:eastAsia="仿宋_GB2312" w:cs="Times New Roman"/>
          <w:kern w:val="2"/>
          <w:sz w:val="32"/>
          <w:szCs w:val="32"/>
          <w:lang w:val="en-US" w:eastAsia="zh-CN" w:bidi="ar-SA"/>
        </w:rPr>
        <w:t>“两</w:t>
      </w:r>
      <w:r>
        <w:rPr>
          <w:rFonts w:ascii="Times New Roman" w:hAnsi="Times New Roman" w:eastAsia="仿宋_GB2312" w:cs="Times New Roman"/>
          <w:kern w:val="2"/>
          <w:sz w:val="32"/>
          <w:szCs w:val="32"/>
          <w:lang w:val="en-US" w:eastAsia="zh-CN" w:bidi="ar-SA"/>
        </w:rPr>
        <w:t>轴、一心、</w:t>
      </w:r>
      <w:r>
        <w:rPr>
          <w:rFonts w:hint="eastAsia" w:ascii="Times New Roman" w:hAnsi="Times New Roman" w:eastAsia="仿宋_GB2312" w:cs="Times New Roman"/>
          <w:kern w:val="2"/>
          <w:sz w:val="32"/>
          <w:szCs w:val="32"/>
          <w:lang w:val="en-US" w:eastAsia="zh-CN" w:bidi="ar-SA"/>
        </w:rPr>
        <w:t>四</w:t>
      </w:r>
      <w:r>
        <w:rPr>
          <w:rFonts w:ascii="Times New Roman" w:hAnsi="Times New Roman" w:eastAsia="仿宋_GB2312" w:cs="Times New Roman"/>
          <w:kern w:val="2"/>
          <w:sz w:val="32"/>
          <w:szCs w:val="32"/>
          <w:lang w:val="en-US" w:eastAsia="zh-CN" w:bidi="ar-SA"/>
        </w:rPr>
        <w:t>区</w:t>
      </w:r>
      <w:r>
        <w:rPr>
          <w:rFonts w:hint="eastAsia" w:ascii="Times New Roman" w:hAnsi="Times New Roman" w:eastAsia="仿宋_GB2312" w:cs="Times New Roman"/>
          <w:kern w:val="2"/>
          <w:sz w:val="32"/>
          <w:szCs w:val="32"/>
          <w:lang w:val="en-US" w:eastAsia="zh-CN" w:bidi="ar-SA"/>
        </w:rPr>
        <w:t>”</w:t>
      </w:r>
      <w:r>
        <w:rPr>
          <w:rFonts w:ascii="Times New Roman" w:hAnsi="Times New Roman" w:eastAsia="仿宋_GB2312" w:cs="Times New Roman"/>
          <w:kern w:val="2"/>
          <w:sz w:val="32"/>
          <w:szCs w:val="32"/>
          <w:lang w:val="en-US" w:eastAsia="zh-CN" w:bidi="ar-SA"/>
        </w:rPr>
        <w:t>的用地布局结构。</w:t>
      </w:r>
    </w:p>
    <w:p w14:paraId="20BD0686">
      <w:pPr>
        <w:pStyle w:val="18"/>
        <w:spacing w:line="600" w:lineRule="atLeas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两</w:t>
      </w:r>
      <w:r>
        <w:rPr>
          <w:rFonts w:ascii="Times New Roman" w:hAnsi="Times New Roman" w:eastAsia="仿宋_GB2312" w:cs="Times New Roman"/>
          <w:kern w:val="2"/>
          <w:sz w:val="32"/>
          <w:szCs w:val="32"/>
          <w:lang w:val="en-US" w:eastAsia="zh-CN" w:bidi="ar-SA"/>
        </w:rPr>
        <w:t>轴”：指城镇发展主轴——指以</w:t>
      </w:r>
      <w:r>
        <w:rPr>
          <w:rFonts w:hint="eastAsia" w:ascii="Times New Roman" w:hAnsi="Times New Roman" w:eastAsia="仿宋_GB2312" w:cs="Times New Roman"/>
          <w:kern w:val="2"/>
          <w:sz w:val="32"/>
          <w:szCs w:val="32"/>
          <w:lang w:val="en-US" w:eastAsia="zh-CN" w:bidi="ar-SA"/>
        </w:rPr>
        <w:t>中心</w:t>
      </w:r>
      <w:r>
        <w:rPr>
          <w:rFonts w:ascii="Times New Roman" w:hAnsi="Times New Roman" w:eastAsia="仿宋_GB2312" w:cs="Times New Roman"/>
          <w:kern w:val="2"/>
          <w:sz w:val="32"/>
          <w:szCs w:val="32"/>
          <w:lang w:val="en-US" w:eastAsia="zh-CN" w:bidi="ar-SA"/>
        </w:rPr>
        <w:t>为核心</w:t>
      </w:r>
      <w:r>
        <w:rPr>
          <w:rFonts w:hint="eastAsia" w:ascii="Times New Roman" w:hAnsi="Times New Roman" w:eastAsia="仿宋_GB2312" w:cs="Times New Roman"/>
          <w:kern w:val="2"/>
          <w:sz w:val="32"/>
          <w:szCs w:val="32"/>
          <w:lang w:val="en-US" w:eastAsia="zh-CN" w:bidi="ar-SA"/>
        </w:rPr>
        <w:t>的东西</w:t>
      </w:r>
      <w:r>
        <w:rPr>
          <w:rFonts w:ascii="Times New Roman" w:hAnsi="Times New Roman" w:eastAsia="仿宋_GB2312" w:cs="Times New Roman"/>
          <w:kern w:val="2"/>
          <w:sz w:val="32"/>
          <w:szCs w:val="32"/>
          <w:lang w:val="en-US" w:eastAsia="zh-CN" w:bidi="ar-SA"/>
        </w:rPr>
        <w:t>向城镇</w:t>
      </w:r>
      <w:r>
        <w:rPr>
          <w:rFonts w:hint="eastAsia" w:ascii="Times New Roman" w:hAnsi="Times New Roman" w:eastAsia="仿宋_GB2312" w:cs="Times New Roman"/>
          <w:kern w:val="2"/>
          <w:sz w:val="32"/>
          <w:szCs w:val="32"/>
          <w:lang w:val="en-US" w:eastAsia="zh-CN" w:bidi="ar-SA"/>
        </w:rPr>
        <w:t>内部</w:t>
      </w:r>
      <w:r>
        <w:rPr>
          <w:rFonts w:ascii="Times New Roman" w:hAnsi="Times New Roman" w:eastAsia="仿宋_GB2312" w:cs="Times New Roman"/>
          <w:kern w:val="2"/>
          <w:sz w:val="32"/>
          <w:szCs w:val="32"/>
          <w:lang w:val="en-US" w:eastAsia="zh-CN" w:bidi="ar-SA"/>
        </w:rPr>
        <w:t>发展轴</w:t>
      </w:r>
      <w:r>
        <w:rPr>
          <w:rFonts w:hint="eastAsia" w:ascii="Times New Roman" w:hAnsi="Times New Roman" w:eastAsia="仿宋_GB2312" w:cs="Times New Roman"/>
          <w:kern w:val="2"/>
          <w:sz w:val="32"/>
          <w:szCs w:val="32"/>
          <w:lang w:val="en-US" w:eastAsia="zh-CN" w:bidi="ar-SA"/>
        </w:rPr>
        <w:t>和以江川路为核心南北向贯通的对外发展轴。</w:t>
      </w:r>
    </w:p>
    <w:p w14:paraId="0EAFF8EE">
      <w:pPr>
        <w:pStyle w:val="18"/>
        <w:spacing w:line="600" w:lineRule="atLeas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“一心”：指综合服务中心——</w:t>
      </w:r>
      <w:r>
        <w:rPr>
          <w:rFonts w:hint="eastAsia" w:ascii="Times New Roman" w:hAnsi="Times New Roman" w:eastAsia="仿宋_GB2312" w:cs="Times New Roman"/>
          <w:kern w:val="2"/>
          <w:sz w:val="32"/>
          <w:szCs w:val="32"/>
          <w:lang w:val="en-US" w:eastAsia="zh-CN" w:bidi="ar-SA"/>
        </w:rPr>
        <w:t>农场政府所在地</w:t>
      </w:r>
      <w:r>
        <w:rPr>
          <w:rFonts w:ascii="Times New Roman" w:hAnsi="Times New Roman" w:eastAsia="仿宋_GB2312" w:cs="Times New Roman"/>
          <w:kern w:val="2"/>
          <w:sz w:val="32"/>
          <w:szCs w:val="32"/>
          <w:lang w:val="en-US" w:eastAsia="zh-CN" w:bidi="ar-SA"/>
        </w:rPr>
        <w:t>，是集生活休闲、公共服务、商业贸易等多种功能为一体的综合服务中心。</w:t>
      </w:r>
    </w:p>
    <w:p w14:paraId="0FED896C">
      <w:pPr>
        <w:pStyle w:val="18"/>
        <w:spacing w:line="600" w:lineRule="atLeast"/>
        <w:ind w:firstLine="640" w:firstLineChars="200"/>
        <w:jc w:val="both"/>
        <w:rPr>
          <w:rFonts w:ascii="Times New Roman" w:hAnsi="Times New Roman" w:eastAsia="仿宋_GB2312" w:cs="Times New Roman"/>
          <w:kern w:val="2"/>
          <w:sz w:val="32"/>
          <w:szCs w:val="32"/>
          <w:lang w:val="en-US" w:eastAsia="zh-CN" w:bidi="ar-SA"/>
        </w:rPr>
      </w:pPr>
      <w:r>
        <w:rPr>
          <w:rFonts w:ascii="Times New Roman" w:hAnsi="Times New Roman" w:eastAsia="仿宋_GB2312" w:cs="Times New Roman"/>
          <w:kern w:val="2"/>
          <w:sz w:val="32"/>
          <w:szCs w:val="32"/>
          <w:lang w:val="en-US" w:eastAsia="zh-CN" w:bidi="ar-SA"/>
        </w:rPr>
        <w:t>“</w:t>
      </w:r>
      <w:r>
        <w:rPr>
          <w:rFonts w:hint="eastAsia" w:ascii="Times New Roman" w:hAnsi="Times New Roman" w:eastAsia="仿宋_GB2312" w:cs="Times New Roman"/>
          <w:kern w:val="2"/>
          <w:sz w:val="32"/>
          <w:szCs w:val="32"/>
          <w:lang w:val="en-US" w:eastAsia="zh-CN" w:bidi="ar-SA"/>
        </w:rPr>
        <w:t>四</w:t>
      </w:r>
      <w:r>
        <w:rPr>
          <w:rFonts w:ascii="Times New Roman" w:hAnsi="Times New Roman" w:eastAsia="仿宋_GB2312" w:cs="Times New Roman"/>
          <w:kern w:val="2"/>
          <w:sz w:val="32"/>
          <w:szCs w:val="32"/>
          <w:lang w:val="en-US" w:eastAsia="zh-CN" w:bidi="ar-SA"/>
        </w:rPr>
        <w:t>区”：指</w:t>
      </w:r>
      <w:r>
        <w:rPr>
          <w:rFonts w:hint="eastAsia" w:ascii="Times New Roman" w:hAnsi="Times New Roman" w:eastAsia="仿宋_GB2312" w:cs="Times New Roman"/>
          <w:kern w:val="2"/>
          <w:sz w:val="32"/>
          <w:szCs w:val="32"/>
          <w:lang w:val="en-US" w:eastAsia="zh-CN" w:bidi="ar-SA"/>
        </w:rPr>
        <w:t>东</w:t>
      </w:r>
      <w:r>
        <w:rPr>
          <w:rFonts w:ascii="Times New Roman" w:hAnsi="Times New Roman" w:eastAsia="仿宋_GB2312" w:cs="Times New Roman"/>
          <w:kern w:val="2"/>
          <w:sz w:val="32"/>
          <w:szCs w:val="32"/>
          <w:lang w:val="en-US" w:eastAsia="zh-CN" w:bidi="ar-SA"/>
        </w:rPr>
        <w:t>部</w:t>
      </w:r>
      <w:r>
        <w:rPr>
          <w:rFonts w:hint="eastAsia" w:ascii="Times New Roman" w:hAnsi="Times New Roman" w:eastAsia="仿宋_GB2312" w:cs="Times New Roman"/>
          <w:kern w:val="2"/>
          <w:sz w:val="32"/>
          <w:szCs w:val="32"/>
          <w:lang w:val="en-US" w:eastAsia="zh-CN" w:bidi="ar-SA"/>
        </w:rPr>
        <w:t>科教公服休闲</w:t>
      </w:r>
      <w:r>
        <w:rPr>
          <w:rFonts w:ascii="Times New Roman" w:hAnsi="Times New Roman" w:eastAsia="仿宋_GB2312" w:cs="Times New Roman"/>
          <w:kern w:val="2"/>
          <w:sz w:val="32"/>
          <w:szCs w:val="32"/>
          <w:lang w:val="en-US" w:eastAsia="zh-CN" w:bidi="ar-SA"/>
        </w:rPr>
        <w:t>区、</w:t>
      </w:r>
      <w:r>
        <w:rPr>
          <w:rFonts w:hint="eastAsia" w:ascii="Times New Roman" w:hAnsi="Times New Roman" w:eastAsia="仿宋_GB2312" w:cs="Times New Roman"/>
          <w:kern w:val="2"/>
          <w:sz w:val="32"/>
          <w:szCs w:val="32"/>
          <w:lang w:val="en-US" w:eastAsia="zh-CN" w:bidi="ar-SA"/>
        </w:rPr>
        <w:t>中部商业服务区，西北</w:t>
      </w:r>
      <w:r>
        <w:rPr>
          <w:rFonts w:ascii="Times New Roman" w:hAnsi="Times New Roman" w:eastAsia="仿宋_GB2312" w:cs="Times New Roman"/>
          <w:kern w:val="2"/>
          <w:sz w:val="32"/>
          <w:szCs w:val="32"/>
          <w:lang w:val="en-US" w:eastAsia="zh-CN" w:bidi="ar-SA"/>
        </w:rPr>
        <w:t>部宜居宜业区</w:t>
      </w:r>
      <w:r>
        <w:rPr>
          <w:rFonts w:hint="eastAsia" w:ascii="Times New Roman" w:hAnsi="Times New Roman" w:eastAsia="仿宋_GB2312" w:cs="Times New Roman"/>
          <w:kern w:val="2"/>
          <w:sz w:val="32"/>
          <w:szCs w:val="32"/>
          <w:lang w:val="en-US" w:eastAsia="zh-CN" w:bidi="ar-SA"/>
        </w:rPr>
        <w:t>，南部工业仓储区。</w:t>
      </w:r>
    </w:p>
    <w:p w14:paraId="26BDA83D">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优化规划分区</w:t>
      </w:r>
    </w:p>
    <w:p w14:paraId="54EBE1E2">
      <w:pPr>
        <w:spacing w:line="600" w:lineRule="atLeast"/>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城镇集中建设区进一步划分为居住生活区、综合服务区、商业商务区、工业发展区、物流仓储区、绿地休闲区、交通枢纽区和战略预留区8个主导功能分区进行布局引导。</w:t>
      </w:r>
    </w:p>
    <w:p w14:paraId="78457E01">
      <w:pPr>
        <w:spacing w:line="600" w:lineRule="atLeast"/>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各规划分区可根据主导功能布局符合发展要求的配套用地与兼容用地；分区层面对主导功能分区进行细化，确定土地性质；单元层面应确定不同地块划分、地块的使用性质以及相关控制指标。</w:t>
      </w:r>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5"/>
        <w:gridCol w:w="1800"/>
        <w:gridCol w:w="5463"/>
      </w:tblGrid>
      <w:tr w14:paraId="644E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528" w:type="dxa"/>
            <w:gridSpan w:val="3"/>
            <w:vAlign w:val="center"/>
          </w:tcPr>
          <w:p w14:paraId="7AD38610">
            <w:pPr>
              <w:pStyle w:val="18"/>
              <w:rPr>
                <w:rFonts w:ascii="Times New Roman" w:hAnsi="Times New Roman" w:eastAsia="仿宋_GB2312"/>
                <w:bCs w:val="0"/>
                <w:color w:val="auto"/>
                <w:sz w:val="24"/>
                <w:highlight w:val="none"/>
              </w:rPr>
            </w:pPr>
            <w:r>
              <w:rPr>
                <w:rFonts w:ascii="Times New Roman" w:hAnsi="Times New Roman" w:eastAsia="黑体"/>
                <w:bCs w:val="0"/>
                <w:color w:val="auto"/>
                <w:sz w:val="30"/>
                <w:szCs w:val="30"/>
                <w:highlight w:val="none"/>
              </w:rPr>
              <w:t>专栏</w:t>
            </w:r>
            <w:r>
              <w:rPr>
                <w:rFonts w:hint="eastAsia" w:ascii="Times New Roman" w:hAnsi="Times New Roman" w:eastAsia="黑体"/>
                <w:bCs w:val="0"/>
                <w:color w:val="auto"/>
                <w:sz w:val="30"/>
                <w:szCs w:val="30"/>
                <w:highlight w:val="none"/>
                <w:lang w:val="en-US" w:eastAsia="zh-CN"/>
              </w:rPr>
              <w:t>5</w:t>
            </w:r>
            <w:r>
              <w:rPr>
                <w:rFonts w:hint="eastAsia" w:ascii="Times New Roman" w:hAnsi="Times New Roman" w:eastAsia="黑体"/>
                <w:bCs w:val="0"/>
                <w:color w:val="auto"/>
                <w:sz w:val="30"/>
                <w:szCs w:val="30"/>
                <w:highlight w:val="none"/>
              </w:rPr>
              <w:t xml:space="preserve"> </w:t>
            </w:r>
            <w:r>
              <w:rPr>
                <w:rFonts w:hint="eastAsia" w:ascii="Times New Roman" w:hAnsi="Times New Roman" w:eastAsia="黑体"/>
                <w:bCs w:val="0"/>
                <w:color w:val="auto"/>
                <w:sz w:val="30"/>
                <w:szCs w:val="30"/>
                <w:highlight w:val="none"/>
                <w:lang w:val="en-US" w:eastAsia="zh-CN"/>
              </w:rPr>
              <w:t>农场场部</w:t>
            </w:r>
            <w:r>
              <w:rPr>
                <w:rFonts w:ascii="Times New Roman" w:hAnsi="Times New Roman" w:eastAsia="黑体"/>
                <w:bCs w:val="0"/>
                <w:color w:val="auto"/>
                <w:sz w:val="30"/>
                <w:szCs w:val="30"/>
                <w:highlight w:val="none"/>
              </w:rPr>
              <w:t>集中建设区主导功能类型及功能引导方向</w:t>
            </w:r>
          </w:p>
        </w:tc>
      </w:tr>
      <w:tr w14:paraId="1135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65" w:type="dxa"/>
            <w:vAlign w:val="center"/>
          </w:tcPr>
          <w:p w14:paraId="326C2618">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序号</w:t>
            </w:r>
          </w:p>
        </w:tc>
        <w:tc>
          <w:tcPr>
            <w:tcW w:w="1800" w:type="dxa"/>
            <w:vAlign w:val="center"/>
          </w:tcPr>
          <w:p w14:paraId="4BCCE00C">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主导功能分区</w:t>
            </w:r>
          </w:p>
        </w:tc>
        <w:tc>
          <w:tcPr>
            <w:tcW w:w="5463" w:type="dxa"/>
            <w:vAlign w:val="center"/>
          </w:tcPr>
          <w:p w14:paraId="7F34F3F6">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功能引导方向</w:t>
            </w:r>
          </w:p>
        </w:tc>
      </w:tr>
      <w:tr w14:paraId="5D891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7CED871E">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1</w:t>
            </w:r>
          </w:p>
        </w:tc>
        <w:tc>
          <w:tcPr>
            <w:tcW w:w="1800" w:type="dxa"/>
            <w:vAlign w:val="center"/>
          </w:tcPr>
          <w:p w14:paraId="76D9CB86">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居住生活区</w:t>
            </w:r>
          </w:p>
        </w:tc>
        <w:tc>
          <w:tcPr>
            <w:tcW w:w="5463" w:type="dxa"/>
          </w:tcPr>
          <w:p w14:paraId="1B802226">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片区由居住用地构成，以住宅建筑和居住配套设施为主要功能导向，</w:t>
            </w:r>
          </w:p>
        </w:tc>
      </w:tr>
      <w:tr w14:paraId="3C6D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6888F9AD">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2</w:t>
            </w:r>
          </w:p>
        </w:tc>
        <w:tc>
          <w:tcPr>
            <w:tcW w:w="1800" w:type="dxa"/>
            <w:vAlign w:val="center"/>
          </w:tcPr>
          <w:p w14:paraId="75593678">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综合服务区</w:t>
            </w:r>
          </w:p>
        </w:tc>
        <w:tc>
          <w:tcPr>
            <w:tcW w:w="5463" w:type="dxa"/>
          </w:tcPr>
          <w:p w14:paraId="3ABC1AAD">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片区以提供行政办公、文化、教育、医疗、市政基础设施以及综合商业等服务为主要的功能导向。</w:t>
            </w:r>
          </w:p>
        </w:tc>
      </w:tr>
      <w:tr w14:paraId="7AF42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5AD789CF">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3</w:t>
            </w:r>
          </w:p>
        </w:tc>
        <w:tc>
          <w:tcPr>
            <w:tcW w:w="1800" w:type="dxa"/>
            <w:vAlign w:val="center"/>
          </w:tcPr>
          <w:p w14:paraId="5AB726B7">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商业商务区</w:t>
            </w:r>
          </w:p>
        </w:tc>
        <w:tc>
          <w:tcPr>
            <w:tcW w:w="5463" w:type="dxa"/>
          </w:tcPr>
          <w:p w14:paraId="2C317AF5">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片区主要以提供商业、商务办公等就业岗位为主要的功能导向。</w:t>
            </w:r>
          </w:p>
        </w:tc>
      </w:tr>
      <w:tr w14:paraId="2336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3FFA2C4A">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4</w:t>
            </w:r>
          </w:p>
        </w:tc>
        <w:tc>
          <w:tcPr>
            <w:tcW w:w="1800" w:type="dxa"/>
            <w:vAlign w:val="center"/>
          </w:tcPr>
          <w:p w14:paraId="069F6C30">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工业发展区</w:t>
            </w:r>
          </w:p>
        </w:tc>
        <w:tc>
          <w:tcPr>
            <w:tcW w:w="5463" w:type="dxa"/>
          </w:tcPr>
          <w:p w14:paraId="1AED9546">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片区以工业及其配套产业为主要的功能导向。</w:t>
            </w:r>
          </w:p>
        </w:tc>
      </w:tr>
      <w:tr w14:paraId="534E2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62F4C4EE">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5</w:t>
            </w:r>
          </w:p>
        </w:tc>
        <w:tc>
          <w:tcPr>
            <w:tcW w:w="1800" w:type="dxa"/>
            <w:vAlign w:val="center"/>
          </w:tcPr>
          <w:p w14:paraId="0DAF462A">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物流仓储区</w:t>
            </w:r>
          </w:p>
        </w:tc>
        <w:tc>
          <w:tcPr>
            <w:tcW w:w="5463" w:type="dxa"/>
          </w:tcPr>
          <w:p w14:paraId="3EF516F1">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片区以物流仓储及其配套产业为主要的功能导向。</w:t>
            </w:r>
          </w:p>
        </w:tc>
      </w:tr>
      <w:tr w14:paraId="74905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5AB4601C">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6</w:t>
            </w:r>
          </w:p>
        </w:tc>
        <w:tc>
          <w:tcPr>
            <w:tcW w:w="1800" w:type="dxa"/>
            <w:vAlign w:val="center"/>
          </w:tcPr>
          <w:p w14:paraId="0BD63409">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绿地休闲区</w:t>
            </w:r>
          </w:p>
        </w:tc>
        <w:tc>
          <w:tcPr>
            <w:tcW w:w="5463" w:type="dxa"/>
          </w:tcPr>
          <w:p w14:paraId="7FE77C18">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片区以公园绿地、广场用地、防护绿地等为主要的功能导向。</w:t>
            </w:r>
          </w:p>
        </w:tc>
      </w:tr>
      <w:tr w14:paraId="190C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6CEA5DAE">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7</w:t>
            </w:r>
          </w:p>
        </w:tc>
        <w:tc>
          <w:tcPr>
            <w:tcW w:w="1800" w:type="dxa"/>
            <w:vAlign w:val="center"/>
          </w:tcPr>
          <w:p w14:paraId="227AB723">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交通枢纽区</w:t>
            </w:r>
          </w:p>
        </w:tc>
        <w:tc>
          <w:tcPr>
            <w:tcW w:w="5463" w:type="dxa"/>
          </w:tcPr>
          <w:p w14:paraId="6985A905">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片区包括公路用地、铁路用地、城镇道路用地、交通场站用地及其他交通设施用地。</w:t>
            </w:r>
          </w:p>
        </w:tc>
      </w:tr>
      <w:tr w14:paraId="688C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5" w:type="dxa"/>
            <w:vAlign w:val="center"/>
          </w:tcPr>
          <w:p w14:paraId="53954DB9">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8</w:t>
            </w:r>
          </w:p>
        </w:tc>
        <w:tc>
          <w:tcPr>
            <w:tcW w:w="1800" w:type="dxa"/>
            <w:vAlign w:val="center"/>
          </w:tcPr>
          <w:p w14:paraId="1365121B">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战略预留区</w:t>
            </w:r>
          </w:p>
        </w:tc>
        <w:tc>
          <w:tcPr>
            <w:tcW w:w="5463" w:type="dxa"/>
          </w:tcPr>
          <w:p w14:paraId="44FBE7FA">
            <w:pPr>
              <w:pStyle w:val="18"/>
              <w:rPr>
                <w:rFonts w:ascii="Times New Roman" w:hAnsi="Times New Roman" w:eastAsia="仿宋_GB2312"/>
                <w:bCs w:val="0"/>
                <w:color w:val="auto"/>
                <w:sz w:val="24"/>
                <w:highlight w:val="none"/>
              </w:rPr>
            </w:pPr>
            <w:r>
              <w:rPr>
                <w:rFonts w:ascii="Times New Roman" w:hAnsi="Times New Roman" w:eastAsia="仿宋_GB2312"/>
                <w:bCs w:val="0"/>
                <w:color w:val="auto"/>
                <w:sz w:val="24"/>
                <w:highlight w:val="none"/>
              </w:rPr>
              <w:t>片区为城镇重大战略性功能控制提供战略留白。</w:t>
            </w:r>
          </w:p>
        </w:tc>
      </w:tr>
    </w:tbl>
    <w:p w14:paraId="28EC9B21">
      <w:pPr>
        <w:pStyle w:val="31"/>
        <w:spacing w:before="156" w:beforeLines="50" w:after="156" w:afterLines="50" w:line="600" w:lineRule="atLeast"/>
        <w:ind w:firstLine="0" w:firstLineChars="0"/>
        <w:rPr>
          <w:rFonts w:hint="default" w:ascii="Times New Roman" w:hAnsi="Times New Roman" w:cs="Times New Roman"/>
          <w:highlight w:val="none"/>
          <w:lang w:val="en-US" w:eastAsia="zh-CN"/>
        </w:rPr>
      </w:pPr>
      <w:bookmarkStart w:id="82" w:name="_Toc13094"/>
      <w:bookmarkStart w:id="83" w:name="_Toc1836"/>
      <w:bookmarkStart w:id="84" w:name="_Toc22588"/>
      <w:bookmarkStart w:id="85" w:name="_Toc107904351"/>
      <w:bookmarkStart w:id="86" w:name="_Toc25293"/>
      <w:bookmarkStart w:id="87" w:name="_Toc15312"/>
      <w:bookmarkStart w:id="88" w:name="_Toc20098"/>
      <w:bookmarkStart w:id="89" w:name="_Toc17458"/>
      <w:bookmarkStart w:id="90" w:name="_Toc3915"/>
      <w:bookmarkStart w:id="91" w:name="_Toc97277980"/>
      <w:bookmarkStart w:id="92" w:name="_Toc18296"/>
      <w:bookmarkStart w:id="93" w:name="_Toc32745"/>
      <w:r>
        <w:rPr>
          <w:rFonts w:hint="eastAsia" w:ascii="Times New Roman" w:hAnsi="Times New Roman" w:cs="Times New Roman"/>
          <w:highlight w:val="none"/>
        </w:rPr>
        <w:t xml:space="preserve">第二节 </w:t>
      </w:r>
      <w:r>
        <w:rPr>
          <w:rFonts w:hint="eastAsia" w:ascii="Times New Roman" w:hAnsi="Times New Roman" w:cs="Times New Roman"/>
          <w:highlight w:val="none"/>
          <w:lang w:val="en-US" w:eastAsia="zh-CN"/>
        </w:rPr>
        <w:t>居住空间布局</w:t>
      </w:r>
      <w:bookmarkEnd w:id="82"/>
    </w:p>
    <w:p w14:paraId="0841ED16">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 xml:space="preserve">住房保障 </w:t>
      </w:r>
    </w:p>
    <w:p w14:paraId="5D834B66">
      <w:pPr>
        <w:pStyle w:val="18"/>
        <w:spacing w:line="600" w:lineRule="atLeast"/>
        <w:ind w:firstLine="640" w:firstLineChars="200"/>
        <w:jc w:val="both"/>
        <w:rPr>
          <w:rFonts w:hint="eastAsia" w:ascii="Times New Roman" w:hAnsi="Times New Roman" w:eastAsia="仿宋_GB2312" w:cs="Times New Roman"/>
          <w:bCs w:val="0"/>
          <w:sz w:val="32"/>
          <w:szCs w:val="32"/>
        </w:rPr>
      </w:pPr>
      <w:r>
        <w:rPr>
          <w:rFonts w:hint="eastAsia" w:ascii="Times New Roman" w:hAnsi="Times New Roman" w:eastAsia="仿宋_GB2312" w:cs="Times New Roman"/>
          <w:bCs w:val="0"/>
          <w:sz w:val="32"/>
          <w:szCs w:val="32"/>
          <w:lang w:val="en-US" w:eastAsia="zh-CN"/>
        </w:rPr>
        <w:t>提高土地节约集约利用水平，运用市场机制盘活存量土地和低效用地，做好土地储备和整理工作。统筹安排危房改造、人居环境整治等各项建设。严格控制高层高密度住宅建设。</w:t>
      </w:r>
    </w:p>
    <w:p w14:paraId="44F9DEA1">
      <w:pPr>
        <w:spacing w:line="600" w:lineRule="atLeast"/>
        <w:ind w:firstLine="640" w:firstLineChars="200"/>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江川农场场部居住用地主要分布在南部，江川农场学校西侧。规划以城镇居住用地为主，条件允许可进行多层住宅建设，提高土地利用效率。居住用地以存量更新为主，增量建设为辅。</w:t>
      </w:r>
    </w:p>
    <w:p w14:paraId="53223DBE">
      <w:pPr>
        <w:pStyle w:val="31"/>
        <w:spacing w:before="156" w:beforeLines="50" w:after="156" w:afterLines="50" w:line="600" w:lineRule="atLeast"/>
        <w:ind w:firstLine="0" w:firstLineChars="0"/>
        <w:rPr>
          <w:rFonts w:hint="eastAsia" w:ascii="Times New Roman" w:hAnsi="Times New Roman" w:cs="Times New Roman"/>
          <w:highlight w:val="none"/>
          <w:lang w:val="en-US" w:eastAsia="zh-CN"/>
        </w:rPr>
      </w:pPr>
      <w:bookmarkStart w:id="94" w:name="_Toc7537"/>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三</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公共服务空间布局</w:t>
      </w:r>
      <w:bookmarkEnd w:id="94"/>
    </w:p>
    <w:p w14:paraId="6744FED8">
      <w:pPr>
        <w:keepNext w:val="0"/>
        <w:keepLines w:val="0"/>
        <w:widowControl/>
        <w:suppressLineNumbers w:val="0"/>
        <w:ind w:firstLine="640" w:firstLineChars="200"/>
        <w:jc w:val="both"/>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以完善体系、增加数量、提高品质、均衡布局、弹性预留为原则，优化公共服务设施配置，优化各类用地布局。</w:t>
      </w:r>
    </w:p>
    <w:p w14:paraId="6F5624B1">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机关团体用地</w:t>
      </w:r>
    </w:p>
    <w:p w14:paraId="73DEE098">
      <w:pPr>
        <w:keepNext w:val="0"/>
        <w:keepLines w:val="0"/>
        <w:widowControl/>
        <w:suppressLineNumbers w:val="0"/>
        <w:ind w:firstLine="640" w:firstLineChars="200"/>
        <w:jc w:val="both"/>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规划保留现状位于</w:t>
      </w:r>
      <w:r>
        <w:rPr>
          <w:rFonts w:hint="default" w:ascii="Times New Roman" w:hAnsi="Times New Roman" w:cs="Times New Roman"/>
          <w:color w:val="auto"/>
          <w:kern w:val="0"/>
          <w:sz w:val="32"/>
          <w:szCs w:val="32"/>
          <w:highlight w:val="none"/>
          <w:lang w:val="en-US" w:eastAsia="zh-CN" w:bidi="ar"/>
        </w:rPr>
        <w:t>繁华中心路东侧</w:t>
      </w:r>
      <w:r>
        <w:rPr>
          <w:rFonts w:hint="default" w:ascii="Times New Roman" w:hAnsi="Times New Roman" w:eastAsia="仿宋_GB2312" w:cs="Times New Roman"/>
          <w:color w:val="auto"/>
          <w:kern w:val="0"/>
          <w:sz w:val="32"/>
          <w:szCs w:val="32"/>
          <w:highlight w:val="none"/>
          <w:lang w:val="en-US" w:eastAsia="zh-CN" w:bidi="ar"/>
        </w:rPr>
        <w:t>的镇政府办公用地</w:t>
      </w:r>
      <w:r>
        <w:rPr>
          <w:rFonts w:hint="default" w:ascii="Times New Roman" w:hAnsi="Times New Roman" w:cs="Times New Roman"/>
          <w:color w:val="auto"/>
          <w:kern w:val="0"/>
          <w:sz w:val="32"/>
          <w:szCs w:val="32"/>
          <w:highlight w:val="none"/>
          <w:lang w:val="en-US" w:eastAsia="zh-CN" w:bidi="ar"/>
        </w:rPr>
        <w:t>和西</w:t>
      </w:r>
      <w:r>
        <w:rPr>
          <w:rFonts w:hint="default" w:ascii="Times New Roman" w:hAnsi="Times New Roman" w:eastAsia="仿宋_GB2312" w:cs="Times New Roman"/>
          <w:color w:val="auto"/>
          <w:kern w:val="0"/>
          <w:sz w:val="32"/>
          <w:szCs w:val="32"/>
          <w:highlight w:val="none"/>
          <w:lang w:val="en-US" w:eastAsia="zh-CN" w:bidi="ar"/>
        </w:rPr>
        <w:t>侧的</w:t>
      </w:r>
      <w:r>
        <w:rPr>
          <w:rFonts w:hint="default" w:ascii="Times New Roman" w:hAnsi="Times New Roman" w:cs="Times New Roman"/>
          <w:color w:val="auto"/>
          <w:kern w:val="0"/>
          <w:sz w:val="32"/>
          <w:szCs w:val="32"/>
          <w:highlight w:val="none"/>
          <w:lang w:val="en-US" w:eastAsia="zh-CN" w:bidi="ar"/>
        </w:rPr>
        <w:t>村委会</w:t>
      </w:r>
      <w:r>
        <w:rPr>
          <w:rFonts w:hint="default" w:ascii="Times New Roman" w:hAnsi="Times New Roman" w:eastAsia="仿宋_GB2312" w:cs="Times New Roman"/>
          <w:color w:val="auto"/>
          <w:kern w:val="0"/>
          <w:sz w:val="32"/>
          <w:szCs w:val="32"/>
          <w:highlight w:val="none"/>
          <w:lang w:val="en-US" w:eastAsia="zh-CN" w:bidi="ar"/>
        </w:rPr>
        <w:t>办公用地。</w:t>
      </w:r>
    </w:p>
    <w:p w14:paraId="73BB84CF">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文化设施</w:t>
      </w:r>
    </w:p>
    <w:p w14:paraId="60B49F23">
      <w:pPr>
        <w:spacing w:line="600"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农场场部</w:t>
      </w:r>
      <w:r>
        <w:rPr>
          <w:rFonts w:hint="default" w:ascii="Times New Roman" w:hAnsi="Times New Roman" w:eastAsia="仿宋_GB2312" w:cs="Times New Roman"/>
          <w:kern w:val="2"/>
          <w:sz w:val="32"/>
          <w:szCs w:val="32"/>
          <w:highlight w:val="none"/>
          <w:lang w:val="en-US" w:eastAsia="zh-CN" w:bidi="ar-SA"/>
        </w:rPr>
        <w:t>不单独设置文化用地，文化设施在机关团体用地内部兼容设置。应设置书报阅览、文娱等功能，打造</w:t>
      </w:r>
      <w:r>
        <w:rPr>
          <w:rFonts w:hint="eastAsia" w:ascii="Times New Roman" w:hAnsi="Times New Roman" w:eastAsia="仿宋_GB2312" w:cs="Times New Roman"/>
          <w:kern w:val="2"/>
          <w:sz w:val="32"/>
          <w:szCs w:val="32"/>
          <w:highlight w:val="none"/>
          <w:lang w:val="en-US" w:eastAsia="zh-CN" w:bidi="ar-SA"/>
        </w:rPr>
        <w:t>农场</w:t>
      </w:r>
      <w:r>
        <w:rPr>
          <w:rFonts w:hint="default" w:ascii="Times New Roman" w:hAnsi="Times New Roman" w:eastAsia="仿宋_GB2312" w:cs="Times New Roman"/>
          <w:kern w:val="2"/>
          <w:sz w:val="32"/>
          <w:szCs w:val="32"/>
          <w:highlight w:val="none"/>
          <w:lang w:val="en-US" w:eastAsia="zh-CN" w:bidi="ar-SA"/>
        </w:rPr>
        <w:t>文化活动中心，承办</w:t>
      </w:r>
      <w:r>
        <w:rPr>
          <w:rFonts w:hint="eastAsia" w:ascii="Times New Roman" w:hAnsi="Times New Roman" w:eastAsia="仿宋_GB2312" w:cs="Times New Roman"/>
          <w:kern w:val="2"/>
          <w:sz w:val="32"/>
          <w:szCs w:val="32"/>
          <w:highlight w:val="none"/>
          <w:lang w:val="en-US" w:eastAsia="zh-CN" w:bidi="ar-SA"/>
        </w:rPr>
        <w:t>场</w:t>
      </w:r>
      <w:r>
        <w:rPr>
          <w:rFonts w:hint="default" w:ascii="Times New Roman" w:hAnsi="Times New Roman" w:eastAsia="仿宋_GB2312" w:cs="Times New Roman"/>
          <w:kern w:val="2"/>
          <w:sz w:val="32"/>
          <w:szCs w:val="32"/>
          <w:highlight w:val="none"/>
          <w:lang w:val="en-US" w:eastAsia="zh-CN" w:bidi="ar-SA"/>
        </w:rPr>
        <w:t>域大中型活动以及城镇综合服务。</w:t>
      </w:r>
    </w:p>
    <w:p w14:paraId="4F2B0BA0">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教育设施</w:t>
      </w:r>
    </w:p>
    <w:p w14:paraId="6231D359">
      <w:pPr>
        <w:spacing w:line="600" w:lineRule="atLeast"/>
        <w:ind w:firstLine="640" w:firstLineChars="200"/>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规划保留现状</w:t>
      </w:r>
      <w:r>
        <w:rPr>
          <w:rFonts w:hint="eastAsia" w:ascii="Times New Roman" w:hAnsi="Times New Roman" w:eastAsia="仿宋_GB2312" w:cs="Times New Roman"/>
          <w:kern w:val="2"/>
          <w:sz w:val="32"/>
          <w:szCs w:val="32"/>
          <w:highlight w:val="none"/>
          <w:lang w:val="en-US" w:eastAsia="zh-CN" w:bidi="ar-SA"/>
        </w:rPr>
        <w:t>幼儿园、江川农场学校，</w:t>
      </w:r>
      <w:r>
        <w:rPr>
          <w:rFonts w:hint="default" w:ascii="Times New Roman" w:hAnsi="Times New Roman" w:eastAsia="仿宋_GB2312" w:cs="Times New Roman"/>
          <w:kern w:val="2"/>
          <w:sz w:val="32"/>
          <w:szCs w:val="32"/>
          <w:highlight w:val="none"/>
          <w:lang w:val="en-US" w:eastAsia="zh-CN" w:bidi="ar-SA"/>
        </w:rPr>
        <w:t>并对其进行维护和修缮。</w:t>
      </w:r>
    </w:p>
    <w:p w14:paraId="6FB00C6D">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体育设施</w:t>
      </w:r>
    </w:p>
    <w:p w14:paraId="351A2F8F">
      <w:pPr>
        <w:pStyle w:val="18"/>
        <w:spacing w:line="600" w:lineRule="atLeas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农场场部</w:t>
      </w:r>
      <w:r>
        <w:rPr>
          <w:rFonts w:hint="default" w:ascii="Times New Roman" w:hAnsi="Times New Roman" w:eastAsia="仿宋_GB2312" w:cs="Times New Roman"/>
          <w:kern w:val="2"/>
          <w:sz w:val="32"/>
          <w:szCs w:val="32"/>
          <w:highlight w:val="none"/>
          <w:lang w:val="en-US" w:eastAsia="zh-CN" w:bidi="ar-SA"/>
        </w:rPr>
        <w:t>不单独设置体育用地，体育运动设施在绿地与开敞空间用地内部兼容设置，主要为全民健身器材、篮球场等，满足</w:t>
      </w:r>
      <w:r>
        <w:rPr>
          <w:rFonts w:hint="eastAsia" w:ascii="Times New Roman" w:hAnsi="Times New Roman" w:eastAsia="仿宋_GB2312" w:cs="Times New Roman"/>
          <w:kern w:val="2"/>
          <w:sz w:val="32"/>
          <w:szCs w:val="32"/>
          <w:highlight w:val="none"/>
          <w:lang w:val="en-US" w:eastAsia="zh-CN" w:bidi="ar-SA"/>
        </w:rPr>
        <w:t>农场居民</w:t>
      </w:r>
      <w:r>
        <w:rPr>
          <w:rFonts w:hint="default" w:ascii="Times New Roman" w:hAnsi="Times New Roman" w:eastAsia="仿宋_GB2312" w:cs="Times New Roman"/>
          <w:kern w:val="2"/>
          <w:sz w:val="32"/>
          <w:szCs w:val="32"/>
          <w:highlight w:val="none"/>
          <w:lang w:val="en-US" w:eastAsia="zh-CN" w:bidi="ar-SA"/>
        </w:rPr>
        <w:t>日常健身和举办小型比赛。</w:t>
      </w:r>
    </w:p>
    <w:p w14:paraId="76E59F90">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医疗卫生设施</w:t>
      </w:r>
    </w:p>
    <w:p w14:paraId="723E9974">
      <w:pPr>
        <w:pStyle w:val="18"/>
        <w:spacing w:line="600" w:lineRule="atLeast"/>
        <w:ind w:firstLine="640" w:firstLineChars="200"/>
        <w:jc w:val="both"/>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kern w:val="2"/>
          <w:sz w:val="32"/>
          <w:szCs w:val="32"/>
          <w:highlight w:val="none"/>
          <w:lang w:val="en-US" w:eastAsia="zh-CN" w:bidi="ar-SA"/>
        </w:rPr>
        <w:t>规划保留现状</w:t>
      </w:r>
      <w:r>
        <w:rPr>
          <w:rFonts w:hint="eastAsia" w:ascii="Times New Roman" w:hAnsi="Times New Roman" w:eastAsia="仿宋_GB2312" w:cs="Times New Roman"/>
          <w:kern w:val="2"/>
          <w:sz w:val="32"/>
          <w:szCs w:val="32"/>
          <w:highlight w:val="none"/>
          <w:lang w:val="en-US" w:eastAsia="zh-CN" w:bidi="ar-SA"/>
        </w:rPr>
        <w:t>江川农场医院</w:t>
      </w:r>
      <w:r>
        <w:rPr>
          <w:rFonts w:hint="default" w:ascii="Times New Roman" w:hAnsi="Times New Roman" w:eastAsia="仿宋_GB2312" w:cs="Times New Roman"/>
          <w:kern w:val="2"/>
          <w:sz w:val="32"/>
          <w:szCs w:val="32"/>
          <w:highlight w:val="none"/>
          <w:lang w:val="en-US" w:eastAsia="zh-CN" w:bidi="ar-SA"/>
        </w:rPr>
        <w:t>，并对其维护和修缮，提高医疗水平和服务能力。</w:t>
      </w:r>
    </w:p>
    <w:p w14:paraId="62FD4360">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社会福利设施</w:t>
      </w:r>
    </w:p>
    <w:p w14:paraId="192FD565">
      <w:pPr>
        <w:pStyle w:val="18"/>
        <w:spacing w:line="600" w:lineRule="atLeas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规划保留1处</w:t>
      </w:r>
      <w:r>
        <w:rPr>
          <w:rFonts w:hint="eastAsia" w:ascii="Times New Roman" w:hAnsi="Times New Roman" w:eastAsia="仿宋_GB2312" w:cs="Times New Roman"/>
          <w:kern w:val="2"/>
          <w:sz w:val="32"/>
          <w:szCs w:val="32"/>
          <w:highlight w:val="none"/>
          <w:lang w:val="en-US" w:eastAsia="zh-CN" w:bidi="ar-SA"/>
        </w:rPr>
        <w:t>江川农场老年人福利院</w:t>
      </w:r>
      <w:r>
        <w:rPr>
          <w:rFonts w:hint="default" w:ascii="Times New Roman" w:hAnsi="Times New Roman" w:eastAsia="仿宋_GB2312" w:cs="Times New Roman"/>
          <w:kern w:val="2"/>
          <w:sz w:val="32"/>
          <w:szCs w:val="32"/>
          <w:highlight w:val="none"/>
          <w:lang w:val="en-US" w:eastAsia="zh-CN" w:bidi="ar-SA"/>
        </w:rPr>
        <w:t>，并对其维护，提高服务能力。</w:t>
      </w:r>
    </w:p>
    <w:p w14:paraId="54EDA738">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社区生活圈</w:t>
      </w:r>
    </w:p>
    <w:p w14:paraId="1C17AE28">
      <w:pPr>
        <w:pStyle w:val="18"/>
        <w:spacing w:line="600" w:lineRule="atLeast"/>
        <w:ind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构建优质公共服务体系，超标准补齐公共服务短板，重点完善提升基础教育、文化、体育、福利等设施。共划定1个15 分钟生活圈、2个5—10 分钟生活圈。</w:t>
      </w:r>
    </w:p>
    <w:p w14:paraId="1FE88623">
      <w:pPr>
        <w:pStyle w:val="18"/>
        <w:spacing w:line="600" w:lineRule="atLeast"/>
        <w:ind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强化生活圈内基本服务功能可达性，将生活圈作为社区公共资源配置和社会治理的基本单元。制定15 分钟生活圈、 5—10 分钟生活圈居住区配套设施配置清单。</w:t>
      </w:r>
    </w:p>
    <w:p w14:paraId="0FF17C2E">
      <w:pPr>
        <w:pStyle w:val="31"/>
        <w:spacing w:before="156" w:beforeLines="50" w:after="156" w:afterLines="50" w:line="600" w:lineRule="atLeast"/>
        <w:ind w:firstLine="0" w:firstLineChars="0"/>
        <w:rPr>
          <w:rFonts w:hint="eastAsia" w:ascii="Times New Roman" w:hAnsi="Times New Roman" w:cs="Times New Roman"/>
          <w:highlight w:val="none"/>
        </w:rPr>
      </w:pPr>
      <w:bookmarkStart w:id="95" w:name="_Toc25404"/>
      <w:r>
        <w:rPr>
          <w:rFonts w:hint="eastAsia" w:ascii="Times New Roman" w:hAnsi="Times New Roman" w:cs="Times New Roman"/>
          <w:highlight w:val="none"/>
        </w:rPr>
        <w:t>第</w:t>
      </w:r>
      <w:r>
        <w:rPr>
          <w:rFonts w:hint="eastAsia" w:ascii="Times New Roman" w:hAnsi="Times New Roman" w:cs="Times New Roman"/>
          <w:highlight w:val="none"/>
          <w:lang w:val="en-US" w:eastAsia="zh-CN"/>
        </w:rPr>
        <w:t>四</w:t>
      </w:r>
      <w:r>
        <w:rPr>
          <w:rFonts w:hint="eastAsia" w:ascii="Times New Roman" w:hAnsi="Times New Roman" w:cs="Times New Roman"/>
          <w:highlight w:val="none"/>
        </w:rPr>
        <w:t>节 绿地与开敞空间布局</w:t>
      </w:r>
      <w:bookmarkEnd w:id="95"/>
    </w:p>
    <w:p w14:paraId="5E1DA73A">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绿地与公园体系结构</w:t>
      </w:r>
    </w:p>
    <w:p w14:paraId="37A54709">
      <w:pPr>
        <w:pStyle w:val="9"/>
        <w:overflowPunct w:val="0"/>
        <w:ind w:firstLine="640" w:firstLineChars="200"/>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规划形</w:t>
      </w:r>
      <w:r>
        <w:rPr>
          <w:rFonts w:ascii="Times New Roman" w:hAnsi="Times New Roman" w:eastAsia="仿宋_GB2312" w:cs="Times New Roman"/>
          <w:bCs w:val="0"/>
          <w:color w:val="auto"/>
          <w:kern w:val="2"/>
          <w:sz w:val="32"/>
          <w:szCs w:val="32"/>
          <w:highlight w:val="none"/>
          <w:lang w:val="en-US" w:eastAsia="zh-CN" w:bidi="ar-SA"/>
        </w:rPr>
        <w:t>成“</w:t>
      </w:r>
      <w:r>
        <w:rPr>
          <w:rFonts w:hint="eastAsia" w:ascii="Times New Roman" w:hAnsi="Times New Roman" w:eastAsia="仿宋_GB2312" w:cs="Times New Roman"/>
          <w:bCs w:val="0"/>
          <w:color w:val="auto"/>
          <w:kern w:val="2"/>
          <w:sz w:val="32"/>
          <w:szCs w:val="32"/>
          <w:highlight w:val="none"/>
          <w:lang w:val="en-US" w:eastAsia="zh-CN" w:bidi="ar-SA"/>
        </w:rPr>
        <w:t>一核、三轴、多点</w:t>
      </w:r>
      <w:r>
        <w:rPr>
          <w:rFonts w:ascii="Times New Roman" w:hAnsi="Times New Roman" w:eastAsia="仿宋_GB2312" w:cs="Times New Roman"/>
          <w:bCs w:val="0"/>
          <w:color w:val="auto"/>
          <w:kern w:val="2"/>
          <w:sz w:val="32"/>
          <w:szCs w:val="32"/>
          <w:highlight w:val="none"/>
          <w:lang w:val="en-US" w:eastAsia="zh-CN" w:bidi="ar-SA"/>
        </w:rPr>
        <w:t>”的公园体系结构。</w:t>
      </w:r>
    </w:p>
    <w:p w14:paraId="44C9FD11">
      <w:pPr>
        <w:pStyle w:val="9"/>
        <w:overflowPunct w:val="0"/>
        <w:ind w:firstLine="640" w:firstLineChars="200"/>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“一核”为场部机关办公楼规划广场形成休闲绿化景观核心。</w:t>
      </w:r>
    </w:p>
    <w:p w14:paraId="5861DF10">
      <w:pPr>
        <w:pStyle w:val="9"/>
        <w:overflowPunct w:val="0"/>
        <w:ind w:firstLine="640" w:firstLineChars="200"/>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“三轴”两条主要轴线分别为南北向的江川路，主要交通两侧的绿化空间和东西向的中心大街改造后增加的绿化空间，形成两条绿化景观轴线，沿场部南侧规划形成次要景观轴线。</w:t>
      </w:r>
    </w:p>
    <w:p w14:paraId="697A339E">
      <w:pPr>
        <w:pStyle w:val="9"/>
        <w:overflowPunct w:val="0"/>
        <w:ind w:firstLine="640" w:firstLineChars="200"/>
        <w:rPr>
          <w:rFonts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“多点”指依托公园以及1处广场、两条主干路路口景观形成的多处开敞空间。树立城镇新形象，体现红兴隆分局（桦川境内）江川农场场部生态、宜居、宜业的良好农场环境</w:t>
      </w:r>
      <w:r>
        <w:rPr>
          <w:rFonts w:ascii="Times New Roman" w:hAnsi="Times New Roman" w:eastAsia="仿宋_GB2312" w:cs="Times New Roman"/>
          <w:bCs w:val="0"/>
          <w:color w:val="auto"/>
          <w:kern w:val="2"/>
          <w:sz w:val="32"/>
          <w:szCs w:val="32"/>
          <w:highlight w:val="none"/>
          <w:lang w:val="en-US" w:eastAsia="zh-CN" w:bidi="ar-SA"/>
        </w:rPr>
        <w:t>。</w:t>
      </w:r>
    </w:p>
    <w:p w14:paraId="16912FCD">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公园绿地</w:t>
      </w:r>
    </w:p>
    <w:p w14:paraId="0FF77679">
      <w:pPr>
        <w:pStyle w:val="18"/>
        <w:spacing w:line="600" w:lineRule="atLeast"/>
        <w:ind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结合农场生态体系构建，完善农场场部绿地空间布局，建设级配合理、均衡分布、类型多样、满足需求的多层次城镇公园网络。</w:t>
      </w:r>
    </w:p>
    <w:p w14:paraId="3C5D7840">
      <w:pPr>
        <w:pStyle w:val="4"/>
        <w:numPr>
          <w:ilvl w:val="0"/>
          <w:numId w:val="1"/>
        </w:numPr>
        <w:tabs>
          <w:tab w:val="left" w:pos="598"/>
        </w:tabs>
        <w:spacing w:before="156" w:beforeLines="50" w:after="156" w:afterLines="50"/>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广场用</w:t>
      </w:r>
      <w:r>
        <w:rPr>
          <w:rFonts w:hint="default" w:ascii="Times New Roman" w:hAnsi="Times New Roman" w:eastAsia="楷体_GB2312" w:cs="Times New Roman"/>
          <w:b/>
          <w:bCs w:val="0"/>
          <w:highlight w:val="none"/>
          <w:lang w:val="en-US" w:eastAsia="zh-CN"/>
        </w:rPr>
        <w:t>地</w:t>
      </w:r>
    </w:p>
    <w:p w14:paraId="2334CACD">
      <w:pPr>
        <w:pStyle w:val="18"/>
        <w:spacing w:line="600" w:lineRule="atLeast"/>
        <w:ind w:firstLine="640" w:firstLineChars="200"/>
        <w:jc w:val="both"/>
        <w:rPr>
          <w:rFonts w:hint="eastAsia" w:ascii="Times New Roman" w:hAnsi="Times New Roman" w:eastAsia="仿宋_GB2312" w:cs="Times New Roman"/>
          <w:bCs w:val="0"/>
          <w:color w:val="auto"/>
          <w:kern w:val="2"/>
          <w:sz w:val="32"/>
          <w:szCs w:val="32"/>
          <w:highlight w:val="none"/>
          <w:lang w:val="en-US" w:eastAsia="zh-CN" w:bidi="ar-SA"/>
        </w:rPr>
      </w:pPr>
      <w:r>
        <w:rPr>
          <w:rFonts w:hint="eastAsia" w:ascii="Times New Roman" w:hAnsi="Times New Roman" w:eastAsia="仿宋_GB2312" w:cs="Times New Roman"/>
          <w:bCs w:val="0"/>
          <w:color w:val="auto"/>
          <w:kern w:val="2"/>
          <w:sz w:val="32"/>
          <w:szCs w:val="32"/>
          <w:highlight w:val="none"/>
          <w:lang w:val="en-US" w:eastAsia="zh-CN" w:bidi="ar-SA"/>
        </w:rPr>
        <w:t>规划保留现状2处广场，分别位于场部农场机关办公楼西侧以及场部南侧，对其进行维护与更新，满足日常活动、体育健身和举办集会的要求。</w:t>
      </w:r>
    </w:p>
    <w:p w14:paraId="0C9147B4">
      <w:pPr>
        <w:pStyle w:val="31"/>
        <w:spacing w:before="156" w:beforeLines="50" w:after="156" w:afterLines="50" w:line="600" w:lineRule="atLeast"/>
        <w:ind w:firstLine="0" w:firstLineChars="0"/>
        <w:rPr>
          <w:rFonts w:hint="default" w:ascii="Times New Roman" w:hAnsi="Times New Roman" w:cs="Times New Roman"/>
          <w:highlight w:val="none"/>
          <w:lang w:val="en-US" w:eastAsia="zh-CN"/>
        </w:rPr>
      </w:pPr>
      <w:bookmarkStart w:id="96" w:name="_Toc27722"/>
      <w:bookmarkStart w:id="97" w:name="_Toc10571"/>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五</w:t>
      </w:r>
      <w:r>
        <w:rPr>
          <w:rFonts w:hint="eastAsia" w:ascii="Times New Roman" w:hAnsi="Times New Roman" w:cs="Times New Roman"/>
          <w:highlight w:val="none"/>
        </w:rPr>
        <w:t xml:space="preserve">节 </w:t>
      </w:r>
      <w:r>
        <w:rPr>
          <w:rFonts w:hint="eastAsia" w:ascii="Times New Roman" w:hAnsi="Times New Roman" w:cs="Times New Roman"/>
          <w:highlight w:val="none"/>
          <w:lang w:eastAsia="zh-CN"/>
        </w:rPr>
        <w:t>“</w:t>
      </w:r>
      <w:r>
        <w:rPr>
          <w:rFonts w:hint="eastAsia" w:ascii="Times New Roman" w:hAnsi="Times New Roman" w:cs="Times New Roman"/>
          <w:highlight w:val="none"/>
          <w:lang w:val="en-US" w:eastAsia="zh-CN"/>
        </w:rPr>
        <w:t>四线</w:t>
      </w:r>
      <w:r>
        <w:rPr>
          <w:rFonts w:hint="eastAsia" w:ascii="Times New Roman" w:hAnsi="Times New Roman" w:cs="Times New Roman"/>
          <w:highlight w:val="none"/>
          <w:lang w:eastAsia="zh-CN"/>
        </w:rPr>
        <w:t>”</w:t>
      </w:r>
      <w:r>
        <w:rPr>
          <w:rFonts w:hint="eastAsia" w:ascii="Times New Roman" w:hAnsi="Times New Roman" w:cs="Times New Roman"/>
          <w:highlight w:val="none"/>
        </w:rPr>
        <w:t>规划</w:t>
      </w:r>
      <w:bookmarkEnd w:id="96"/>
      <w:r>
        <w:rPr>
          <w:rFonts w:hint="eastAsia" w:ascii="Times New Roman" w:hAnsi="Times New Roman" w:cs="Times New Roman"/>
          <w:highlight w:val="none"/>
          <w:lang w:val="en-US" w:eastAsia="zh-CN"/>
        </w:rPr>
        <w:t>与战略留白</w:t>
      </w:r>
      <w:bookmarkEnd w:id="97"/>
    </w:p>
    <w:p w14:paraId="290FBE24">
      <w:pPr>
        <w:numPr>
          <w:ilvl w:val="0"/>
          <w:numId w:val="0"/>
        </w:numPr>
        <w:tabs>
          <w:tab w:val="left" w:pos="0"/>
        </w:tabs>
        <w:spacing w:before="156" w:beforeLines="50" w:after="156" w:afterLines="50" w:line="600" w:lineRule="atLeast"/>
        <w:ind w:left="130" w:leftChars="0" w:firstLine="640" w:firstLineChars="200"/>
        <w:outlineLvl w:val="9"/>
        <w:rPr>
          <w:rFonts w:ascii="Times New Roman" w:hAnsi="Times New Roman" w:eastAsia="仿宋_GB2312" w:cs="Times New Roman"/>
          <w:bCs w:val="0"/>
          <w:kern w:val="2"/>
          <w:sz w:val="32"/>
          <w:szCs w:val="32"/>
          <w:highlight w:val="none"/>
          <w:lang w:val="en-US" w:eastAsia="zh-CN" w:bidi="ar-SA"/>
        </w:rPr>
      </w:pPr>
      <w:r>
        <w:rPr>
          <w:rFonts w:hint="eastAsia" w:ascii="Times New Roman" w:hAnsi="Times New Roman" w:cs="Times New Roman"/>
          <w:bCs w:val="0"/>
          <w:kern w:val="2"/>
          <w:sz w:val="32"/>
          <w:szCs w:val="32"/>
          <w:highlight w:val="none"/>
          <w:lang w:val="en-US" w:eastAsia="zh-CN" w:bidi="ar-SA"/>
        </w:rPr>
        <w:t>红兴隆分局（桦川境内）江川农场场部</w:t>
      </w:r>
      <w:r>
        <w:rPr>
          <w:rFonts w:hint="eastAsia" w:ascii="Times New Roman" w:hAnsi="Times New Roman" w:eastAsia="仿宋_GB2312" w:cs="Times New Roman"/>
          <w:bCs w:val="0"/>
          <w:kern w:val="2"/>
          <w:sz w:val="32"/>
          <w:szCs w:val="32"/>
          <w:highlight w:val="none"/>
          <w:lang w:val="en-US" w:eastAsia="zh-CN" w:bidi="ar-SA"/>
        </w:rPr>
        <w:t>规划“四线”包括绿线</w:t>
      </w:r>
      <w:r>
        <w:rPr>
          <w:rFonts w:hint="eastAsia" w:ascii="Times New Roman" w:hAnsi="Times New Roman" w:cs="Times New Roman"/>
          <w:bCs w:val="0"/>
          <w:kern w:val="2"/>
          <w:sz w:val="32"/>
          <w:szCs w:val="32"/>
          <w:highlight w:val="none"/>
          <w:lang w:val="en-US" w:eastAsia="zh-CN" w:bidi="ar-SA"/>
        </w:rPr>
        <w:t>和</w:t>
      </w:r>
      <w:r>
        <w:rPr>
          <w:rFonts w:hint="eastAsia" w:ascii="Times New Roman" w:hAnsi="Times New Roman" w:eastAsia="仿宋_GB2312" w:cs="Times New Roman"/>
          <w:bCs w:val="0"/>
          <w:kern w:val="2"/>
          <w:sz w:val="32"/>
          <w:szCs w:val="32"/>
          <w:highlight w:val="none"/>
          <w:lang w:val="en-US" w:eastAsia="zh-CN" w:bidi="ar-SA"/>
        </w:rPr>
        <w:t>黄线，不涉及蓝线</w:t>
      </w:r>
      <w:r>
        <w:rPr>
          <w:rFonts w:hint="eastAsia" w:ascii="Times New Roman" w:hAnsi="Times New Roman" w:cs="Times New Roman"/>
          <w:bCs w:val="0"/>
          <w:kern w:val="2"/>
          <w:sz w:val="32"/>
          <w:szCs w:val="32"/>
          <w:highlight w:val="none"/>
          <w:lang w:val="en-US" w:eastAsia="zh-CN" w:bidi="ar-SA"/>
        </w:rPr>
        <w:t>和</w:t>
      </w:r>
      <w:r>
        <w:rPr>
          <w:rFonts w:hint="eastAsia" w:ascii="Times New Roman" w:hAnsi="Times New Roman" w:eastAsia="仿宋_GB2312" w:cs="Times New Roman"/>
          <w:bCs w:val="0"/>
          <w:kern w:val="2"/>
          <w:sz w:val="32"/>
          <w:szCs w:val="32"/>
          <w:highlight w:val="none"/>
          <w:lang w:val="en-US" w:eastAsia="zh-CN" w:bidi="ar-SA"/>
        </w:rPr>
        <w:t>紫线控制。</w:t>
      </w:r>
    </w:p>
    <w:p w14:paraId="7243E22E">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bookmarkStart w:id="98" w:name="_Hlk175294436"/>
      <w:r>
        <w:rPr>
          <w:rFonts w:hint="eastAsia" w:ascii="Times New Roman" w:hAnsi="Times New Roman" w:eastAsia="楷体_GB2312" w:cs="Times New Roman"/>
          <w:b/>
          <w:bCs w:val="0"/>
          <w:highlight w:val="none"/>
          <w:lang w:val="en-US" w:eastAsia="zh-CN"/>
        </w:rPr>
        <w:t>绿线</w:t>
      </w:r>
    </w:p>
    <w:p w14:paraId="379E6F72">
      <w:pPr>
        <w:pStyle w:val="18"/>
        <w:spacing w:line="600" w:lineRule="atLeast"/>
        <w:ind w:firstLine="640" w:firstLineChars="200"/>
        <w:jc w:val="both"/>
        <w:rPr>
          <w:rFonts w:ascii="Times New Roman" w:hAnsi="Times New Roman" w:eastAsia="仿宋_GB2312"/>
          <w:bCs w:val="0"/>
          <w:sz w:val="32"/>
          <w:szCs w:val="32"/>
          <w:highlight w:val="none"/>
        </w:rPr>
      </w:pPr>
      <w:r>
        <w:rPr>
          <w:rFonts w:ascii="Times New Roman" w:hAnsi="Times New Roman" w:eastAsia="仿宋_GB2312"/>
          <w:bCs w:val="0"/>
          <w:sz w:val="32"/>
          <w:szCs w:val="32"/>
          <w:highlight w:val="none"/>
        </w:rPr>
        <w:t>绿线严格按照《城市绿线管理办法》实施管控。绿线内的用地不得改作他用，原有建筑改造应不扩大现状占地规模。因市政基础设施、公共服务设施建设需要等情形需要修改绿线的应遵循区域绿地总量不减少、服务半径不增加、绿地系统完整的原则。</w:t>
      </w:r>
    </w:p>
    <w:p w14:paraId="42138745">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黄线</w:t>
      </w:r>
    </w:p>
    <w:p w14:paraId="0399A840">
      <w:pPr>
        <w:pStyle w:val="18"/>
        <w:spacing w:line="600" w:lineRule="atLeast"/>
        <w:ind w:firstLine="640" w:firstLineChars="200"/>
        <w:jc w:val="both"/>
        <w:rPr>
          <w:rFonts w:ascii="Times New Roman" w:hAnsi="Times New Roman" w:eastAsia="仿宋_GB2312"/>
          <w:bCs w:val="0"/>
          <w:sz w:val="32"/>
          <w:szCs w:val="32"/>
          <w:highlight w:val="none"/>
        </w:rPr>
      </w:pPr>
      <w:r>
        <w:rPr>
          <w:rFonts w:ascii="Times New Roman" w:hAnsi="Times New Roman" w:eastAsia="仿宋_GB2312"/>
          <w:bCs w:val="0"/>
          <w:sz w:val="32"/>
          <w:szCs w:val="32"/>
          <w:highlight w:val="none"/>
        </w:rPr>
        <w:t>黄线是指规划确定</w:t>
      </w:r>
      <w:r>
        <w:rPr>
          <w:rFonts w:hint="eastAsia" w:ascii="Times New Roman" w:hAnsi="Times New Roman" w:eastAsia="仿宋_GB2312"/>
          <w:bCs w:val="0"/>
          <w:sz w:val="32"/>
          <w:szCs w:val="32"/>
          <w:highlight w:val="none"/>
          <w:lang w:eastAsia="zh-CN"/>
        </w:rPr>
        <w:t>地对</w:t>
      </w:r>
      <w:r>
        <w:rPr>
          <w:rFonts w:ascii="Times New Roman" w:hAnsi="Times New Roman" w:eastAsia="仿宋_GB2312"/>
          <w:bCs w:val="0"/>
          <w:sz w:val="32"/>
          <w:szCs w:val="32"/>
          <w:highlight w:val="none"/>
        </w:rPr>
        <w:t>城市发展全局有影响的、必须控制的城市基础设施用地的边界控制界线。黄线严格按照《城市黄线管理办法》实施管控，对现有损坏或影响城市基础设施安全、正常运作的用地，应当限期整改或拆除。因城市发展和城市功能、布局变化等，需要调整黄线的，应当组织专家论证，依法调整规划。</w:t>
      </w:r>
    </w:p>
    <w:bookmarkEnd w:id="98"/>
    <w:p w14:paraId="37508F2F">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预留规划留白用地</w:t>
      </w:r>
    </w:p>
    <w:p w14:paraId="7B1AA353">
      <w:pPr>
        <w:pStyle w:val="29"/>
        <w:spacing w:line="600" w:lineRule="atLeast"/>
        <w:ind w:firstLine="640"/>
        <w:rPr>
          <w:szCs w:val="32"/>
          <w:highlight w:val="none"/>
        </w:rPr>
      </w:pPr>
      <w:bookmarkStart w:id="99" w:name="_Hlk175291356"/>
      <w:r>
        <w:rPr>
          <w:szCs w:val="32"/>
          <w:highlight w:val="none"/>
        </w:rPr>
        <w:t>根据《自然资源部办公厅关于加强村庄规划促进乡村振兴的通知》（自然资办发〔2019〕35号），可预留不超过5%的建设用地机动指标，</w:t>
      </w:r>
      <w:r>
        <w:rPr>
          <w:rFonts w:hint="eastAsia"/>
          <w:szCs w:val="32"/>
          <w:highlight w:val="none"/>
          <w:lang w:val="en-US" w:eastAsia="zh-CN"/>
        </w:rPr>
        <w:t>农场居民</w:t>
      </w:r>
      <w:r>
        <w:rPr>
          <w:szCs w:val="32"/>
          <w:highlight w:val="none"/>
        </w:rPr>
        <w:t>居住、</w:t>
      </w:r>
      <w:r>
        <w:rPr>
          <w:rFonts w:hint="eastAsia"/>
          <w:szCs w:val="32"/>
          <w:highlight w:val="none"/>
          <w:lang w:val="en-US" w:eastAsia="zh-CN"/>
        </w:rPr>
        <w:t>农场</w:t>
      </w:r>
      <w:r>
        <w:rPr>
          <w:szCs w:val="32"/>
          <w:highlight w:val="none"/>
        </w:rPr>
        <w:t>公共公益设施、零星分散的乡村文旅设施及农村新产业新业态等用地可申请使用。</w:t>
      </w:r>
      <w:bookmarkEnd w:id="99"/>
    </w:p>
    <w:p w14:paraId="3D5923CF">
      <w:pPr>
        <w:pStyle w:val="29"/>
        <w:spacing w:line="600" w:lineRule="atLeast"/>
        <w:ind w:firstLine="640"/>
        <w:rPr>
          <w:szCs w:val="32"/>
          <w:highlight w:val="none"/>
        </w:rPr>
      </w:pPr>
    </w:p>
    <w:p w14:paraId="6BD2680D">
      <w:pPr>
        <w:pStyle w:val="29"/>
        <w:spacing w:line="600" w:lineRule="atLeast"/>
        <w:ind w:firstLine="640"/>
        <w:rPr>
          <w:szCs w:val="32"/>
          <w:highlight w:val="none"/>
        </w:rPr>
      </w:pPr>
    </w:p>
    <w:p w14:paraId="17067EF1">
      <w:pPr>
        <w:pStyle w:val="29"/>
        <w:spacing w:line="600" w:lineRule="atLeast"/>
        <w:ind w:firstLine="640"/>
        <w:rPr>
          <w:szCs w:val="32"/>
          <w:highlight w:val="none"/>
        </w:rPr>
      </w:pPr>
    </w:p>
    <w:p w14:paraId="1EDD8487">
      <w:pPr>
        <w:pStyle w:val="29"/>
        <w:spacing w:line="600" w:lineRule="atLeast"/>
        <w:ind w:firstLine="640"/>
        <w:rPr>
          <w:szCs w:val="32"/>
          <w:highlight w:val="none"/>
        </w:rPr>
      </w:pPr>
    </w:p>
    <w:p w14:paraId="415D307D">
      <w:pPr>
        <w:pStyle w:val="29"/>
        <w:spacing w:line="600" w:lineRule="atLeast"/>
        <w:ind w:firstLine="640"/>
        <w:rPr>
          <w:szCs w:val="32"/>
          <w:highlight w:val="none"/>
        </w:rPr>
      </w:pPr>
    </w:p>
    <w:p w14:paraId="1036FA9D">
      <w:pPr>
        <w:pStyle w:val="29"/>
        <w:spacing w:line="600" w:lineRule="atLeast"/>
        <w:ind w:firstLine="640"/>
        <w:rPr>
          <w:szCs w:val="32"/>
          <w:highlight w:val="none"/>
        </w:rPr>
      </w:pPr>
    </w:p>
    <w:p w14:paraId="73ACFC85">
      <w:pPr>
        <w:pStyle w:val="29"/>
        <w:spacing w:line="600" w:lineRule="atLeast"/>
        <w:ind w:firstLine="640"/>
        <w:rPr>
          <w:szCs w:val="32"/>
          <w:highlight w:val="none"/>
        </w:rPr>
      </w:pPr>
    </w:p>
    <w:p w14:paraId="3678A3D9">
      <w:pPr>
        <w:pStyle w:val="29"/>
        <w:spacing w:line="600" w:lineRule="atLeast"/>
        <w:ind w:firstLine="640"/>
        <w:rPr>
          <w:szCs w:val="32"/>
          <w:highlight w:val="none"/>
        </w:rPr>
      </w:pPr>
    </w:p>
    <w:p w14:paraId="3A6323C6">
      <w:pPr>
        <w:pStyle w:val="29"/>
        <w:spacing w:line="600" w:lineRule="atLeast"/>
        <w:ind w:firstLine="640"/>
        <w:rPr>
          <w:szCs w:val="32"/>
          <w:highlight w:val="none"/>
        </w:rPr>
      </w:pPr>
    </w:p>
    <w:p w14:paraId="2F234281">
      <w:pPr>
        <w:pStyle w:val="29"/>
        <w:spacing w:line="600" w:lineRule="atLeast"/>
        <w:ind w:firstLine="640"/>
        <w:rPr>
          <w:szCs w:val="32"/>
          <w:highlight w:val="none"/>
        </w:rPr>
      </w:pPr>
    </w:p>
    <w:p w14:paraId="1869980C">
      <w:pPr>
        <w:pStyle w:val="29"/>
        <w:spacing w:line="600" w:lineRule="atLeast"/>
        <w:ind w:firstLine="640"/>
        <w:rPr>
          <w:szCs w:val="32"/>
          <w:highlight w:val="none"/>
        </w:rPr>
      </w:pPr>
    </w:p>
    <w:p w14:paraId="19AD61CB">
      <w:pPr>
        <w:pStyle w:val="29"/>
        <w:spacing w:line="600" w:lineRule="atLeast"/>
        <w:ind w:firstLine="640"/>
        <w:rPr>
          <w:szCs w:val="32"/>
          <w:highlight w:val="none"/>
        </w:rPr>
      </w:pPr>
    </w:p>
    <w:p w14:paraId="73063EEF">
      <w:pPr>
        <w:pStyle w:val="2"/>
        <w:spacing w:line="600" w:lineRule="atLeast"/>
        <w:rPr>
          <w:rFonts w:hint="eastAsia" w:ascii="Times New Roman" w:hAnsi="Times New Roman" w:eastAsia="方正小标宋简体" w:cs="Times New Roman"/>
          <w:kern w:val="2"/>
          <w:sz w:val="36"/>
          <w:szCs w:val="36"/>
          <w:lang w:val="en-US" w:eastAsia="zh-CN" w:bidi="ar-SA"/>
        </w:rPr>
      </w:pPr>
      <w:bookmarkStart w:id="100" w:name="_Toc23091"/>
      <w:bookmarkStart w:id="101" w:name="_Toc24700"/>
      <w:r>
        <w:rPr>
          <w:rFonts w:hint="eastAsia" w:ascii="Times New Roman" w:hAnsi="Times New Roman" w:eastAsia="方正小标宋简体" w:cs="Times New Roman"/>
          <w:kern w:val="2"/>
          <w:sz w:val="36"/>
          <w:szCs w:val="36"/>
          <w:lang w:val="en-US" w:eastAsia="zh-CN" w:bidi="ar-SA"/>
        </w:rPr>
        <w:t>第六章 完善基础保障体系建设</w:t>
      </w:r>
      <w:bookmarkEnd w:id="100"/>
      <w:bookmarkEnd w:id="101"/>
    </w:p>
    <w:bookmarkEnd w:id="83"/>
    <w:bookmarkEnd w:id="84"/>
    <w:bookmarkEnd w:id="85"/>
    <w:bookmarkEnd w:id="86"/>
    <w:bookmarkEnd w:id="87"/>
    <w:bookmarkEnd w:id="88"/>
    <w:bookmarkEnd w:id="89"/>
    <w:bookmarkEnd w:id="90"/>
    <w:bookmarkEnd w:id="91"/>
    <w:bookmarkEnd w:id="92"/>
    <w:bookmarkEnd w:id="93"/>
    <w:p w14:paraId="1AA3F1CE">
      <w:pPr>
        <w:pStyle w:val="31"/>
        <w:spacing w:before="156" w:beforeLines="50" w:after="156" w:afterLines="50" w:line="600" w:lineRule="atLeast"/>
        <w:ind w:firstLine="0" w:firstLineChars="0"/>
        <w:rPr>
          <w:rFonts w:hint="eastAsia" w:ascii="Times New Roman" w:hAnsi="Times New Roman" w:cs="Times New Roman"/>
          <w:highlight w:val="none"/>
        </w:rPr>
      </w:pPr>
      <w:bookmarkStart w:id="102" w:name="_Toc22061"/>
      <w:bookmarkStart w:id="103" w:name="_Toc28603"/>
      <w:bookmarkStart w:id="104" w:name="_Toc8542"/>
      <w:bookmarkStart w:id="105" w:name="_Toc9553"/>
      <w:r>
        <w:rPr>
          <w:rFonts w:hint="eastAsia" w:ascii="Times New Roman" w:hAnsi="Times New Roman" w:cs="Times New Roman"/>
          <w:highlight w:val="none"/>
        </w:rPr>
        <w:t>第一节 优化</w:t>
      </w:r>
      <w:r>
        <w:rPr>
          <w:rFonts w:hint="eastAsia" w:ascii="Times New Roman" w:hAnsi="Times New Roman" w:cs="Times New Roman"/>
          <w:highlight w:val="none"/>
          <w:lang w:val="en-US" w:eastAsia="zh-CN"/>
        </w:rPr>
        <w:t>场域</w:t>
      </w:r>
      <w:r>
        <w:rPr>
          <w:rFonts w:hint="eastAsia" w:ascii="Times New Roman" w:hAnsi="Times New Roman" w:cs="Times New Roman"/>
          <w:highlight w:val="none"/>
        </w:rPr>
        <w:t>综合交通组织</w:t>
      </w:r>
      <w:bookmarkEnd w:id="102"/>
      <w:bookmarkEnd w:id="103"/>
    </w:p>
    <w:p w14:paraId="22E609A3">
      <w:pPr>
        <w:spacing w:line="600" w:lineRule="atLeast"/>
        <w:ind w:firstLine="640" w:firstLineChars="200"/>
        <w:rPr>
          <w:rFonts w:ascii="Times New Roman" w:hAnsi="Times New Roman" w:cs="Times New Roman"/>
          <w:szCs w:val="32"/>
        </w:rPr>
      </w:pPr>
      <w:r>
        <w:rPr>
          <w:rFonts w:ascii="Times New Roman" w:hAnsi="Times New Roman" w:cs="Times New Roman"/>
          <w:szCs w:val="32"/>
        </w:rPr>
        <w:t>构建多层次综合立体交通体系，补齐交通基础设施短板，充分发挥</w:t>
      </w:r>
      <w:r>
        <w:rPr>
          <w:rFonts w:hint="eastAsia" w:ascii="Times New Roman" w:hAnsi="Times New Roman" w:cs="Times New Roman"/>
          <w:szCs w:val="32"/>
        </w:rPr>
        <w:t>红兴隆分局（桦川境内）</w:t>
      </w:r>
      <w:r>
        <w:rPr>
          <w:rFonts w:ascii="Times New Roman" w:hAnsi="Times New Roman" w:cs="Times New Roman"/>
          <w:szCs w:val="32"/>
        </w:rPr>
        <w:t>区位优势，支撑社会经济发展，构建以国道</w:t>
      </w:r>
      <w:r>
        <w:rPr>
          <w:rFonts w:hint="eastAsia" w:ascii="Times New Roman" w:hAnsi="Times New Roman" w:cs="Times New Roman"/>
          <w:szCs w:val="32"/>
        </w:rPr>
        <w:t>、省道</w:t>
      </w:r>
      <w:r>
        <w:rPr>
          <w:rFonts w:ascii="Times New Roman" w:hAnsi="Times New Roman" w:cs="Times New Roman"/>
          <w:szCs w:val="32"/>
        </w:rPr>
        <w:t>为主骨架，县道、乡道为基础，村</w:t>
      </w:r>
      <w:r>
        <w:rPr>
          <w:rFonts w:hint="eastAsia" w:ascii="Times New Roman" w:hAnsi="Times New Roman" w:cs="Times New Roman"/>
          <w:szCs w:val="32"/>
        </w:rPr>
        <w:t>路</w:t>
      </w:r>
      <w:r>
        <w:rPr>
          <w:rFonts w:ascii="Times New Roman" w:hAnsi="Times New Roman" w:cs="Times New Roman"/>
          <w:szCs w:val="32"/>
        </w:rPr>
        <w:t>为补充的安全便捷、内畅外达、智慧高效的综合交通体系，促进区域交通、城乡交通协调发展。提升沿边国道通行能力和服务水平</w:t>
      </w:r>
      <w:r>
        <w:rPr>
          <w:rFonts w:hint="eastAsia" w:ascii="Times New Roman" w:hAnsi="Times New Roman" w:cs="Times New Roman"/>
          <w:szCs w:val="32"/>
        </w:rPr>
        <w:t>，</w:t>
      </w:r>
      <w:r>
        <w:rPr>
          <w:rFonts w:ascii="Times New Roman" w:hAnsi="Times New Roman" w:cs="Times New Roman"/>
          <w:szCs w:val="32"/>
        </w:rPr>
        <w:t>支撑国家兴边富民战略实施和沿边地区经济社会发展。</w:t>
      </w:r>
    </w:p>
    <w:p w14:paraId="7CDCF7E7">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对外交通</w:t>
      </w:r>
    </w:p>
    <w:p w14:paraId="34F92A1F">
      <w:pPr>
        <w:widowControl/>
        <w:spacing w:line="600" w:lineRule="atLeast"/>
        <w:ind w:firstLine="640" w:firstLineChars="200"/>
        <w:rPr>
          <w:rFonts w:ascii="Times New Roman" w:hAnsi="Times New Roman" w:cs="Times New Roman"/>
          <w:kern w:val="0"/>
          <w:szCs w:val="32"/>
        </w:rPr>
      </w:pPr>
      <w:r>
        <w:rPr>
          <w:rFonts w:hint="eastAsia" w:ascii="Times New Roman" w:hAnsi="Times New Roman" w:eastAsia="楷体" w:cs="Times New Roman"/>
        </w:rPr>
        <w:t>国道</w:t>
      </w:r>
      <w:r>
        <w:rPr>
          <w:rFonts w:ascii="Times New Roman" w:hAnsi="Times New Roman" w:eastAsia="楷体" w:cs="Times New Roman"/>
        </w:rPr>
        <w:t>。</w:t>
      </w:r>
      <w:r>
        <w:rPr>
          <w:rFonts w:ascii="Times New Roman" w:hAnsi="Times New Roman" w:cs="Times New Roman"/>
          <w:kern w:val="0"/>
          <w:szCs w:val="32"/>
        </w:rPr>
        <w:t>规划</w:t>
      </w:r>
      <w:r>
        <w:rPr>
          <w:rFonts w:hint="eastAsia" w:ascii="Times New Roman" w:hAnsi="Times New Roman" w:cs="Times New Roman"/>
          <w:kern w:val="0"/>
          <w:szCs w:val="32"/>
        </w:rPr>
        <w:t>保留国道</w:t>
      </w:r>
      <w:r>
        <w:rPr>
          <w:rFonts w:hint="eastAsia" w:ascii="Times New Roman" w:hAnsi="Times New Roman" w:cs="Times New Roman"/>
          <w:kern w:val="0"/>
          <w:szCs w:val="32"/>
          <w:lang w:eastAsia="zh-CN"/>
        </w:rPr>
        <w:t>京抚公路G102</w:t>
      </w:r>
      <w:r>
        <w:rPr>
          <w:rFonts w:hint="eastAsia" w:ascii="Times New Roman" w:hAnsi="Times New Roman" w:cs="Times New Roman"/>
          <w:kern w:val="0"/>
          <w:szCs w:val="32"/>
        </w:rPr>
        <w:t>并提升其通行能力，向东通向富锦市，向西通向桦川镇</w:t>
      </w:r>
    </w:p>
    <w:p w14:paraId="45604A75">
      <w:pPr>
        <w:widowControl/>
        <w:spacing w:line="600" w:lineRule="atLeast"/>
        <w:ind w:firstLine="640" w:firstLineChars="200"/>
        <w:rPr>
          <w:rFonts w:ascii="Times New Roman" w:hAnsi="Times New Roman" w:cs="Times New Roman"/>
          <w:kern w:val="0"/>
          <w:szCs w:val="32"/>
        </w:rPr>
      </w:pPr>
      <w:r>
        <w:rPr>
          <w:rFonts w:hint="eastAsia" w:ascii="Times New Roman" w:hAnsi="Times New Roman" w:eastAsia="楷体" w:cs="Times New Roman"/>
        </w:rPr>
        <w:t>乡</w:t>
      </w:r>
      <w:r>
        <w:rPr>
          <w:rFonts w:ascii="Times New Roman" w:hAnsi="Times New Roman" w:eastAsia="楷体" w:cs="Times New Roman"/>
        </w:rPr>
        <w:t>道</w:t>
      </w:r>
      <w:r>
        <w:rPr>
          <w:rFonts w:hint="eastAsia" w:ascii="Times New Roman" w:hAnsi="Times New Roman" w:eastAsia="楷体" w:cs="Times New Roman"/>
        </w:rPr>
        <w:t>。</w:t>
      </w:r>
      <w:r>
        <w:rPr>
          <w:rFonts w:hint="eastAsia" w:ascii="Times New Roman" w:hAnsi="Times New Roman" w:cs="Times New Roman"/>
          <w:kern w:val="0"/>
          <w:szCs w:val="32"/>
        </w:rPr>
        <w:t>构建内畅外达的对外公路网体系，提升乡道Y407、乡道Y408、乡道Y402、乡道Y403通行能力。</w:t>
      </w:r>
    </w:p>
    <w:p w14:paraId="44FE7DF0">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楷体"/>
          <w:bCs w:val="0"/>
          <w:sz w:val="32"/>
        </w:rPr>
        <w:t>村道</w:t>
      </w:r>
      <w:r>
        <w:rPr>
          <w:rFonts w:ascii="Times New Roman" w:hAnsi="Times New Roman" w:eastAsia="楷体"/>
          <w:bCs w:val="0"/>
          <w:sz w:val="32"/>
        </w:rPr>
        <w:t>。</w:t>
      </w:r>
      <w:r>
        <w:rPr>
          <w:rFonts w:ascii="Times New Roman" w:hAnsi="Times New Roman" w:eastAsia="仿宋_GB2312"/>
          <w:bCs w:val="0"/>
          <w:sz w:val="32"/>
          <w:szCs w:val="32"/>
        </w:rPr>
        <w:t>加快实施通村公路提级改造和连通工程，提高通达深度和安全水平，提升通畅水平。推进旅游路、产业路、资源路、</w:t>
      </w:r>
      <w:r>
        <w:rPr>
          <w:rFonts w:hint="eastAsia" w:ascii="Times New Roman" w:hAnsi="Times New Roman" w:eastAsia="仿宋_GB2312"/>
          <w:bCs w:val="0"/>
          <w:sz w:val="32"/>
          <w:szCs w:val="32"/>
          <w:lang w:val="en-US" w:eastAsia="zh-CN"/>
        </w:rPr>
        <w:t>农场</w:t>
      </w:r>
      <w:r>
        <w:rPr>
          <w:rFonts w:ascii="Times New Roman" w:hAnsi="Times New Roman" w:eastAsia="仿宋_GB2312"/>
          <w:bCs w:val="0"/>
          <w:sz w:val="32"/>
          <w:szCs w:val="32"/>
        </w:rPr>
        <w:t>出口路等公路建设。</w:t>
      </w:r>
    </w:p>
    <w:p w14:paraId="1890592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内部交通</w:t>
      </w:r>
    </w:p>
    <w:p w14:paraId="7985840C">
      <w:pPr>
        <w:bidi w:val="0"/>
        <w:rPr>
          <w:rFonts w:hint="default"/>
        </w:rPr>
      </w:pPr>
      <w:r>
        <w:rPr>
          <w:rFonts w:hint="default"/>
        </w:rPr>
        <w:t>完善内部网络，加强各村屯之间道路连通，继续推进“四好农村路”建设，把农村公路建好、管好、护好、运营好，为加快推进农业农村现代化提供更好保障。规划期内，对道路进行修缮改造，定期做好养护工作，全面提高各级道路交通通行能力和服务水平；同时对现状道路进行提档升级，实施道路硬化工程，至规划期末，内部道路通达率、硬化率达</w:t>
      </w:r>
      <w:r>
        <w:rPr>
          <w:rFonts w:hint="eastAsia"/>
          <w:lang w:eastAsia="zh-CN"/>
        </w:rPr>
        <w:t>100%</w:t>
      </w:r>
      <w:r>
        <w:rPr>
          <w:rFonts w:hint="default"/>
        </w:rPr>
        <w:t>。</w:t>
      </w:r>
    </w:p>
    <w:p w14:paraId="556C6D2F">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交通枢纽设施</w:t>
      </w:r>
    </w:p>
    <w:p w14:paraId="6CD71BCA">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楷体"/>
          <w:bCs w:val="0"/>
          <w:sz w:val="32"/>
        </w:rPr>
        <w:t>客运枢纽。</w:t>
      </w:r>
      <w:r>
        <w:rPr>
          <w:rFonts w:ascii="Times New Roman" w:hAnsi="Times New Roman" w:eastAsia="仿宋_GB2312"/>
          <w:bCs w:val="0"/>
          <w:sz w:val="32"/>
          <w:szCs w:val="32"/>
        </w:rPr>
        <w:t>保留</w:t>
      </w:r>
      <w:r>
        <w:rPr>
          <w:rFonts w:hint="eastAsia" w:ascii="Times New Roman" w:hAnsi="Times New Roman" w:eastAsia="仿宋_GB2312"/>
          <w:bCs w:val="0"/>
          <w:sz w:val="32"/>
          <w:szCs w:val="32"/>
        </w:rPr>
        <w:t>扩建</w:t>
      </w:r>
      <w:r>
        <w:rPr>
          <w:rFonts w:ascii="Times New Roman" w:hAnsi="Times New Roman" w:eastAsia="仿宋_GB2312"/>
          <w:bCs w:val="0"/>
          <w:sz w:val="32"/>
          <w:szCs w:val="32"/>
        </w:rPr>
        <w:t>现状客运站。形成以</w:t>
      </w:r>
      <w:r>
        <w:rPr>
          <w:rFonts w:hint="eastAsia" w:ascii="Times New Roman" w:hAnsi="Times New Roman" w:eastAsia="仿宋_GB2312"/>
          <w:bCs w:val="0"/>
          <w:sz w:val="32"/>
          <w:szCs w:val="32"/>
        </w:rPr>
        <w:t>桦川</w:t>
      </w:r>
      <w:r>
        <w:rPr>
          <w:rFonts w:ascii="Times New Roman" w:hAnsi="Times New Roman" w:eastAsia="仿宋_GB2312"/>
          <w:bCs w:val="0"/>
          <w:sz w:val="32"/>
          <w:szCs w:val="32"/>
        </w:rPr>
        <w:t>客运站为中心，</w:t>
      </w:r>
      <w:r>
        <w:rPr>
          <w:rFonts w:hint="eastAsia" w:ascii="Times New Roman" w:hAnsi="Times New Roman" w:eastAsia="仿宋_GB2312"/>
          <w:bCs w:val="0"/>
          <w:sz w:val="32"/>
          <w:szCs w:val="32"/>
        </w:rPr>
        <w:t>江川农场客运站</w:t>
      </w:r>
      <w:r>
        <w:rPr>
          <w:rFonts w:ascii="Times New Roman" w:hAnsi="Times New Roman" w:eastAsia="仿宋_GB2312"/>
          <w:bCs w:val="0"/>
          <w:sz w:val="32"/>
          <w:szCs w:val="32"/>
        </w:rPr>
        <w:t>为辅助的二级客运系统。</w:t>
      </w:r>
    </w:p>
    <w:p w14:paraId="607C4717">
      <w:pPr>
        <w:pStyle w:val="18"/>
        <w:spacing w:line="600" w:lineRule="atLeast"/>
        <w:ind w:firstLine="640" w:firstLineChars="200"/>
        <w:jc w:val="left"/>
        <w:rPr>
          <w:rFonts w:ascii="Times New Roman" w:hAnsi="Times New Roman" w:eastAsia="仿宋_GB2312"/>
          <w:bCs w:val="0"/>
          <w:sz w:val="32"/>
          <w:szCs w:val="32"/>
          <w:u w:val="single"/>
        </w:rPr>
      </w:pPr>
      <w:r>
        <w:rPr>
          <w:rFonts w:ascii="Times New Roman" w:hAnsi="Times New Roman" w:eastAsia="楷体"/>
          <w:bCs w:val="0"/>
          <w:sz w:val="32"/>
        </w:rPr>
        <w:t>城乡公交体系。</w:t>
      </w:r>
      <w:r>
        <w:rPr>
          <w:rFonts w:ascii="Times New Roman" w:hAnsi="Times New Roman" w:eastAsia="仿宋_GB2312"/>
          <w:bCs w:val="0"/>
          <w:sz w:val="32"/>
          <w:szCs w:val="32"/>
        </w:rPr>
        <w:t>构建</w:t>
      </w:r>
      <w:r>
        <w:rPr>
          <w:rFonts w:hint="eastAsia" w:ascii="Times New Roman" w:hAnsi="Times New Roman" w:eastAsia="仿宋_GB2312"/>
          <w:bCs w:val="0"/>
          <w:sz w:val="32"/>
          <w:szCs w:val="32"/>
        </w:rPr>
        <w:t>场域</w:t>
      </w:r>
      <w:r>
        <w:rPr>
          <w:rFonts w:ascii="Times New Roman" w:hAnsi="Times New Roman" w:eastAsia="仿宋_GB2312"/>
          <w:bCs w:val="0"/>
          <w:sz w:val="32"/>
          <w:szCs w:val="32"/>
        </w:rPr>
        <w:t>公交体系，优化线网结构，完善公交基础设施保障和硬件投入，因地制宜统筹构建层次分明、功能互补、一体衔接的城乡公交服务体系，为全</w:t>
      </w:r>
      <w:r>
        <w:rPr>
          <w:rFonts w:hint="eastAsia" w:ascii="Times New Roman" w:hAnsi="Times New Roman" w:eastAsia="仿宋_GB2312"/>
          <w:bCs w:val="0"/>
          <w:sz w:val="32"/>
          <w:szCs w:val="32"/>
        </w:rPr>
        <w:t>镇</w:t>
      </w:r>
      <w:r>
        <w:rPr>
          <w:rFonts w:ascii="Times New Roman" w:hAnsi="Times New Roman" w:eastAsia="仿宋_GB2312"/>
          <w:bCs w:val="0"/>
          <w:sz w:val="32"/>
          <w:szCs w:val="32"/>
        </w:rPr>
        <w:t>人民提供安全、便捷、优惠、舒适的公共交通服务，促进经济、社会、资源环境协调发展。</w:t>
      </w:r>
    </w:p>
    <w:p w14:paraId="775E6E51">
      <w:pPr>
        <w:pStyle w:val="31"/>
        <w:spacing w:before="156" w:beforeLines="50" w:after="156" w:afterLines="50" w:line="600" w:lineRule="atLeast"/>
        <w:ind w:firstLine="0" w:firstLineChars="0"/>
        <w:rPr>
          <w:rFonts w:hint="eastAsia" w:ascii="Times New Roman" w:hAnsi="Times New Roman" w:cs="Times New Roman"/>
          <w:highlight w:val="none"/>
        </w:rPr>
      </w:pPr>
      <w:bookmarkStart w:id="106" w:name="_Toc28859"/>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二</w:t>
      </w:r>
      <w:r>
        <w:rPr>
          <w:rFonts w:hint="eastAsia" w:ascii="Times New Roman" w:hAnsi="Times New Roman" w:cs="Times New Roman"/>
          <w:highlight w:val="none"/>
        </w:rPr>
        <w:t xml:space="preserve">节 </w:t>
      </w:r>
      <w:r>
        <w:rPr>
          <w:rFonts w:hint="eastAsia" w:ascii="Times New Roman" w:hAnsi="Times New Roman" w:cs="Times New Roman"/>
          <w:highlight w:val="none"/>
          <w:lang w:val="en-US" w:eastAsia="zh-CN"/>
        </w:rPr>
        <w:t>农场场部</w:t>
      </w:r>
      <w:r>
        <w:rPr>
          <w:rFonts w:hint="eastAsia" w:ascii="Times New Roman" w:hAnsi="Times New Roman" w:cs="Times New Roman"/>
          <w:highlight w:val="none"/>
        </w:rPr>
        <w:t>道路交通组织</w:t>
      </w:r>
      <w:bookmarkEnd w:id="104"/>
      <w:bookmarkEnd w:id="106"/>
    </w:p>
    <w:p w14:paraId="049EC946">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交通系统发展目标</w:t>
      </w:r>
      <w:bookmarkEnd w:id="105"/>
    </w:p>
    <w:p w14:paraId="5A9C33BB">
      <w:pPr>
        <w:pStyle w:val="18"/>
        <w:spacing w:line="600" w:lineRule="atLeast"/>
        <w:ind w:firstLine="640" w:firstLineChars="200"/>
        <w:jc w:val="both"/>
        <w:rPr>
          <w:rFonts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根据红兴隆分局（桦川境内）社会经济发展战略、城市空间发展的目标定位和城市功能定位，提出江川农场场部城市道路交通发展战略目标为：构建一个适度超前，引导城市空间拓展，以便捷通畅为主要目标，以景城一体为特色的城市道路交通系统。</w:t>
      </w:r>
    </w:p>
    <w:p w14:paraId="35797AB4">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bookmarkStart w:id="107" w:name="_Toc2582"/>
      <w:r>
        <w:rPr>
          <w:rFonts w:hint="eastAsia" w:ascii="Times New Roman" w:hAnsi="Times New Roman" w:eastAsia="楷体_GB2312" w:cs="Times New Roman"/>
          <w:b/>
          <w:bCs w:val="0"/>
          <w:highlight w:val="none"/>
          <w:lang w:val="en-US" w:eastAsia="zh-CN"/>
        </w:rPr>
        <w:t>道路网结构和布局规划</w:t>
      </w:r>
      <w:bookmarkEnd w:id="107"/>
    </w:p>
    <w:p w14:paraId="10652934">
      <w:pPr>
        <w:numPr>
          <w:ilvl w:val="0"/>
          <w:numId w:val="7"/>
        </w:numPr>
        <w:spacing w:line="600" w:lineRule="atLeast"/>
        <w:ind w:firstLine="640" w:firstLineChars="200"/>
        <w:rPr>
          <w:rFonts w:ascii="Times New Roman" w:hAnsi="Times New Roman" w:cs="Times New Roman"/>
          <w:szCs w:val="32"/>
        </w:rPr>
      </w:pPr>
      <w:bookmarkStart w:id="108" w:name="_Toc4556"/>
      <w:r>
        <w:rPr>
          <w:rFonts w:hint="eastAsia" w:ascii="Times New Roman" w:hAnsi="Times New Roman" w:cs="Times New Roman"/>
          <w:szCs w:val="32"/>
        </w:rPr>
        <w:t>道路系统</w:t>
      </w:r>
    </w:p>
    <w:p w14:paraId="13EA7341">
      <w:pPr>
        <w:spacing w:line="600" w:lineRule="atLeast"/>
        <w:ind w:firstLine="640" w:firstLineChars="200"/>
        <w:rPr>
          <w:rFonts w:ascii="Times New Roman" w:hAnsi="Times New Roman" w:cs="Times New Roman"/>
          <w:szCs w:val="32"/>
          <w:u w:val="single"/>
        </w:rPr>
      </w:pPr>
      <w:r>
        <w:rPr>
          <w:rFonts w:hint="eastAsia" w:ascii="Times New Roman" w:hAnsi="Times New Roman" w:cs="Times New Roman"/>
          <w:szCs w:val="32"/>
        </w:rPr>
        <w:t xml:space="preserve">根据现状道路特点和用地开发边界，规划道路结构为方格网形式。道路等级分为主干路、次干路两级。其中，主干路是各主要功能分区的连通道路，以承担机动车交通为主， </w:t>
      </w:r>
      <w:r>
        <w:rPr>
          <w:rFonts w:hint="eastAsia" w:ascii="Times New Roman" w:hAnsi="Times New Roman" w:cs="Times New Roman"/>
          <w:szCs w:val="32"/>
          <w:u w:val="single"/>
        </w:rPr>
        <w:t>规划建议主干路红线宽18-24米。</w:t>
      </w:r>
      <w:r>
        <w:rPr>
          <w:rFonts w:hint="eastAsia" w:ascii="Times New Roman" w:hAnsi="Times New Roman" w:cs="Times New Roman"/>
          <w:szCs w:val="32"/>
        </w:rPr>
        <w:t>次干路是与主干路衔接的集散道路，以承担各功能分区内部交通为主，</w:t>
      </w:r>
      <w:r>
        <w:rPr>
          <w:rFonts w:hint="eastAsia" w:ascii="Times New Roman" w:hAnsi="Times New Roman" w:cs="Times New Roman"/>
          <w:szCs w:val="32"/>
          <w:u w:val="single"/>
        </w:rPr>
        <w:t>规划建议次干路红线宽8-12米。</w:t>
      </w:r>
    </w:p>
    <w:p w14:paraId="24544368">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2、慢行系统</w:t>
      </w:r>
    </w:p>
    <w:p w14:paraId="4FAAA880">
      <w:pPr>
        <w:pStyle w:val="18"/>
        <w:spacing w:line="600" w:lineRule="atLeast"/>
        <w:ind w:firstLine="640" w:firstLineChars="200"/>
        <w:jc w:val="both"/>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综合考虑场区尺度、通勤距离，步行及非机动车出行比例等实际情况，优先打造安全、宜行的绿色交通体系，重点完善步行和自行车出行空间，鼓励绿色交通出行，提升慢行交通生活品质。</w:t>
      </w:r>
    </w:p>
    <w:p w14:paraId="610F076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3、公共交通系统</w:t>
      </w:r>
    </w:p>
    <w:p w14:paraId="189C9AAB">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根据用地性质和居民需求布设公交停靠站、停保场及相关配套设施，便于运营调度。公交站点 500 米半径覆盖率不小于 90%。加强与慢行交通衔接换乘，步行短时间可达。</w:t>
      </w:r>
    </w:p>
    <w:p w14:paraId="4AE6633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持续推动城乡公交一体化发展，推动城镇公交线路向周边县区、重点乡镇延伸，引领城镇发展。加强信息技术在公共交通运营管理、服务监管方面的应用，提高公共交通智能化水平，推广普及城乡公共交通“一卡通”。</w:t>
      </w:r>
    </w:p>
    <w:p w14:paraId="03783D2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4、静态交通系统</w:t>
      </w:r>
    </w:p>
    <w:p w14:paraId="36CF89D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构建以配建为主、公共为辅、路内停车为补充的静态交通体系。建筑配建停车泊位作为静态交通设施的主体，占比应达 85%以上，鼓励集约用地建设地下停车场、立体停车场，倡导停车泊位错时共享。居住类建筑不宜布置地面停车泊位，保障人行安全，公服设施建议设置不低于 90%的地下停车位。新建住宅配建停车位应 100%建设充电基础设施或预留安装条件。公共建筑物配建停车场建设充电基础设施与预留建设安装条件的车位比例不应低于 10%。其中快速充电桩设置比。</w:t>
      </w:r>
    </w:p>
    <w:p w14:paraId="52E6DFAE">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交通枢纽规划</w:t>
      </w:r>
      <w:bookmarkEnd w:id="108"/>
    </w:p>
    <w:p w14:paraId="7E1FFE5C">
      <w:pPr>
        <w:spacing w:line="600" w:lineRule="atLeast"/>
        <w:ind w:firstLine="640" w:firstLineChars="200"/>
        <w:rPr>
          <w:rFonts w:hint="eastAsia" w:ascii="Times New Roman" w:hAnsi="Times New Roman" w:cs="Times New Roman"/>
          <w:szCs w:val="32"/>
          <w:u w:val="single"/>
        </w:rPr>
      </w:pPr>
      <w:r>
        <w:rPr>
          <w:rFonts w:hint="eastAsia" w:ascii="楷体" w:hAnsi="楷体" w:eastAsia="楷体" w:cs="楷体"/>
          <w:szCs w:val="32"/>
          <w:u w:val="single"/>
        </w:rPr>
        <w:t>客运站。</w:t>
      </w:r>
      <w:r>
        <w:rPr>
          <w:rFonts w:hint="eastAsia" w:ascii="Times New Roman" w:hAnsi="Times New Roman" w:cs="Times New Roman"/>
          <w:szCs w:val="32"/>
          <w:u w:val="single"/>
        </w:rPr>
        <w:t>规划保留现状客运站。</w:t>
      </w:r>
    </w:p>
    <w:p w14:paraId="3E0C5B2D">
      <w:pPr>
        <w:pStyle w:val="31"/>
        <w:spacing w:before="156" w:beforeLines="50" w:after="156" w:afterLines="50" w:line="600" w:lineRule="atLeast"/>
        <w:ind w:firstLine="0" w:firstLineChars="0"/>
        <w:rPr>
          <w:rFonts w:hint="eastAsia" w:ascii="Times New Roman" w:hAnsi="Times New Roman" w:cs="Times New Roman"/>
          <w:highlight w:val="none"/>
        </w:rPr>
      </w:pPr>
      <w:bookmarkStart w:id="109" w:name="_Toc12175"/>
      <w:bookmarkStart w:id="110" w:name="_Toc14840"/>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三</w:t>
      </w:r>
      <w:r>
        <w:rPr>
          <w:rFonts w:hint="eastAsia" w:ascii="Times New Roman" w:hAnsi="Times New Roman" w:cs="Times New Roman"/>
          <w:highlight w:val="none"/>
        </w:rPr>
        <w:t>节 提高公服设施均等化水平</w:t>
      </w:r>
      <w:bookmarkEnd w:id="109"/>
      <w:bookmarkEnd w:id="110"/>
    </w:p>
    <w:p w14:paraId="66419340">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构建公共服务设施体系</w:t>
      </w:r>
    </w:p>
    <w:p w14:paraId="2BC36587">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规划在尊重现状的基础上，结合人口发展趋势，分项分级设置各类公共服务设施，建设“</w:t>
      </w:r>
      <w:r>
        <w:rPr>
          <w:rFonts w:hint="eastAsia" w:ascii="Times New Roman" w:hAnsi="Times New Roman" w:eastAsia="仿宋_GB2312"/>
          <w:bCs w:val="0"/>
          <w:sz w:val="32"/>
          <w:szCs w:val="32"/>
        </w:rPr>
        <w:t>场部</w:t>
      </w:r>
      <w:r>
        <w:rPr>
          <w:rFonts w:ascii="Times New Roman" w:hAnsi="Times New Roman" w:eastAsia="仿宋_GB2312"/>
          <w:bCs w:val="0"/>
          <w:sz w:val="32"/>
          <w:szCs w:val="32"/>
        </w:rPr>
        <w:t>—</w:t>
      </w:r>
      <w:r>
        <w:rPr>
          <w:rFonts w:hint="eastAsia" w:ascii="Times New Roman" w:hAnsi="Times New Roman" w:eastAsia="仿宋_GB2312"/>
          <w:bCs w:val="0"/>
          <w:sz w:val="32"/>
          <w:szCs w:val="32"/>
        </w:rPr>
        <w:t>管理区</w:t>
      </w:r>
      <w:r>
        <w:rPr>
          <w:rFonts w:ascii="Times New Roman" w:hAnsi="Times New Roman" w:eastAsia="仿宋_GB2312"/>
          <w:bCs w:val="0"/>
          <w:sz w:val="32"/>
          <w:szCs w:val="32"/>
        </w:rPr>
        <w:t>—</w:t>
      </w:r>
      <w:r>
        <w:rPr>
          <w:rFonts w:hint="eastAsia" w:ascii="Times New Roman" w:hAnsi="Times New Roman" w:eastAsia="仿宋_GB2312"/>
          <w:bCs w:val="0"/>
          <w:sz w:val="32"/>
          <w:szCs w:val="32"/>
        </w:rPr>
        <w:t>作业站</w:t>
      </w:r>
      <w:r>
        <w:rPr>
          <w:rFonts w:ascii="Times New Roman" w:hAnsi="Times New Roman" w:eastAsia="仿宋_GB2312"/>
          <w:bCs w:val="0"/>
          <w:sz w:val="32"/>
          <w:szCs w:val="32"/>
        </w:rPr>
        <w:t>”三级公共服务体系，打造镇村服务圈，全面实现城乡基本服务设施均等化。</w:t>
      </w:r>
      <w:r>
        <w:rPr>
          <w:rFonts w:hint="eastAsia" w:ascii="Times New Roman" w:hAnsi="Times New Roman" w:eastAsia="仿宋_GB2312"/>
          <w:bCs w:val="0"/>
          <w:sz w:val="32"/>
          <w:szCs w:val="32"/>
        </w:rPr>
        <w:t>场区</w:t>
      </w:r>
      <w:r>
        <w:rPr>
          <w:rFonts w:ascii="Times New Roman" w:hAnsi="Times New Roman" w:eastAsia="仿宋_GB2312"/>
          <w:bCs w:val="0"/>
          <w:sz w:val="32"/>
          <w:szCs w:val="32"/>
        </w:rPr>
        <w:t>公共服务设施分为“15 分钟生活圈、5-10 分钟生活圈居住区级”两级。打造面向场域服务的公共服务体系，主要公共服务设施重点向</w:t>
      </w:r>
      <w:r>
        <w:rPr>
          <w:rFonts w:hint="eastAsia" w:ascii="Times New Roman" w:hAnsi="Times New Roman" w:eastAsia="仿宋_GB2312"/>
          <w:bCs w:val="0"/>
          <w:sz w:val="32"/>
          <w:szCs w:val="32"/>
        </w:rPr>
        <w:t>场区</w:t>
      </w:r>
      <w:r>
        <w:rPr>
          <w:rFonts w:ascii="Times New Roman" w:hAnsi="Times New Roman" w:eastAsia="仿宋_GB2312"/>
          <w:bCs w:val="0"/>
          <w:sz w:val="32"/>
          <w:szCs w:val="32"/>
        </w:rPr>
        <w:t>集中，提升</w:t>
      </w:r>
      <w:r>
        <w:rPr>
          <w:rFonts w:hint="eastAsia" w:ascii="Times New Roman" w:hAnsi="Times New Roman" w:eastAsia="仿宋_GB2312"/>
          <w:bCs w:val="0"/>
          <w:sz w:val="32"/>
          <w:szCs w:val="32"/>
        </w:rPr>
        <w:t>场区</w:t>
      </w:r>
      <w:r>
        <w:rPr>
          <w:rFonts w:ascii="Times New Roman" w:hAnsi="Times New Roman" w:eastAsia="仿宋_GB2312"/>
          <w:bCs w:val="0"/>
          <w:sz w:val="32"/>
          <w:szCs w:val="32"/>
        </w:rPr>
        <w:t>设施服务水平和设施利用效率。</w:t>
      </w:r>
    </w:p>
    <w:p w14:paraId="36ACF750">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教育设施</w:t>
      </w:r>
    </w:p>
    <w:p w14:paraId="41A834C1">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建设公平、优质、创新、开放的教育体系，努力办好人民满意的教育，建立优质均衡、公平开放的基础教育体系。增加学前教育资源供给，优化布局，扩大普惠性幼儿园覆盖率。推进义务教育向优质普惠迈进，完善义务教育、高中教育体系，全面实施素质教育。</w:t>
      </w:r>
    </w:p>
    <w:p w14:paraId="6B546DF1">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农场场部</w:t>
      </w:r>
      <w:r>
        <w:rPr>
          <w:rFonts w:ascii="Times New Roman" w:hAnsi="Times New Roman" w:eastAsia="仿宋_GB2312"/>
          <w:bCs w:val="0"/>
          <w:sz w:val="32"/>
          <w:szCs w:val="32"/>
        </w:rPr>
        <w:t>：依据人口测算，保留、优化现状小学</w:t>
      </w:r>
      <w:r>
        <w:rPr>
          <w:rFonts w:hint="eastAsia" w:asciiTheme="minorEastAsia" w:hAnsiTheme="minorEastAsia" w:eastAsiaTheme="minorEastAsia"/>
          <w:bCs w:val="0"/>
          <w:sz w:val="32"/>
          <w:szCs w:val="32"/>
        </w:rPr>
        <w:t>、中学</w:t>
      </w:r>
      <w:r>
        <w:rPr>
          <w:rFonts w:ascii="Times New Roman" w:hAnsi="Times New Roman" w:eastAsia="仿宋_GB2312"/>
          <w:bCs w:val="0"/>
          <w:sz w:val="32"/>
          <w:szCs w:val="32"/>
        </w:rPr>
        <w:t>即可满足未来适龄儿童的入学需求，</w:t>
      </w:r>
      <w:r>
        <w:rPr>
          <w:rFonts w:hint="eastAsia" w:ascii="Times New Roman" w:hAnsi="Times New Roman" w:eastAsia="仿宋_GB2312"/>
          <w:bCs w:val="0"/>
          <w:sz w:val="32"/>
          <w:szCs w:val="32"/>
        </w:rPr>
        <w:t>保留现状幼儿园，规划新</w:t>
      </w:r>
      <w:r>
        <w:rPr>
          <w:rFonts w:hAnsi="宋体" w:eastAsia="仿宋_GB2312" w:cs="仿宋_GB2312"/>
          <w:kern w:val="0"/>
          <w:sz w:val="31"/>
          <w:szCs w:val="31"/>
          <w:lang w:bidi="ar"/>
        </w:rPr>
        <w:t>建小区设置托儿所，满足居民需求</w:t>
      </w:r>
      <w:r>
        <w:rPr>
          <w:rFonts w:ascii="Times New Roman" w:hAnsi="Times New Roman" w:eastAsia="仿宋_GB2312"/>
          <w:bCs w:val="0"/>
          <w:sz w:val="32"/>
          <w:szCs w:val="32"/>
        </w:rPr>
        <w:t>。</w:t>
      </w:r>
    </w:p>
    <w:p w14:paraId="317CD7C6">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管理区</w:t>
      </w:r>
      <w:r>
        <w:rPr>
          <w:rFonts w:ascii="Times New Roman" w:hAnsi="Times New Roman" w:eastAsia="仿宋_GB2312"/>
          <w:bCs w:val="0"/>
          <w:sz w:val="32"/>
          <w:szCs w:val="32"/>
        </w:rPr>
        <w:t>：</w:t>
      </w:r>
      <w:r>
        <w:rPr>
          <w:rFonts w:hint="eastAsia" w:ascii="Times New Roman" w:hAnsi="Times New Roman" w:eastAsia="仿宋_GB2312"/>
          <w:bCs w:val="0"/>
          <w:sz w:val="32"/>
          <w:szCs w:val="32"/>
        </w:rPr>
        <w:t>不单独设置教育用地，规划所有适龄儿童集中到场部或桦川县入学</w:t>
      </w:r>
      <w:r>
        <w:rPr>
          <w:rFonts w:ascii="Times New Roman" w:hAnsi="Times New Roman" w:eastAsia="仿宋_GB2312"/>
          <w:bCs w:val="0"/>
          <w:sz w:val="32"/>
          <w:szCs w:val="32"/>
        </w:rPr>
        <w:t>。</w:t>
      </w:r>
    </w:p>
    <w:p w14:paraId="449DD2CA">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医疗卫生设施</w:t>
      </w:r>
    </w:p>
    <w:p w14:paraId="5A1B1232">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高标准配置医疗卫生设施，建立</w:t>
      </w:r>
      <w:r>
        <w:rPr>
          <w:rFonts w:hint="eastAsia" w:ascii="Times New Roman" w:hAnsi="Times New Roman" w:eastAsia="仿宋_GB2312"/>
          <w:bCs w:val="0"/>
          <w:sz w:val="32"/>
          <w:szCs w:val="32"/>
          <w:lang w:val="en-US" w:eastAsia="zh-CN"/>
        </w:rPr>
        <w:t>农场</w:t>
      </w:r>
      <w:r>
        <w:rPr>
          <w:rFonts w:ascii="Times New Roman" w:hAnsi="Times New Roman" w:eastAsia="仿宋_GB2312"/>
          <w:bCs w:val="0"/>
          <w:sz w:val="32"/>
          <w:szCs w:val="32"/>
        </w:rPr>
        <w:t>级医疗卫生设施诊疗体系。</w:t>
      </w:r>
    </w:p>
    <w:p w14:paraId="3065315C">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构建以</w:t>
      </w:r>
      <w:r>
        <w:rPr>
          <w:rFonts w:hint="eastAsia" w:ascii="Times New Roman" w:hAnsi="Times New Roman" w:eastAsia="仿宋_GB2312"/>
          <w:bCs w:val="0"/>
          <w:sz w:val="32"/>
          <w:szCs w:val="32"/>
          <w:lang w:val="en-US" w:eastAsia="zh-CN"/>
        </w:rPr>
        <w:t>农场</w:t>
      </w:r>
      <w:r>
        <w:rPr>
          <w:rFonts w:ascii="Times New Roman" w:hAnsi="Times New Roman" w:eastAsia="仿宋_GB2312"/>
          <w:bCs w:val="0"/>
          <w:sz w:val="32"/>
          <w:szCs w:val="32"/>
        </w:rPr>
        <w:t>卫生院为中心，</w:t>
      </w:r>
      <w:r>
        <w:rPr>
          <w:rFonts w:hint="eastAsia" w:ascii="Times New Roman" w:hAnsi="Times New Roman" w:eastAsia="仿宋_GB2312"/>
          <w:bCs w:val="0"/>
          <w:sz w:val="32"/>
          <w:szCs w:val="32"/>
          <w:lang w:val="en-US" w:eastAsia="zh-CN"/>
        </w:rPr>
        <w:t>管理区</w:t>
      </w:r>
      <w:r>
        <w:rPr>
          <w:rFonts w:ascii="Times New Roman" w:hAnsi="Times New Roman" w:eastAsia="仿宋_GB2312"/>
          <w:bCs w:val="0"/>
          <w:sz w:val="32"/>
          <w:szCs w:val="32"/>
        </w:rPr>
        <w:t>级卫生所为补充的卫生网络系统。基本建成覆盖场域、功能齐全完善的医疗救治、疾病预防控制体系。</w:t>
      </w:r>
    </w:p>
    <w:p w14:paraId="697674D9">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农场场部</w:t>
      </w:r>
      <w:r>
        <w:rPr>
          <w:rFonts w:ascii="Times New Roman" w:hAnsi="Times New Roman" w:eastAsia="仿宋_GB2312"/>
          <w:bCs w:val="0"/>
          <w:sz w:val="32"/>
          <w:szCs w:val="32"/>
        </w:rPr>
        <w:t>：保留、优化现状</w:t>
      </w:r>
      <w:r>
        <w:rPr>
          <w:rFonts w:hint="eastAsia" w:ascii="Times New Roman" w:hAnsi="Times New Roman" w:eastAsia="仿宋_GB2312"/>
          <w:bCs w:val="0"/>
          <w:sz w:val="32"/>
          <w:szCs w:val="32"/>
        </w:rPr>
        <w:t>江川农场医院</w:t>
      </w:r>
      <w:r>
        <w:rPr>
          <w:rFonts w:ascii="Times New Roman" w:hAnsi="Times New Roman" w:eastAsia="仿宋_GB2312"/>
          <w:bCs w:val="0"/>
          <w:sz w:val="32"/>
          <w:szCs w:val="32"/>
        </w:rPr>
        <w:t>、通过改善医疗条件、提高服务质量，完善</w:t>
      </w:r>
      <w:r>
        <w:rPr>
          <w:rFonts w:hint="eastAsia" w:ascii="Times New Roman" w:hAnsi="Times New Roman" w:eastAsia="仿宋_GB2312"/>
          <w:bCs w:val="0"/>
          <w:sz w:val="32"/>
          <w:szCs w:val="32"/>
        </w:rPr>
        <w:t>场区</w:t>
      </w:r>
      <w:r>
        <w:rPr>
          <w:rFonts w:ascii="Times New Roman" w:hAnsi="Times New Roman" w:eastAsia="仿宋_GB2312"/>
          <w:bCs w:val="0"/>
          <w:sz w:val="32"/>
          <w:szCs w:val="32"/>
        </w:rPr>
        <w:t>医护职能；设置卫生监督所和疾控中心功能，以满足突发疫情需求，可在现状医院建筑内部选取合适区域设置，不必单独设置用地。</w:t>
      </w:r>
    </w:p>
    <w:p w14:paraId="3AF58B22">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管理区</w:t>
      </w:r>
      <w:r>
        <w:rPr>
          <w:rFonts w:ascii="Times New Roman" w:hAnsi="Times New Roman" w:eastAsia="仿宋_GB2312"/>
          <w:bCs w:val="0"/>
          <w:sz w:val="32"/>
          <w:szCs w:val="32"/>
        </w:rPr>
        <w:t>：规划按照一村一室进行配置村级卫生室，对现有</w:t>
      </w:r>
      <w:r>
        <w:rPr>
          <w:rFonts w:hint="eastAsia" w:ascii="Times New Roman" w:hAnsi="Times New Roman" w:eastAsia="仿宋_GB2312"/>
          <w:bCs w:val="0"/>
          <w:sz w:val="32"/>
          <w:szCs w:val="32"/>
          <w:lang w:eastAsia="zh-CN"/>
        </w:rPr>
        <w:t>作业站</w:t>
      </w:r>
      <w:r>
        <w:rPr>
          <w:rFonts w:ascii="Times New Roman" w:hAnsi="Times New Roman" w:eastAsia="仿宋_GB2312"/>
          <w:bCs w:val="0"/>
          <w:sz w:val="32"/>
          <w:szCs w:val="32"/>
        </w:rPr>
        <w:t>卫生室进行提升，完善乡村一级医疗卫生水平，强化基层医疗作用，做到小病不出村。</w:t>
      </w:r>
    </w:p>
    <w:p w14:paraId="53F856AD">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文化设施</w:t>
      </w:r>
    </w:p>
    <w:p w14:paraId="700D1F7F">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建立供给丰富、均衡高效的文化服务体系，扩大公共文化服务有效供给，建设一批高品质文化设施，鼓励学校、企事业单位文化设施向社会开放，实现城乡文化服务互联互通。</w:t>
      </w:r>
    </w:p>
    <w:p w14:paraId="4525FA37">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体育设施</w:t>
      </w:r>
    </w:p>
    <w:p w14:paraId="04BC7FA9">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建立体系完善、惠及大众的全民健身公共服务体系。兼顾竞技体育与全民健身的需求，侧重全民健身设施的建设。推动学校体育设施向社会开放，鼓励体育设施与其他公共服务设施共建共享，鼓励公园绿地、滨水空间及其他开敞空间提供体育健身服务功能。</w:t>
      </w:r>
    </w:p>
    <w:p w14:paraId="46229B95">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社会福利设施</w:t>
      </w:r>
    </w:p>
    <w:p w14:paraId="2799E441">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提升社会保障水平，坚持普惠性、保基本、均等化、可持续、高标准建设社会保障服务设施，切实保障老人、儿童和</w:t>
      </w:r>
      <w:r>
        <w:rPr>
          <w:rFonts w:hint="eastAsia" w:ascii="Times New Roman" w:hAnsi="Times New Roman" w:eastAsia="仿宋_GB2312"/>
          <w:bCs w:val="0"/>
          <w:sz w:val="32"/>
          <w:szCs w:val="32"/>
          <w:lang w:val="en-US" w:eastAsia="zh-CN"/>
        </w:rPr>
        <w:t>残障</w:t>
      </w:r>
      <w:r>
        <w:rPr>
          <w:rFonts w:ascii="Times New Roman" w:hAnsi="Times New Roman" w:eastAsia="仿宋_GB2312"/>
          <w:bCs w:val="0"/>
          <w:sz w:val="32"/>
          <w:szCs w:val="32"/>
        </w:rPr>
        <w:t>人士的基本公共服务，建成以家庭为基础、社区为依托、机构养老为补充、医养相结合的养老服务体系，形成网络健全、便捷高效的养老服务格局。</w:t>
      </w:r>
    </w:p>
    <w:p w14:paraId="7C3F399D">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商业服务设施</w:t>
      </w:r>
    </w:p>
    <w:p w14:paraId="6A175473">
      <w:pPr>
        <w:pStyle w:val="18"/>
        <w:spacing w:line="600" w:lineRule="atLeast"/>
        <w:ind w:firstLine="640" w:firstLineChars="200"/>
        <w:jc w:val="left"/>
        <w:rPr>
          <w:rFonts w:ascii="Times New Roman" w:hAnsi="Times New Roman" w:eastAsia="仿宋_GB2312"/>
          <w:bCs w:val="0"/>
          <w:sz w:val="32"/>
          <w:szCs w:val="32"/>
        </w:rPr>
      </w:pPr>
      <w:r>
        <w:rPr>
          <w:rFonts w:ascii="Times New Roman" w:hAnsi="Times New Roman" w:eastAsia="仿宋_GB2312"/>
          <w:bCs w:val="0"/>
          <w:sz w:val="32"/>
          <w:szCs w:val="32"/>
        </w:rPr>
        <w:t>加强城乡商业配套服务，建立以</w:t>
      </w:r>
      <w:r>
        <w:rPr>
          <w:rFonts w:hint="eastAsia" w:ascii="Times New Roman" w:hAnsi="Times New Roman" w:eastAsia="仿宋_GB2312"/>
          <w:bCs w:val="0"/>
          <w:sz w:val="32"/>
          <w:szCs w:val="32"/>
        </w:rPr>
        <w:t>农场场部</w:t>
      </w:r>
      <w:r>
        <w:rPr>
          <w:rFonts w:ascii="Times New Roman" w:hAnsi="Times New Roman" w:eastAsia="仿宋_GB2312"/>
          <w:bCs w:val="0"/>
          <w:sz w:val="32"/>
          <w:szCs w:val="32"/>
        </w:rPr>
        <w:t>为核心的城乡商业服务体系。</w:t>
      </w:r>
    </w:p>
    <w:p w14:paraId="5AAC3CCB">
      <w:pPr>
        <w:pStyle w:val="31"/>
        <w:spacing w:before="156" w:beforeLines="50" w:after="156" w:afterLines="50" w:line="600" w:lineRule="atLeast"/>
        <w:ind w:firstLine="0" w:firstLineChars="0"/>
        <w:rPr>
          <w:rFonts w:hint="eastAsia" w:ascii="Times New Roman" w:hAnsi="Times New Roman" w:cs="Times New Roman"/>
          <w:highlight w:val="none"/>
        </w:rPr>
      </w:pPr>
      <w:bookmarkStart w:id="111" w:name="_Toc8229"/>
      <w:bookmarkStart w:id="112" w:name="_Toc12343"/>
      <w:r>
        <w:rPr>
          <w:rFonts w:hint="eastAsia" w:ascii="Times New Roman" w:hAnsi="Times New Roman" w:cs="Times New Roman"/>
          <w:highlight w:val="none"/>
        </w:rPr>
        <w:t>第</w:t>
      </w:r>
      <w:r>
        <w:rPr>
          <w:rFonts w:hint="eastAsia" w:ascii="Times New Roman" w:hAnsi="Times New Roman" w:cs="Times New Roman"/>
          <w:highlight w:val="none"/>
          <w:lang w:val="en-US" w:eastAsia="zh-CN"/>
        </w:rPr>
        <w:t>四</w:t>
      </w:r>
      <w:r>
        <w:rPr>
          <w:rFonts w:hint="eastAsia" w:ascii="Times New Roman" w:hAnsi="Times New Roman" w:cs="Times New Roman"/>
          <w:highlight w:val="none"/>
        </w:rPr>
        <w:t>节 优化</w:t>
      </w:r>
      <w:r>
        <w:rPr>
          <w:rFonts w:hint="eastAsia" w:ascii="Times New Roman" w:hAnsi="Times New Roman" w:cs="Times New Roman"/>
          <w:highlight w:val="none"/>
          <w:lang w:val="en-US" w:eastAsia="zh-CN"/>
        </w:rPr>
        <w:t>场域</w:t>
      </w:r>
      <w:r>
        <w:rPr>
          <w:rFonts w:hint="eastAsia" w:ascii="Times New Roman" w:hAnsi="Times New Roman" w:cs="Times New Roman"/>
          <w:highlight w:val="none"/>
        </w:rPr>
        <w:t>基础设施空间布局</w:t>
      </w:r>
      <w:bookmarkEnd w:id="111"/>
      <w:bookmarkEnd w:id="112"/>
    </w:p>
    <w:p w14:paraId="74C34B03">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优化电力设施布局</w:t>
      </w:r>
    </w:p>
    <w:p w14:paraId="77B6DE9A">
      <w:pPr>
        <w:spacing w:line="360" w:lineRule="auto"/>
        <w:ind w:firstLine="640"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加强10kV配电网升级改造，建设联络通道实现负荷转代，提高供电能力，满足用电负荷发展的需要。</w:t>
      </w:r>
    </w:p>
    <w:p w14:paraId="7CBD4D6E">
      <w:pPr>
        <w:spacing w:line="600" w:lineRule="exact"/>
        <w:ind w:firstLine="640" w:firstLineChars="200"/>
        <w:rPr>
          <w:rFonts w:hint="eastAsia" w:ascii="Times New Roman" w:hAnsi="Times New Roman" w:cs="Times New Roman"/>
          <w:b/>
          <w:bCs/>
          <w:szCs w:val="32"/>
          <w:lang w:val="en-US" w:eastAsia="zh-CN"/>
        </w:rPr>
      </w:pPr>
      <w:r>
        <w:rPr>
          <w:rFonts w:hint="eastAsia" w:ascii="仿宋_GB2312" w:hAnsi="Times New Roman" w:eastAsia="仿宋_GB2312"/>
          <w:sz w:val="32"/>
          <w:szCs w:val="32"/>
        </w:rPr>
        <w:t>高压电力廊道要求。500千伏高压走廊宽度不低于60米（宜在60-75米），220千伏高压走廊宽度不低于30米（宜在30-40米），66千伏和110千伏高压走廊宽度不低于15米（宜在15-25米），35千伏高压走廊宽度不低于15米（宜在15-20米）。采取各种措施保障供电设施和高压走廊用地不被侵占，加强高压电力廊道预留和管控。</w:t>
      </w:r>
    </w:p>
    <w:p w14:paraId="2E0D5B2D">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优化燃气设施布局</w:t>
      </w:r>
    </w:p>
    <w:p w14:paraId="46DE3588">
      <w:pPr>
        <w:spacing w:line="360" w:lineRule="auto"/>
        <w:ind w:firstLine="640" w:firstLineChars="200"/>
        <w:rPr>
          <w:rFonts w:ascii="Times New Roman" w:hAnsi="Times New Roman" w:cs="Times New Roman"/>
          <w:szCs w:val="32"/>
        </w:rPr>
      </w:pPr>
      <w:r>
        <w:rPr>
          <w:rFonts w:hint="eastAsia" w:ascii="Times New Roman" w:hAnsi="Times New Roman" w:cs="Times New Roman"/>
          <w:szCs w:val="32"/>
        </w:rPr>
        <w:t>场域范围内居民用燃气主要以液化石油气为主要燃料，气源采用桦川县液化石油气站。规划场部新建一座天然气供气站，气源采用液化天然气。</w:t>
      </w:r>
    </w:p>
    <w:p w14:paraId="50C25D40">
      <w:pPr>
        <w:spacing w:line="360" w:lineRule="auto"/>
        <w:ind w:firstLine="640" w:firstLineChars="200"/>
        <w:rPr>
          <w:rFonts w:ascii="Times New Roman" w:hAnsi="Times New Roman" w:cs="Times New Roman"/>
          <w:szCs w:val="32"/>
        </w:rPr>
      </w:pPr>
      <w:r>
        <w:rPr>
          <w:rFonts w:hint="eastAsia" w:ascii="Times New Roman" w:hAnsi="Times New Roman" w:cs="Times New Roman"/>
          <w:szCs w:val="32"/>
        </w:rPr>
        <w:t>推广使用秸秆燃料块并配套使用专用炉具的模式。采用直燃式秸秆半气化炉，可带暖气设备给居室供暖，热效率比较高，供暖效果好。</w:t>
      </w:r>
    </w:p>
    <w:p w14:paraId="0A617052">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优化给水设施布局</w:t>
      </w:r>
    </w:p>
    <w:p w14:paraId="16BCA23A">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1.规划用水量计算</w:t>
      </w:r>
    </w:p>
    <w:p w14:paraId="7ABB0D3E">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确定各居民点生活供水量安全标准为100L/人·d。</w:t>
      </w:r>
    </w:p>
    <w:p w14:paraId="53E48C55">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2.供水水源</w:t>
      </w:r>
    </w:p>
    <w:p w14:paraId="2C8E2FA7">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现状各居民点水源均采用地下水为水源，采用深水井供水。</w:t>
      </w:r>
    </w:p>
    <w:p w14:paraId="58DA4CBB">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3.水源保护及水质监测体系建设</w:t>
      </w:r>
    </w:p>
    <w:p w14:paraId="7647038D">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水源保护是饮水安全</w:t>
      </w:r>
      <w:r>
        <w:rPr>
          <w:rFonts w:hint="eastAsia" w:ascii="Times New Roman" w:hAnsi="Times New Roman" w:eastAsia="仿宋_GB2312"/>
          <w:bCs w:val="0"/>
          <w:sz w:val="32"/>
          <w:szCs w:val="32"/>
          <w:lang w:val="en-US" w:eastAsia="zh-CN"/>
        </w:rPr>
        <w:t>的</w:t>
      </w:r>
      <w:r>
        <w:rPr>
          <w:rFonts w:hint="eastAsia" w:ascii="Times New Roman" w:hAnsi="Times New Roman" w:eastAsia="仿宋_GB2312"/>
          <w:bCs w:val="0"/>
          <w:sz w:val="32"/>
          <w:szCs w:val="32"/>
        </w:rPr>
        <w:t>重要保障，因此应加大力度对饮用水水源进行保护，依据《饮用水保护区划分技术细则》建立水源保护区及准保护区，由地下水供水的水源保护区应在水源井周围10m的范围内不得设置生活居住区和禽畜养殖场，渗水的厕所、渗坑，不得堆放垃圾、粪便、废渣或铺设污水管道，应保持良好的卫生状况及绿化。净水站供水和用水点的水质监测，对取水、制水、供水实施全过程管理，及时掌握城乡饮用水水源环境、供水水质状况，并定期检查。</w:t>
      </w:r>
    </w:p>
    <w:p w14:paraId="55F47E38">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优化排水设施布局</w:t>
      </w:r>
    </w:p>
    <w:p w14:paraId="388F0ABC">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1、规划排水体制</w:t>
      </w:r>
    </w:p>
    <w:p w14:paraId="7784BA67">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实施雨污分流、粪便污水资源化利用。</w:t>
      </w:r>
    </w:p>
    <w:p w14:paraId="65C308D8">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2、污水处理规划</w:t>
      </w:r>
    </w:p>
    <w:p w14:paraId="7FA5415E">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居民点住宅分散，全部进行集中处理，将面临污水收集管网投资的巨大压力。为此，要积极探索，因地制宜，对分散农户引进技术实行就地处理。目前的处理方法主要有人工生态湿地、沼气、无动力厌氧、改良“三格式”化粪池、氧化塘以及地埋式一体化设施等。</w:t>
      </w:r>
    </w:p>
    <w:p w14:paraId="2EBCB6AB">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有条件的居民点要尽快建设地下排污管网，利用明沟和暗沟排放污水的居民点，污水要有组织排放，设立固定、不渗漏、不外溢的污水氧化塘。</w:t>
      </w:r>
    </w:p>
    <w:p w14:paraId="4DD1EF08">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在工程技术措施上，要综合采取减少污染源措施（如清洁生产、节约用水）、提高农田及水环境自净能力措施以及人工污水处理措施，仅仅采取人工处理措施是十分有限的，而且在经济上难以承受。要充分利用农村地域的自然净化能力，即充分利用农村周边的河流、渠系、池塘、农田和荒地等，开展土地污水处理、污水灌溉，建设人工湿地、氧化塘或氧化沟，构建水循环系统和水生植物与荒地结合的生态净化系统等措施。同时可以采用氧化塘等污水处理措施，与畜禽养殖和水产、渔业等相结合，可以保证常年运行，既降低污水处理成本，又产生经济效益。</w:t>
      </w:r>
    </w:p>
    <w:p w14:paraId="76BFD237">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优化通信工程布局</w:t>
      </w:r>
    </w:p>
    <w:p w14:paraId="28FA8E34">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加强信息基础设施建设，加快下一代移动通信网络、互联网、高速宽带传输网络等信息基础设施建设，促进电信网、广播电视网、互联网三网融合，推进互联网与物联网应用，推动城镇智能化建设，加快</w:t>
      </w:r>
      <w:r>
        <w:rPr>
          <w:rFonts w:ascii="Times New Roman" w:hAnsi="Times New Roman" w:eastAsia="仿宋_GB2312"/>
          <w:bCs w:val="0"/>
          <w:sz w:val="32"/>
          <w:szCs w:val="32"/>
        </w:rPr>
        <w:t xml:space="preserve">5G </w:t>
      </w:r>
      <w:r>
        <w:rPr>
          <w:rFonts w:hint="eastAsia" w:ascii="Times New Roman" w:hAnsi="Times New Roman" w:eastAsia="仿宋_GB2312"/>
          <w:bCs w:val="0"/>
          <w:sz w:val="32"/>
          <w:szCs w:val="32"/>
        </w:rPr>
        <w:t>网络建设，扩大千兆及以上光纤覆盖范围。构建现代化邮政体系。提升邮政收寄、处理、运输和投递环节服务能力，构建“骨干</w:t>
      </w:r>
      <w:r>
        <w:rPr>
          <w:rFonts w:ascii="Times New Roman" w:hAnsi="Times New Roman" w:eastAsia="仿宋_GB2312"/>
          <w:bCs w:val="0"/>
          <w:sz w:val="32"/>
          <w:szCs w:val="32"/>
        </w:rPr>
        <w:t>-</w:t>
      </w:r>
      <w:r>
        <w:rPr>
          <w:rFonts w:hint="eastAsia" w:ascii="Times New Roman" w:hAnsi="Times New Roman" w:eastAsia="仿宋_GB2312"/>
          <w:bCs w:val="0"/>
          <w:sz w:val="32"/>
          <w:szCs w:val="32"/>
        </w:rPr>
        <w:t>枢纽</w:t>
      </w:r>
      <w:r>
        <w:rPr>
          <w:rFonts w:ascii="Times New Roman" w:hAnsi="Times New Roman" w:eastAsia="仿宋_GB2312"/>
          <w:bCs w:val="0"/>
          <w:sz w:val="32"/>
          <w:szCs w:val="32"/>
        </w:rPr>
        <w:t>-</w:t>
      </w:r>
      <w:r>
        <w:rPr>
          <w:rFonts w:hint="eastAsia" w:ascii="Times New Roman" w:hAnsi="Times New Roman" w:eastAsia="仿宋_GB2312"/>
          <w:bCs w:val="0"/>
          <w:sz w:val="32"/>
          <w:szCs w:val="32"/>
        </w:rPr>
        <w:t>末端”综合立体、通达高效、智能安全的邮政寄递网络。完善农村邮站及邮路建设，推动城乡区域协同发展。</w:t>
      </w:r>
    </w:p>
    <w:p w14:paraId="45506E0B">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优化供热设施布局</w:t>
      </w:r>
    </w:p>
    <w:p w14:paraId="37342FDF">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rPr>
        <w:t>场域采用场区集中供热与居民点分散供热模式。</w:t>
      </w:r>
      <w:r>
        <w:rPr>
          <w:rFonts w:hint="eastAsia" w:ascii="Times New Roman" w:hAnsi="Times New Roman" w:eastAsia="仿宋_GB2312"/>
          <w:bCs w:val="0"/>
          <w:sz w:val="32"/>
          <w:szCs w:val="32"/>
          <w:lang w:eastAsia="zh-CN"/>
        </w:rPr>
        <w:t>农场场部</w:t>
      </w:r>
      <w:r>
        <w:rPr>
          <w:rFonts w:hint="eastAsia" w:ascii="Times New Roman" w:hAnsi="Times New Roman" w:eastAsia="仿宋_GB2312"/>
          <w:bCs w:val="0"/>
          <w:sz w:val="32"/>
          <w:szCs w:val="32"/>
        </w:rPr>
        <w:t>采用集中供热，利用电力、空气能及其</w:t>
      </w:r>
      <w:r>
        <w:rPr>
          <w:rFonts w:hint="eastAsia" w:ascii="Times New Roman" w:hAnsi="Times New Roman" w:eastAsia="仿宋_GB2312"/>
          <w:bCs w:val="0"/>
          <w:sz w:val="32"/>
          <w:szCs w:val="32"/>
          <w:lang w:val="en-US" w:eastAsia="zh-CN"/>
        </w:rPr>
        <w:t>他</w:t>
      </w:r>
      <w:r>
        <w:rPr>
          <w:rFonts w:hint="eastAsia" w:ascii="Times New Roman" w:hAnsi="Times New Roman" w:eastAsia="仿宋_GB2312"/>
          <w:bCs w:val="0"/>
          <w:sz w:val="32"/>
          <w:szCs w:val="32"/>
        </w:rPr>
        <w:t>能源供热为补充的供热模式，规划场区保留现状热源。</w:t>
      </w:r>
    </w:p>
    <w:p w14:paraId="378574B8">
      <w:pPr>
        <w:pStyle w:val="18"/>
        <w:spacing w:line="600" w:lineRule="atLeast"/>
        <w:ind w:firstLine="640" w:firstLineChars="200"/>
        <w:jc w:val="left"/>
        <w:rPr>
          <w:rFonts w:ascii="Times New Roman" w:hAnsi="Times New Roman" w:eastAsia="仿宋_GB2312"/>
          <w:bCs w:val="0"/>
          <w:sz w:val="32"/>
          <w:szCs w:val="32"/>
        </w:rPr>
      </w:pPr>
      <w:r>
        <w:rPr>
          <w:rFonts w:hint="eastAsia" w:ascii="Times New Roman" w:hAnsi="Times New Roman" w:eastAsia="仿宋_GB2312"/>
          <w:bCs w:val="0"/>
          <w:sz w:val="32"/>
          <w:szCs w:val="32"/>
          <w:lang w:eastAsia="zh-CN"/>
        </w:rPr>
        <w:t>作业站</w:t>
      </w:r>
      <w:r>
        <w:rPr>
          <w:rFonts w:hint="eastAsia" w:ascii="Times New Roman" w:hAnsi="Times New Roman" w:eastAsia="仿宋_GB2312"/>
          <w:bCs w:val="0"/>
          <w:sz w:val="32"/>
          <w:szCs w:val="32"/>
        </w:rPr>
        <w:t>供热建议采用以下两种模式：</w:t>
      </w:r>
      <w:r>
        <w:rPr>
          <w:rFonts w:ascii="Times New Roman" w:hAnsi="Times New Roman" w:eastAsia="仿宋_GB2312"/>
          <w:bCs w:val="0"/>
          <w:sz w:val="32"/>
          <w:szCs w:val="32"/>
        </w:rPr>
        <w:t>一是独立供热模式。可采用直燃式秸秆半气化多功能水暖炉采暖、墙体保温与地盘管独立供热模式。二是集中供热模式。有条件的地方，可采用建设锅炉房，使用秸秆压块专用供暖锅炉集中供热模式。</w:t>
      </w:r>
    </w:p>
    <w:p w14:paraId="0E991683">
      <w:pPr>
        <w:pStyle w:val="4"/>
        <w:numPr>
          <w:ilvl w:val="0"/>
          <w:numId w:val="1"/>
        </w:numPr>
        <w:tabs>
          <w:tab w:val="left" w:pos="598"/>
        </w:tabs>
        <w:spacing w:before="156" w:beforeLines="50" w:after="156" w:afterLines="50"/>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优化环卫设施布局</w:t>
      </w:r>
    </w:p>
    <w:p w14:paraId="328417A2">
      <w:pPr>
        <w:pStyle w:val="18"/>
        <w:spacing w:line="600" w:lineRule="atLeast"/>
        <w:ind w:firstLine="640" w:firstLineChars="200"/>
        <w:jc w:val="left"/>
        <w:rPr>
          <w:rFonts w:hint="eastAsia" w:ascii="Times New Roman" w:hAnsi="Times New Roman" w:eastAsia="仿宋_GB2312"/>
          <w:bCs w:val="0"/>
          <w:sz w:val="32"/>
          <w:szCs w:val="32"/>
        </w:rPr>
      </w:pPr>
      <w:r>
        <w:rPr>
          <w:rFonts w:ascii="Times New Roman" w:hAnsi="Times New Roman" w:eastAsia="仿宋_GB2312"/>
          <w:bCs w:val="0"/>
          <w:sz w:val="32"/>
          <w:szCs w:val="32"/>
        </w:rPr>
        <w:t>逐步推行生活垃圾分类制度，完善以</w:t>
      </w:r>
      <w:r>
        <w:rPr>
          <w:rFonts w:hint="eastAsia" w:ascii="Times New Roman" w:hAnsi="Times New Roman" w:eastAsia="仿宋_GB2312"/>
          <w:bCs w:val="0"/>
          <w:sz w:val="32"/>
          <w:szCs w:val="32"/>
        </w:rPr>
        <w:t>“居民点</w:t>
      </w:r>
      <w:r>
        <w:rPr>
          <w:rFonts w:ascii="Times New Roman" w:hAnsi="Times New Roman" w:eastAsia="仿宋_GB2312"/>
          <w:bCs w:val="0"/>
          <w:sz w:val="32"/>
          <w:szCs w:val="32"/>
        </w:rPr>
        <w:t>收集-</w:t>
      </w:r>
      <w:r>
        <w:rPr>
          <w:rFonts w:hint="eastAsia" w:ascii="Times New Roman" w:hAnsi="Times New Roman" w:eastAsia="仿宋_GB2312"/>
          <w:bCs w:val="0"/>
          <w:sz w:val="32"/>
          <w:szCs w:val="32"/>
        </w:rPr>
        <w:t>农场</w:t>
      </w:r>
      <w:r>
        <w:rPr>
          <w:rFonts w:ascii="Times New Roman" w:hAnsi="Times New Roman" w:eastAsia="仿宋_GB2312"/>
          <w:bCs w:val="0"/>
          <w:sz w:val="32"/>
          <w:szCs w:val="32"/>
        </w:rPr>
        <w:t>转运-县集中处理</w:t>
      </w:r>
      <w:r>
        <w:rPr>
          <w:rFonts w:hint="eastAsia" w:ascii="Times New Roman" w:hAnsi="Times New Roman" w:eastAsia="仿宋_GB2312"/>
          <w:bCs w:val="0"/>
          <w:sz w:val="32"/>
          <w:szCs w:val="32"/>
        </w:rPr>
        <w:t>”</w:t>
      </w:r>
      <w:r>
        <w:rPr>
          <w:rFonts w:ascii="Times New Roman" w:hAnsi="Times New Roman" w:eastAsia="仿宋_GB2312"/>
          <w:bCs w:val="0"/>
          <w:sz w:val="32"/>
          <w:szCs w:val="32"/>
        </w:rPr>
        <w:t>的生活垃圾收运及处理体系。</w:t>
      </w:r>
      <w:r>
        <w:rPr>
          <w:rFonts w:hint="eastAsia" w:ascii="Times New Roman" w:hAnsi="Times New Roman" w:eastAsia="仿宋_GB2312"/>
          <w:bCs w:val="0"/>
          <w:sz w:val="32"/>
          <w:szCs w:val="32"/>
        </w:rPr>
        <w:t>各居民点建成垃圾分类收集转运一体化站，由农场转运至桦川县垃圾填埋场统一填埋。待桦川县</w:t>
      </w:r>
      <w:r>
        <w:rPr>
          <w:rFonts w:ascii="Times New Roman" w:hAnsi="Times New Roman" w:eastAsia="仿宋_GB2312"/>
          <w:bCs w:val="0"/>
          <w:sz w:val="32"/>
          <w:szCs w:val="32"/>
        </w:rPr>
        <w:t>生活垃圾焚烧处理厂</w:t>
      </w:r>
      <w:r>
        <w:rPr>
          <w:rFonts w:hint="eastAsia" w:ascii="Times New Roman" w:hAnsi="Times New Roman" w:eastAsia="仿宋_GB2312"/>
          <w:bCs w:val="0"/>
          <w:sz w:val="32"/>
          <w:szCs w:val="32"/>
        </w:rPr>
        <w:t>建成后，统一转运至桦川县</w:t>
      </w:r>
      <w:r>
        <w:rPr>
          <w:rFonts w:ascii="Times New Roman" w:hAnsi="Times New Roman" w:eastAsia="仿宋_GB2312"/>
          <w:bCs w:val="0"/>
          <w:sz w:val="32"/>
          <w:szCs w:val="32"/>
        </w:rPr>
        <w:t>生活垃圾焚烧处理厂</w:t>
      </w:r>
      <w:r>
        <w:rPr>
          <w:rFonts w:hint="eastAsia" w:ascii="Times New Roman" w:hAnsi="Times New Roman" w:eastAsia="仿宋_GB2312"/>
          <w:bCs w:val="0"/>
          <w:sz w:val="32"/>
          <w:szCs w:val="32"/>
        </w:rPr>
        <w:t>统一焚烧。</w:t>
      </w:r>
    </w:p>
    <w:p w14:paraId="0B6419F7">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 xml:space="preserve">优化邻避设施 </w:t>
      </w:r>
    </w:p>
    <w:p w14:paraId="7B443255">
      <w:pPr>
        <w:pStyle w:val="18"/>
        <w:spacing w:line="600" w:lineRule="atLeast"/>
        <w:ind w:firstLine="640" w:firstLineChars="200"/>
        <w:jc w:val="both"/>
      </w:pPr>
      <w:r>
        <w:rPr>
          <w:rFonts w:hint="default" w:ascii="Times New Roman" w:hAnsi="Times New Roman" w:eastAsia="仿宋_GB2312" w:cs="Times New Roman"/>
          <w:b w:val="0"/>
          <w:bCs/>
          <w:color w:val="auto"/>
          <w:sz w:val="32"/>
          <w:szCs w:val="32"/>
          <w:highlight w:val="none"/>
          <w:u w:val="single"/>
        </w:rPr>
        <w:t>协调安排污水处理、垃圾焚烧、殡葬等邻避设施布局，消减邻避设施的负外部特性，健全邻避问题防范与化解机制。</w:t>
      </w:r>
      <w:r>
        <w:rPr>
          <w:rFonts w:hint="default" w:ascii="Times New Roman" w:hAnsi="Times New Roman" w:eastAsia="仿宋_GB2312" w:cs="Times New Roman"/>
          <w:color w:val="auto"/>
          <w:sz w:val="32"/>
          <w:szCs w:val="32"/>
          <w:highlight w:val="none"/>
        </w:rPr>
        <w:t>加强邻避设施集中化、地下化建设，以及外立面美化，减少对周边的影响。加强对邻避设施周边的小区进行有针对性的功能补偿，如增加公园、广场、商业设施等。污水处理设施应坚持一镇一策和集中式与分散式相结合的方式。垃圾焚烧发电厂的选址应避免选择在生态资源、地面水系、机场、文化遗址、风景区等敏感区域。对油气仓储企业及油气长输管线等周边区域实施严格安全防护管理，禁止在安全防护距离内布局商业、居住、公共服务等设施，严禁在干流及一级支流沿岸1公里范围内布局化工园区。殡葬基础设施建设应合理利用历史形成的墓葬点和荒山荒地及不宜耕种的瘠地，充分考虑殡葬设施服务半径和人数，避免重复建设。</w:t>
      </w:r>
    </w:p>
    <w:p w14:paraId="1185F545">
      <w:pPr>
        <w:pStyle w:val="31"/>
        <w:spacing w:before="156" w:beforeLines="50" w:after="156" w:afterLines="50" w:line="600" w:lineRule="atLeast"/>
        <w:ind w:firstLine="0" w:firstLineChars="0"/>
        <w:rPr>
          <w:rFonts w:hint="eastAsia" w:ascii="Times New Roman" w:hAnsi="Times New Roman" w:cs="Times New Roman"/>
          <w:highlight w:val="none"/>
        </w:rPr>
      </w:pPr>
      <w:bookmarkStart w:id="113" w:name="_Toc29576"/>
      <w:bookmarkStart w:id="114" w:name="_Toc298841274"/>
      <w:bookmarkStart w:id="115" w:name="_Toc5021"/>
      <w:bookmarkStart w:id="116" w:name="_Toc360266031"/>
      <w:bookmarkStart w:id="117" w:name="_Toc13679"/>
      <w:r>
        <w:rPr>
          <w:rFonts w:hint="eastAsia" w:ascii="Times New Roman" w:hAnsi="Times New Roman" w:cs="Times New Roman"/>
          <w:highlight w:val="none"/>
        </w:rPr>
        <w:t>第</w:t>
      </w:r>
      <w:r>
        <w:rPr>
          <w:rFonts w:hint="eastAsia" w:cs="Times New Roman"/>
          <w:highlight w:val="none"/>
          <w:lang w:val="en-US" w:eastAsia="zh-CN"/>
        </w:rPr>
        <w:t>五</w:t>
      </w:r>
      <w:r>
        <w:rPr>
          <w:rFonts w:hint="eastAsia" w:ascii="Times New Roman" w:hAnsi="Times New Roman" w:cs="Times New Roman"/>
          <w:highlight w:val="none"/>
        </w:rPr>
        <w:t>节 健全综合防灾体系</w:t>
      </w:r>
      <w:bookmarkEnd w:id="113"/>
    </w:p>
    <w:bookmarkEnd w:id="114"/>
    <w:bookmarkEnd w:id="115"/>
    <w:bookmarkEnd w:id="116"/>
    <w:bookmarkEnd w:id="117"/>
    <w:p w14:paraId="1C427C8C">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bookmarkStart w:id="118" w:name="_Toc360266030"/>
      <w:bookmarkStart w:id="119" w:name="_Toc298841273"/>
      <w:bookmarkStart w:id="120" w:name="_Toc694"/>
      <w:r>
        <w:rPr>
          <w:rFonts w:hint="eastAsia" w:ascii="Times New Roman" w:hAnsi="Times New Roman" w:eastAsia="楷体_GB2312" w:cs="Times New Roman"/>
          <w:b/>
          <w:bCs w:val="0"/>
          <w:highlight w:val="none"/>
          <w:lang w:val="en-US" w:eastAsia="zh-CN"/>
        </w:rPr>
        <w:t>综合防灾总体目标</w:t>
      </w:r>
      <w:bookmarkEnd w:id="118"/>
      <w:bookmarkEnd w:id="119"/>
    </w:p>
    <w:p w14:paraId="57F9FF39">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建设具有健全的防灾法规体系和防灾规划体系，具有完善的工程设施抗灾设防和应急救灾体系；重大工程及生命线基础设施抗灾能力全面符合国家相关规范要求，达到防御大灾的要求，具有完善的灾害预警和应急机制；具有充分有效的避难疏散设施；保障信息收集、处理、发布和反应渠道畅通；市民具有良好的防灾减灾和公共安全意识。</w:t>
      </w:r>
    </w:p>
    <w:p w14:paraId="4F55DF46">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综合防灾与公共安全保障</w:t>
      </w:r>
    </w:p>
    <w:p w14:paraId="7D1C3E1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1．综合防灾空间结构</w:t>
      </w:r>
    </w:p>
    <w:p w14:paraId="11550E15">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构建以救援主通道、疏散主通道、疏散次通道和一般疏散通道为主体的分级疏散救援通道体系。建立布局合理的避难场所体系，利用现有和规划建设的公园广场、绿地、学校等旷地以及地下空间，加强室内、综合性及农村地区应急避难场所建设。利用全国自然灾害综合风险普查结果，合理避让自然灾害高风险区域。</w:t>
      </w:r>
    </w:p>
    <w:p w14:paraId="421260B0">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至2035年，室内外</w:t>
      </w:r>
      <w:r>
        <w:rPr>
          <w:rFonts w:hint="eastAsia" w:ascii="Times New Roman" w:hAnsi="Times New Roman" w:cs="Times New Roman"/>
          <w:szCs w:val="32"/>
          <w:lang w:eastAsia="zh-CN"/>
        </w:rPr>
        <w:t>应急避难场所</w:t>
      </w:r>
      <w:r>
        <w:rPr>
          <w:rFonts w:hint="eastAsia" w:ascii="Times New Roman" w:hAnsi="Times New Roman" w:cs="Times New Roman"/>
          <w:szCs w:val="32"/>
        </w:rPr>
        <w:t>的服务覆盖率达到100％。</w:t>
      </w:r>
      <w:r>
        <w:rPr>
          <w:rFonts w:hint="eastAsia" w:ascii="Times New Roman" w:hAnsi="Times New Roman" w:cs="Times New Roman"/>
          <w:szCs w:val="32"/>
          <w:lang w:eastAsia="zh-CN"/>
        </w:rPr>
        <w:t>应急避难场所</w:t>
      </w:r>
      <w:r>
        <w:rPr>
          <w:rFonts w:hint="eastAsia" w:ascii="Times New Roman" w:hAnsi="Times New Roman" w:cs="Times New Roman"/>
          <w:szCs w:val="32"/>
        </w:rPr>
        <w:t>人均避护面积达到1.5平方米（含）以上。</w:t>
      </w:r>
    </w:p>
    <w:p w14:paraId="5E4A9697">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2．地质灾害预防</w:t>
      </w:r>
    </w:p>
    <w:p w14:paraId="657F2538">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地质灾害的防治要贯彻以防为主、防治结合的原则，场部建设应避开各类地质灾害分布区，规划中的道路、基础设施等工程，应在前期进行勘察，充分进行可行性论证，制定严密措施，采取防治对策。</w:t>
      </w:r>
    </w:p>
    <w:p w14:paraId="1528440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广泛开展科普宣传，普及地质灾害防治知识。对地震灾害等地质灾害，开展专业性和群众性的监测预报工作。</w:t>
      </w:r>
    </w:p>
    <w:p w14:paraId="710B7772">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3．公共场所安全</w:t>
      </w:r>
    </w:p>
    <w:p w14:paraId="52DF6215">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制定疏散方案，提出疏散行动组织要求，强化日常疏散训练。加强安全疏散技术要求、建筑防火安全规定、公共活动场所的防火设计的监督和管理。</w:t>
      </w:r>
    </w:p>
    <w:p w14:paraId="5577456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4．重点防范公共事件</w:t>
      </w:r>
    </w:p>
    <w:p w14:paraId="6AC9456A">
      <w:pPr>
        <w:spacing w:line="600" w:lineRule="atLeast"/>
        <w:ind w:firstLine="640" w:firstLineChars="200"/>
        <w:rPr>
          <w:rFonts w:hint="eastAsia"/>
        </w:rPr>
      </w:pPr>
      <w:r>
        <w:rPr>
          <w:rFonts w:hint="eastAsia" w:ascii="Times New Roman" w:hAnsi="Times New Roman" w:cs="Times New Roman"/>
          <w:szCs w:val="32"/>
        </w:rPr>
        <w:t>需要重点防范的公共事件有洪涝灾害、突发性地质灾害、地震、暴雨雷电、火灾事故、道路桥梁突发事故、突发重大交通事故（铁路、公路、水运、航空）、供水突发公共事件、排水突发公共事件、重大电力突发事故、燃气事故、供热事故、通信线路和通信设施事故、化学危险品事故、传染病疫情、动植物疫病、恐怖袭击、群体性事件等。</w:t>
      </w:r>
    </w:p>
    <w:p w14:paraId="4954F54E">
      <w:pPr>
        <w:spacing w:line="600" w:lineRule="atLeast"/>
        <w:ind w:firstLine="640"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5.气象灾害防御</w:t>
      </w:r>
    </w:p>
    <w:p w14:paraId="3805346F">
      <w:pPr>
        <w:spacing w:line="600" w:lineRule="atLeast"/>
        <w:ind w:firstLine="640" w:firstLineChars="200"/>
        <w:rPr>
          <w:rFonts w:hint="eastAsia" w:ascii="Times New Roman" w:hAnsi="Times New Roman" w:cs="Times New Roman"/>
          <w:szCs w:val="32"/>
          <w:lang w:val="en-US" w:eastAsia="zh-CN"/>
        </w:rPr>
      </w:pPr>
      <w:r>
        <w:rPr>
          <w:rFonts w:hint="eastAsia" w:ascii="Times New Roman" w:hAnsi="Times New Roman" w:cs="Times New Roman"/>
          <w:szCs w:val="32"/>
          <w:lang w:val="en-US" w:eastAsia="zh-CN"/>
        </w:rPr>
        <w:t>建立和完善气候变化的评估和预警系统，提高气象灾害的预报预测水平，最大限度减轻气象灾害造成的经济损失和社会不利影响。为确保佳木斯市气象观测站点（天气雷达站、气象观测站）数据代表性、准确性、比较性，规划乡镇建设1套区域气象观测站，按照《气象探测环境保护规范地面气象观测站GB31221—2014》“3.2区域气象观测站”要求执行。</w:t>
      </w:r>
    </w:p>
    <w:p w14:paraId="005A5DC3">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bookmarkStart w:id="121" w:name="_Toc360266032"/>
      <w:r>
        <w:rPr>
          <w:rFonts w:hint="eastAsia" w:ascii="Times New Roman" w:hAnsi="Times New Roman" w:eastAsia="楷体_GB2312" w:cs="Times New Roman"/>
          <w:b/>
          <w:bCs w:val="0"/>
          <w:highlight w:val="none"/>
          <w:lang w:val="en-US" w:eastAsia="zh-CN"/>
        </w:rPr>
        <w:t>防震减灾</w:t>
      </w:r>
      <w:bookmarkEnd w:id="121"/>
    </w:p>
    <w:p w14:paraId="25A9DE6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1．抗震设防标准</w:t>
      </w:r>
    </w:p>
    <w:p w14:paraId="7E124B3E">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根据《中国地震动参数区划图》（GB18306-2001），</w:t>
      </w:r>
      <w:r>
        <w:rPr>
          <w:rFonts w:hint="eastAsia" w:ascii="Times New Roman" w:hAnsi="Times New Roman" w:cs="宋体"/>
          <w:bCs/>
          <w:sz w:val="28"/>
          <w:szCs w:val="28"/>
        </w:rPr>
        <w:t>桦川县</w:t>
      </w:r>
      <w:r>
        <w:rPr>
          <w:rFonts w:hint="eastAsia" w:ascii="Times New Roman" w:hAnsi="Times New Roman" w:cs="Times New Roman"/>
          <w:szCs w:val="32"/>
        </w:rPr>
        <w:t>地震动峰值加速度&lt;0.05g，地震基本烈度值&lt;Ⅵ，规划将江川农场列为地震6度。</w:t>
      </w:r>
    </w:p>
    <w:p w14:paraId="34A5283A">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2．抗震规划目标</w:t>
      </w:r>
    </w:p>
    <w:p w14:paraId="5F64602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逐步提高综合抗震能力，最大限度减轻地震对场部、作业点所造成的灾害，保障当遭遇相当基本烈度的地震时生命线工程和公共建筑能够具有一定的抗御能力，</w:t>
      </w:r>
      <w:r>
        <w:rPr>
          <w:rFonts w:hint="eastAsia" w:ascii="Times New Roman" w:hAnsi="Times New Roman" w:cs="Times New Roman"/>
          <w:szCs w:val="32"/>
          <w:lang w:val="en-US" w:eastAsia="zh-CN"/>
        </w:rPr>
        <w:t>农场</w:t>
      </w:r>
      <w:r>
        <w:rPr>
          <w:rFonts w:hint="eastAsia" w:ascii="Times New Roman" w:hAnsi="Times New Roman" w:cs="Times New Roman"/>
          <w:szCs w:val="32"/>
        </w:rPr>
        <w:t>、</w:t>
      </w:r>
      <w:r>
        <w:rPr>
          <w:rFonts w:hint="eastAsia" w:ascii="Times New Roman" w:hAnsi="Times New Roman" w:cs="Times New Roman"/>
          <w:szCs w:val="32"/>
          <w:lang w:val="en-US" w:eastAsia="zh-CN"/>
        </w:rPr>
        <w:t>管理区作业站</w:t>
      </w:r>
      <w:r>
        <w:rPr>
          <w:rFonts w:hint="eastAsia" w:ascii="Times New Roman" w:hAnsi="Times New Roman" w:cs="Times New Roman"/>
          <w:szCs w:val="32"/>
        </w:rPr>
        <w:t>不发生较大的破坏，人民生命财产的安全和经济建设的顺利进行。一旦发生破坏性地震，能在10分钟内作出地震发生时刻、地震地点、地震震级速报，各级政府和有关行业管理部门1小时内启动应急方案，灾民1—2日内妥善安置，3日内恢复正常生产、生活秩序。</w:t>
      </w:r>
    </w:p>
    <w:p w14:paraId="530CDA55">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3．</w:t>
      </w:r>
      <w:bookmarkStart w:id="122" w:name="_Toc331536202"/>
      <w:bookmarkStart w:id="123" w:name="_Toc406394927"/>
      <w:r>
        <w:rPr>
          <w:rFonts w:hint="eastAsia" w:ascii="Times New Roman" w:hAnsi="Times New Roman" w:cs="Times New Roman"/>
          <w:szCs w:val="32"/>
        </w:rPr>
        <w:t>抗震工程</w:t>
      </w:r>
      <w:bookmarkEnd w:id="122"/>
      <w:bookmarkEnd w:id="123"/>
      <w:r>
        <w:rPr>
          <w:rFonts w:hint="eastAsia" w:ascii="Times New Roman" w:hAnsi="Times New Roman" w:cs="Times New Roman"/>
          <w:szCs w:val="32"/>
        </w:rPr>
        <w:t>建设</w:t>
      </w:r>
    </w:p>
    <w:p w14:paraId="4E344CFE">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规划布局时应考虑抗震因素，场部建设应避开塌陷、断裂带等地区及软土和液化土层地带。场部建设用地应选择利用抗震性能比较好的场地，尽量避免在坑塘、湿地等不利地段建设，如必须建设时应采取抗震处理措施。重大工程通过地震安全性评价确定其设防标准；新建工程应按抗震设防要求设计施工；重点开发建设的工程及重要工程必须进行抗震审查、方案论证及工程验收，必须达到地震安全性评价要求。</w:t>
      </w:r>
    </w:p>
    <w:p w14:paraId="4C55C99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4．疏散场地</w:t>
      </w:r>
    </w:p>
    <w:p w14:paraId="14EAF50A">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规划场部中的公园、绿地、广场、中小学的操场等空旷场地为避震疏散场地，规划人均避震疏散面积为1.0平方米/人以上。在场部公共绿地、公园等用地规划布局时，应考虑避震疏散功能。各作业居民点及居委（村）室内外</w:t>
      </w:r>
      <w:r>
        <w:rPr>
          <w:rFonts w:hint="eastAsia" w:ascii="Times New Roman" w:hAnsi="Times New Roman" w:cs="Times New Roman"/>
          <w:szCs w:val="32"/>
          <w:lang w:eastAsia="zh-CN"/>
        </w:rPr>
        <w:t>应急避难场所</w:t>
      </w:r>
      <w:r>
        <w:rPr>
          <w:rFonts w:hint="eastAsia" w:ascii="Times New Roman" w:hAnsi="Times New Roman" w:cs="Times New Roman"/>
          <w:szCs w:val="32"/>
        </w:rPr>
        <w:t>的服务覆盖率达到100％。 </w:t>
      </w:r>
    </w:p>
    <w:p w14:paraId="4333F18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5.疏散通道规划</w:t>
      </w:r>
    </w:p>
    <w:p w14:paraId="7EEB6EB7">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规划高速公路、铁路、主要道路作为人员疏散和物资运输的主要救援通道，将疏散救援道路分为疏散救援主干道、疏散救援次干道和疏散通道三级，通向城区内疏散场地和郊外旷地，并通向长途交通设施。</w:t>
      </w:r>
    </w:p>
    <w:p w14:paraId="5A3902E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6.生命线工程规划</w:t>
      </w:r>
    </w:p>
    <w:p w14:paraId="5B77B43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对道路交通、通讯、供水供电、供煤气、热力、医疗卫生、粮食、消防、公安、广播电视、县政府、对外交通等生命线工程要制定抗震应急措施，在灾害发生时保障各生命线系统正常。</w:t>
      </w:r>
    </w:p>
    <w:p w14:paraId="2F581D97">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bookmarkStart w:id="124" w:name="_Toc360266033"/>
      <w:r>
        <w:rPr>
          <w:rFonts w:hint="eastAsia" w:ascii="Times New Roman" w:hAnsi="Times New Roman" w:eastAsia="楷体_GB2312" w:cs="Times New Roman"/>
          <w:b/>
          <w:bCs w:val="0"/>
          <w:highlight w:val="none"/>
          <w:lang w:val="en-US" w:eastAsia="zh-CN"/>
        </w:rPr>
        <w:t>消防</w:t>
      </w:r>
      <w:bookmarkEnd w:id="124"/>
    </w:p>
    <w:p w14:paraId="685956C4">
      <w:pPr>
        <w:spacing w:line="600" w:lineRule="atLeast"/>
        <w:ind w:firstLine="640" w:firstLineChars="200"/>
        <w:rPr>
          <w:rFonts w:ascii="Times New Roman" w:hAnsi="Times New Roman" w:cs="Times New Roman"/>
          <w:szCs w:val="32"/>
        </w:rPr>
      </w:pPr>
      <w:bookmarkStart w:id="125" w:name="_Toc360266034"/>
      <w:r>
        <w:rPr>
          <w:rFonts w:hint="eastAsia" w:ascii="Times New Roman" w:hAnsi="Times New Roman" w:cs="Times New Roman"/>
          <w:szCs w:val="32"/>
        </w:rPr>
        <w:t>1.消防安全布局</w:t>
      </w:r>
    </w:p>
    <w:p w14:paraId="7E5C3E5E">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生产、储存和装卸易燃易爆危险品的工厂、仓库和专用车站、码头，必须设置在场部的边缘或相对独立的安全地带。易燃易爆气体和液体的充装站、供应站、调压站，应当设置在合理的位置，符合防火防爆要求。将易燃棚户区纳入旧区改造规划，积极改善防火条件，拆除阻塞道路的院墙，保证消防道路畅通。</w:t>
      </w:r>
    </w:p>
    <w:p w14:paraId="0FFFC6B8">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2.消防站布局</w:t>
      </w:r>
    </w:p>
    <w:p w14:paraId="48D20FB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根据《</w:t>
      </w:r>
      <w:bookmarkStart w:id="126" w:name="bookmark4"/>
      <w:bookmarkStart w:id="127" w:name="bookmark5"/>
      <w:bookmarkStart w:id="128" w:name="bookmark3"/>
      <w:r>
        <w:rPr>
          <w:rFonts w:hint="eastAsia" w:ascii="Times New Roman" w:hAnsi="Times New Roman" w:cs="Times New Roman"/>
          <w:szCs w:val="32"/>
        </w:rPr>
        <w:t>乡镇消防队</w:t>
      </w:r>
      <w:bookmarkEnd w:id="126"/>
      <w:bookmarkEnd w:id="127"/>
      <w:bookmarkEnd w:id="128"/>
      <w:r>
        <w:rPr>
          <w:rFonts w:hint="eastAsia" w:ascii="Times New Roman" w:hAnsi="Times New Roman" w:cs="Times New Roman"/>
          <w:szCs w:val="32"/>
        </w:rPr>
        <w:t>（GB/T35547-2017）》，地方人民政府需建立</w:t>
      </w:r>
      <w:r>
        <w:rPr>
          <w:rFonts w:hint="eastAsia" w:ascii="Times New Roman" w:hAnsi="Times New Roman" w:cs="Times New Roman"/>
          <w:szCs w:val="32"/>
          <w:lang w:val="en-US" w:eastAsia="zh-CN"/>
        </w:rPr>
        <w:t>农场</w:t>
      </w:r>
      <w:r>
        <w:rPr>
          <w:rFonts w:hint="eastAsia" w:ascii="Times New Roman" w:hAnsi="Times New Roman" w:cs="Times New Roman"/>
          <w:szCs w:val="32"/>
        </w:rPr>
        <w:t>消防队，在</w:t>
      </w:r>
      <w:r>
        <w:rPr>
          <w:rFonts w:hint="eastAsia" w:ascii="Times New Roman" w:hAnsi="Times New Roman" w:cs="Times New Roman"/>
          <w:szCs w:val="32"/>
          <w:lang w:val="en-US" w:eastAsia="zh-CN"/>
        </w:rPr>
        <w:t>农场</w:t>
      </w:r>
      <w:r>
        <w:rPr>
          <w:rFonts w:hint="eastAsia" w:ascii="Times New Roman" w:hAnsi="Times New Roman" w:cs="Times New Roman"/>
          <w:szCs w:val="32"/>
        </w:rPr>
        <w:t>、农村承担火灾扑救、应急救援和其他消防安全工作。根据江川</w:t>
      </w:r>
      <w:r>
        <w:rPr>
          <w:rFonts w:hint="eastAsia" w:ascii="Times New Roman" w:hAnsi="Times New Roman" w:cs="Times New Roman"/>
          <w:szCs w:val="32"/>
          <w:lang w:eastAsia="zh-CN"/>
        </w:rPr>
        <w:t>农场场部</w:t>
      </w:r>
      <w:r>
        <w:rPr>
          <w:rFonts w:hint="eastAsia" w:ascii="Times New Roman" w:hAnsi="Times New Roman" w:cs="Times New Roman"/>
          <w:szCs w:val="32"/>
        </w:rPr>
        <w:t>人口及建成区面积，应建立</w:t>
      </w:r>
      <w:r>
        <w:rPr>
          <w:rFonts w:hint="eastAsia" w:ascii="Times New Roman" w:hAnsi="Times New Roman" w:cs="Times New Roman"/>
          <w:szCs w:val="32"/>
          <w:lang w:val="en-US" w:eastAsia="zh-CN"/>
        </w:rPr>
        <w:t>农场</w:t>
      </w:r>
      <w:r>
        <w:rPr>
          <w:rFonts w:hint="eastAsia" w:ascii="Times New Roman" w:hAnsi="Times New Roman" w:cs="Times New Roman"/>
          <w:szCs w:val="32"/>
        </w:rPr>
        <w:t>志愿消防队一处。</w:t>
      </w:r>
    </w:p>
    <w:p w14:paraId="464FEAF9">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3.消防车通道规划</w:t>
      </w:r>
    </w:p>
    <w:p w14:paraId="7AD09684">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结合基础设施改造、</w:t>
      </w:r>
      <w:r>
        <w:rPr>
          <w:rFonts w:hint="eastAsia" w:ascii="Times New Roman" w:hAnsi="Times New Roman" w:cs="Times New Roman"/>
          <w:szCs w:val="32"/>
          <w:lang w:val="en-US" w:eastAsia="zh-CN"/>
        </w:rPr>
        <w:t>作业站</w:t>
      </w:r>
      <w:r>
        <w:rPr>
          <w:rFonts w:hint="eastAsia" w:ascii="Times New Roman" w:hAnsi="Times New Roman" w:cs="Times New Roman"/>
          <w:szCs w:val="32"/>
        </w:rPr>
        <w:t>整治等，打通消防车通道，提高消防车辆通行能力。对现有应急道路进行升级改造，提高其通行能力，并新建防火公路系统，提高防火应急道路路网密度。</w:t>
      </w:r>
    </w:p>
    <w:p w14:paraId="1E6294D1">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4.消防给水规划</w:t>
      </w:r>
    </w:p>
    <w:p w14:paraId="46EAE5CE">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规划消防供水主要以供水水源井为水源，采用生活—消防统一供水系统，消防采用低压制，要求供水管网实现环网供水，消防给水管道的管径应不小于DN150。</w:t>
      </w:r>
    </w:p>
    <w:p w14:paraId="16CFA4FC">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5.智慧消防建设</w:t>
      </w:r>
    </w:p>
    <w:p w14:paraId="0FFD42F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推行消防大数据管理。结合电子政务以及信息化大数据系统建设，结合监督管理、历史火灾等内部信息，共享汇聚融合相关行业数据资源。建设消防物联网监控系统。加强消防安全智能化、信息化预警监测，实现消防数据物联感知、智能感知。</w:t>
      </w:r>
    </w:p>
    <w:p w14:paraId="223A8AC0">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6.开展消防安全宣传体验教育</w:t>
      </w:r>
    </w:p>
    <w:p w14:paraId="7A12213F">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按照《应急消防科普教育基地建设标准》要求，依托各类安全宣传教育资源，深入推进消防主题公园、消防餐厅、消防文化街或广场建设，建成应急消防科普教育场馆，建立应急消防科普教育体系。</w:t>
      </w:r>
    </w:p>
    <w:p w14:paraId="54D07E71">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防洪排涝规划</w:t>
      </w:r>
      <w:bookmarkEnd w:id="125"/>
    </w:p>
    <w:p w14:paraId="5119466D">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根据国家《防洪标准》（GB50201-2014）的有关规定，江川农场按20年一遇标准设防。</w:t>
      </w:r>
    </w:p>
    <w:p w14:paraId="3F7EB427">
      <w:pPr>
        <w:pStyle w:val="9"/>
        <w:ind w:firstLine="640"/>
        <w:rPr>
          <w:rFonts w:ascii="Times New Roman" w:hAnsi="Times New Roman"/>
          <w:sz w:val="32"/>
          <w:szCs w:val="32"/>
        </w:rPr>
      </w:pPr>
      <w:r>
        <w:rPr>
          <w:rFonts w:hint="eastAsia" w:ascii="Times New Roman" w:hAnsi="Times New Roman"/>
          <w:sz w:val="32"/>
          <w:szCs w:val="32"/>
        </w:rPr>
        <w:t>江川</w:t>
      </w:r>
      <w:r>
        <w:rPr>
          <w:rFonts w:hint="eastAsia" w:ascii="Times New Roman" w:hAnsi="Times New Roman"/>
          <w:sz w:val="32"/>
          <w:szCs w:val="32"/>
          <w:lang w:eastAsia="zh-CN"/>
        </w:rPr>
        <w:t>农场场部</w:t>
      </w:r>
      <w:r>
        <w:rPr>
          <w:rFonts w:hint="eastAsia" w:ascii="Times New Roman" w:hAnsi="Times New Roman" w:eastAsia="仿宋_GB2312"/>
          <w:sz w:val="32"/>
          <w:szCs w:val="32"/>
        </w:rPr>
        <w:t>内涝防治标准：能有效应对不低于20年一遇的暴雨。</w:t>
      </w:r>
    </w:p>
    <w:p w14:paraId="7046C6E4">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防疫</w:t>
      </w:r>
    </w:p>
    <w:p w14:paraId="463BF9EA">
      <w:pPr>
        <w:spacing w:line="600" w:lineRule="atLeast"/>
        <w:ind w:firstLine="640" w:firstLineChars="200"/>
        <w:rPr>
          <w:rFonts w:hint="eastAsia" w:ascii="Times New Roman" w:hAnsi="Times New Roman" w:cs="Times New Roman"/>
          <w:szCs w:val="32"/>
        </w:rPr>
      </w:pPr>
      <w:r>
        <w:rPr>
          <w:rFonts w:hint="eastAsia" w:ascii="Times New Roman" w:hAnsi="Times New Roman" w:cs="Times New Roman"/>
          <w:szCs w:val="32"/>
        </w:rPr>
        <w:t>建立应急联合防控网络，设置传染病相关公共卫生用地和应急疫情防控用地，提出用地布局上的“战略留白”。</w:t>
      </w:r>
      <w:r>
        <w:rPr>
          <w:rFonts w:hint="eastAsia" w:ascii="Times New Roman" w:hAnsi="Times New Roman" w:cs="Times New Roman"/>
          <w:szCs w:val="32"/>
          <w:lang w:val="en-US" w:eastAsia="zh-CN"/>
        </w:rPr>
        <w:t>农场</w:t>
      </w:r>
      <w:r>
        <w:rPr>
          <w:rFonts w:hint="eastAsia" w:ascii="Times New Roman" w:hAnsi="Times New Roman" w:cs="Times New Roman"/>
          <w:szCs w:val="32"/>
        </w:rPr>
        <w:t>形成独立的疫情隔离单元，有效配备健康信息工作站、医疗救助站、物资发放站及小规模隔离区等。</w:t>
      </w:r>
    </w:p>
    <w:p w14:paraId="5877323E">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农场场部综合防灾要求</w:t>
      </w:r>
    </w:p>
    <w:p w14:paraId="72A5658B">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1、防洪排涝工程</w:t>
      </w:r>
    </w:p>
    <w:p w14:paraId="79CB68FE">
      <w:pPr>
        <w:ind w:firstLine="640" w:firstLineChars="200"/>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根据国家《防洪标准》（GB50201-2014）的有关规定，</w:t>
      </w:r>
      <w:r>
        <w:rPr>
          <w:rFonts w:hint="eastAsia" w:ascii="Times New Roman" w:hAnsi="Times New Roman" w:cs="Times New Roman"/>
          <w:color w:val="auto"/>
          <w:szCs w:val="32"/>
          <w:highlight w:val="none"/>
          <w:lang w:val="en-US" w:eastAsia="zh-CN"/>
        </w:rPr>
        <w:t>红兴隆分局（桦川境内）江川农场场部</w:t>
      </w:r>
      <w:r>
        <w:rPr>
          <w:rFonts w:hint="eastAsia" w:ascii="Times New Roman" w:hAnsi="Times New Roman" w:cs="Times New Roman"/>
          <w:color w:val="auto"/>
          <w:szCs w:val="32"/>
          <w:highlight w:val="none"/>
        </w:rPr>
        <w:t>按20年一遇标准设防。</w:t>
      </w:r>
    </w:p>
    <w:p w14:paraId="635B3453">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农场场部内涝防治标准：能有效应对不低于20年一遇的暴雨。</w:t>
      </w:r>
    </w:p>
    <w:p w14:paraId="6E1D54B7">
      <w:pPr>
        <w:ind w:firstLine="640" w:firstLineChars="200"/>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2、消防设施</w:t>
      </w:r>
    </w:p>
    <w:p w14:paraId="391E18E6">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根据农场场部人口及建成区面积，应建立乡镇志愿消防队一处。</w:t>
      </w:r>
    </w:p>
    <w:p w14:paraId="428276FE">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规划农场场部消防采用生活—消防统一供水系统，消防采用低压制，要求供水管网实现环网供水，消防给水管道的管径应不小于DN100。</w:t>
      </w:r>
    </w:p>
    <w:p w14:paraId="3DBBF5C1">
      <w:pPr>
        <w:ind w:firstLine="640" w:firstLineChars="200"/>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3、应急避难场所</w:t>
      </w:r>
    </w:p>
    <w:p w14:paraId="1A50EA05">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避难场所可划分为固定避难场所和紧急避难场所两种类型。城镇中的广场、学校、公园、绿地及体育场，是城镇中分布较多的开放空间，是城镇主要的避难场所。大型广场、学校、公园可作为固定避难场所，绿地可作为紧急避难场所。</w:t>
      </w:r>
    </w:p>
    <w:p w14:paraId="45A48ED9">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固定避难场所的建筑物应进行抗震加固。为防止次生灾害，地震避难场地不得过于靠近易燃易爆的加油站、燃气站用地。</w:t>
      </w:r>
    </w:p>
    <w:p w14:paraId="34611720">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4、避灾通道</w:t>
      </w:r>
    </w:p>
    <w:p w14:paraId="373D1976">
      <w:pPr>
        <w:ind w:firstLine="640" w:firstLineChars="200"/>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根据疏散需要，规划确定主要对外出入口，并与外部的主要公路衔接。各住宅区到避难场所应有避灾道路连接，避灾道路应建成相互贯通的、可供车辆通行的网络，形成完善的避灾道路系统。</w:t>
      </w:r>
    </w:p>
    <w:p w14:paraId="77231D5F">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5、生命线系统保障</w:t>
      </w:r>
    </w:p>
    <w:p w14:paraId="02786008">
      <w:pPr>
        <w:ind w:firstLine="640" w:firstLineChars="200"/>
        <w:rPr>
          <w:rFonts w:hint="default"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按照桦川县制定的《桦川县地震应急预案》的方案，由镇医院、疾病控制中心、卫生院及社区卫生中心作为救灾援助物资调配站及救护点，共同组成生命线保障系统。</w:t>
      </w:r>
    </w:p>
    <w:p w14:paraId="0E71DAF4">
      <w:pPr>
        <w:ind w:firstLine="640" w:firstLineChars="200"/>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6、公共卫生安全</w:t>
      </w:r>
    </w:p>
    <w:p w14:paraId="4B8ADBE4">
      <w:pPr>
        <w:ind w:firstLine="640" w:firstLineChars="200"/>
        <w:rPr>
          <w:highlight w:val="none"/>
        </w:rPr>
      </w:pPr>
      <w:bookmarkStart w:id="129" w:name="_Toc72862784"/>
      <w:r>
        <w:rPr>
          <w:rFonts w:hint="eastAsia" w:ascii="Times New Roman" w:hAnsi="Times New Roman" w:cs="Times New Roman"/>
          <w:color w:val="auto"/>
          <w:szCs w:val="32"/>
          <w:highlight w:val="none"/>
          <w:lang w:val="en-US" w:eastAsia="zh-CN"/>
        </w:rPr>
        <w:t>建设公共卫生安全防控体系</w:t>
      </w:r>
      <w:bookmarkEnd w:id="129"/>
      <w:r>
        <w:rPr>
          <w:rFonts w:hint="eastAsia" w:ascii="Times New Roman" w:hAnsi="Times New Roman" w:cs="Times New Roman"/>
          <w:color w:val="auto"/>
          <w:szCs w:val="32"/>
          <w:highlight w:val="none"/>
          <w:lang w:val="en-US" w:eastAsia="zh-CN"/>
        </w:rPr>
        <w:t>，建立大数据应用系统，重点布局疫情防控设施和用地。根据城镇规模，设置传染病相关公共卫生用地和应急疫情防控用地。搭建应急联合防控网络，形成联防联控机制，并定期开展防灾演练训练。防控物资储备库应能满足城镇一定时期内的物资供给。</w:t>
      </w:r>
    </w:p>
    <w:p w14:paraId="222F75D7">
      <w:pPr>
        <w:pStyle w:val="31"/>
        <w:spacing w:before="156" w:beforeLines="50" w:after="156" w:afterLines="50" w:line="600" w:lineRule="atLeast"/>
        <w:ind w:firstLine="0" w:firstLineChars="0"/>
        <w:rPr>
          <w:rFonts w:hint="eastAsia" w:ascii="Times New Roman" w:hAnsi="Times New Roman" w:cs="Times New Roman"/>
          <w:highlight w:val="none"/>
        </w:rPr>
      </w:pPr>
      <w:bookmarkStart w:id="130" w:name="_Toc17189"/>
      <w:bookmarkStart w:id="131" w:name="_Toc8375"/>
      <w:r>
        <w:rPr>
          <w:rFonts w:hint="eastAsia" w:ascii="Times New Roman" w:hAnsi="Times New Roman" w:cs="Times New Roman"/>
          <w:highlight w:val="none"/>
        </w:rPr>
        <w:t>第</w:t>
      </w:r>
      <w:r>
        <w:rPr>
          <w:rFonts w:hint="eastAsia" w:ascii="Times New Roman" w:hAnsi="Times New Roman" w:cs="Times New Roman"/>
          <w:highlight w:val="none"/>
          <w:lang w:val="en-US" w:eastAsia="zh-CN"/>
        </w:rPr>
        <w:t>七</w:t>
      </w:r>
      <w:r>
        <w:rPr>
          <w:rFonts w:hint="eastAsia" w:ascii="Times New Roman" w:hAnsi="Times New Roman" w:cs="Times New Roman"/>
          <w:highlight w:val="none"/>
        </w:rPr>
        <w:t>节 加强水利基础设施建设</w:t>
      </w:r>
      <w:bookmarkEnd w:id="130"/>
      <w:bookmarkEnd w:id="131"/>
    </w:p>
    <w:bookmarkEnd w:id="120"/>
    <w:p w14:paraId="1A163472">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节约用水规划</w:t>
      </w:r>
    </w:p>
    <w:p w14:paraId="60E6B9ED">
      <w:pPr>
        <w:spacing w:line="600" w:lineRule="atLeast"/>
        <w:ind w:firstLine="640" w:firstLineChars="200"/>
        <w:rPr>
          <w:rFonts w:ascii="Times New Roman" w:hAnsi="Times New Roman" w:cs="Times New Roman"/>
          <w:szCs w:val="32"/>
        </w:rPr>
      </w:pPr>
      <w:r>
        <w:rPr>
          <w:rFonts w:hint="eastAsia"/>
        </w:rPr>
        <w:t>根据《中华人民共和国水法》规定，国家厉行节约用水，大力推行节约用水措施，推广节约用水新技术、新工艺，发展节水型工业、农业和服务业，建立节水型社会。各级人民政府应当采取措施，加强对节约用水的管理，建立节约用水技术开发推广体系，培育和发展节约用水产业。</w:t>
      </w:r>
    </w:p>
    <w:p w14:paraId="0E77A200">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完善优化水利设施</w:t>
      </w:r>
    </w:p>
    <w:p w14:paraId="1E8E98DE">
      <w:pPr>
        <w:spacing w:line="600" w:lineRule="atLeast"/>
        <w:ind w:firstLine="640" w:firstLineChars="200"/>
        <w:rPr>
          <w:rFonts w:ascii="Times New Roman" w:hAnsi="Times New Roman" w:eastAsia="楷体" w:cs="Times New Roman"/>
          <w:szCs w:val="32"/>
        </w:rPr>
      </w:pPr>
      <w:r>
        <w:rPr>
          <w:rFonts w:ascii="Times New Roman" w:hAnsi="Times New Roman" w:eastAsia="楷体" w:cs="Times New Roman"/>
          <w:szCs w:val="32"/>
        </w:rPr>
        <w:t>1.灌区节水配套建设</w:t>
      </w:r>
    </w:p>
    <w:p w14:paraId="5F8B3F55">
      <w:pPr>
        <w:spacing w:line="600" w:lineRule="atLeast"/>
        <w:ind w:firstLine="640" w:firstLineChars="200"/>
        <w:rPr>
          <w:rFonts w:ascii="Times New Roman" w:hAnsi="Times New Roman" w:cs="Times New Roman"/>
          <w:szCs w:val="32"/>
        </w:rPr>
      </w:pPr>
      <w:r>
        <w:rPr>
          <w:rFonts w:ascii="Times New Roman" w:hAnsi="Times New Roman" w:cs="Times New Roman"/>
          <w:szCs w:val="32"/>
        </w:rPr>
        <w:t>完成中小型灌区水利工程管理与保护范围划界工作，进一步谋划现代灌区新建和改扩建工程，持续提高灌区覆盖农田灌溉面积比例，为</w:t>
      </w:r>
      <w:r>
        <w:rPr>
          <w:rFonts w:hint="eastAsia" w:ascii="Times New Roman" w:hAnsi="Times New Roman" w:cs="Times New Roman"/>
          <w:szCs w:val="32"/>
        </w:rPr>
        <w:t>江川农场</w:t>
      </w:r>
      <w:r>
        <w:rPr>
          <w:rFonts w:ascii="Times New Roman" w:hAnsi="Times New Roman" w:cs="Times New Roman"/>
          <w:szCs w:val="32"/>
        </w:rPr>
        <w:t>现代农业建设和全面乡村振兴提供水利支撑和保障。</w:t>
      </w:r>
    </w:p>
    <w:p w14:paraId="7C09930A">
      <w:pPr>
        <w:spacing w:line="600" w:lineRule="atLeast"/>
        <w:ind w:firstLine="640" w:firstLineChars="200"/>
        <w:rPr>
          <w:rFonts w:ascii="Times New Roman" w:hAnsi="Times New Roman" w:cs="Times New Roman"/>
          <w:szCs w:val="32"/>
        </w:rPr>
      </w:pPr>
      <w:r>
        <w:rPr>
          <w:rFonts w:ascii="Times New Roman" w:hAnsi="Times New Roman" w:cs="Times New Roman"/>
          <w:szCs w:val="32"/>
        </w:rPr>
        <w:t>管理范围，干渠两侧不小于10米，支渠两侧不小于5米，建筑物工程不小于50米；保护范围，干、支渠以管理范围边界以外不小于20米为界，建筑物工程以建筑物管理范围边界以外不小于50米为界。建设现代灌区，更新现状设施，至2035年农业灌溉水利用系数提高到0.52以上。</w:t>
      </w:r>
    </w:p>
    <w:p w14:paraId="165AEDCE">
      <w:pPr>
        <w:spacing w:line="600" w:lineRule="atLeast"/>
        <w:ind w:firstLine="640" w:firstLineChars="200"/>
        <w:rPr>
          <w:rFonts w:ascii="Times New Roman" w:hAnsi="Times New Roman" w:eastAsia="楷体" w:cs="Times New Roman"/>
          <w:szCs w:val="32"/>
        </w:rPr>
      </w:pPr>
      <w:r>
        <w:rPr>
          <w:rFonts w:ascii="Times New Roman" w:hAnsi="Times New Roman" w:eastAsia="楷体" w:cs="Times New Roman"/>
          <w:szCs w:val="32"/>
        </w:rPr>
        <w:t>2.防洪提升</w:t>
      </w:r>
    </w:p>
    <w:p w14:paraId="3961C563">
      <w:pPr>
        <w:ind w:firstLine="640" w:firstLineChars="200"/>
        <w:rPr>
          <w:rFonts w:ascii="Times New Roman" w:hAnsi="Times New Roman" w:cs="Times New Roman"/>
          <w:szCs w:val="32"/>
        </w:rPr>
      </w:pPr>
      <w:r>
        <w:rPr>
          <w:rFonts w:ascii="Times New Roman" w:hAnsi="Times New Roman" w:cs="Times New Roman"/>
          <w:szCs w:val="32"/>
        </w:rPr>
        <w:t>规划全面提高堤防标准，</w:t>
      </w:r>
      <w:r>
        <w:rPr>
          <w:rFonts w:hint="eastAsia" w:ascii="Times New Roman" w:hAnsi="Times New Roman" w:cs="Times New Roman"/>
          <w:szCs w:val="32"/>
        </w:rPr>
        <w:t>河道</w:t>
      </w:r>
      <w:r>
        <w:rPr>
          <w:rFonts w:ascii="Times New Roman" w:hAnsi="Times New Roman" w:cs="Times New Roman"/>
          <w:szCs w:val="32"/>
        </w:rPr>
        <w:t>规划防洪标准为20年一遇。</w:t>
      </w:r>
    </w:p>
    <w:p w14:paraId="5A542CB4">
      <w:pPr>
        <w:pStyle w:val="31"/>
        <w:spacing w:before="156" w:beforeLines="50" w:after="156" w:afterLines="50" w:line="600" w:lineRule="atLeast"/>
        <w:ind w:firstLine="0" w:firstLineChars="0"/>
        <w:rPr>
          <w:rFonts w:hint="default" w:ascii="Times New Roman" w:hAnsi="Times New Roman" w:cs="Times New Roman"/>
          <w:highlight w:val="none"/>
        </w:rPr>
      </w:pPr>
      <w:bookmarkStart w:id="132" w:name="_Toc11"/>
      <w:bookmarkStart w:id="133" w:name="_Toc3589"/>
      <w:bookmarkStart w:id="134" w:name="_Toc15817"/>
      <w:bookmarkStart w:id="135" w:name="_Toc20239"/>
      <w:r>
        <w:rPr>
          <w:rFonts w:hint="default" w:ascii="Times New Roman" w:hAnsi="Times New Roman" w:cs="Times New Roman"/>
          <w:highlight w:val="none"/>
          <w:lang w:val="en-US" w:eastAsia="zh-CN"/>
        </w:rPr>
        <w:t>第</w:t>
      </w:r>
      <w:r>
        <w:rPr>
          <w:rFonts w:hint="eastAsia" w:ascii="Times New Roman" w:hAnsi="Times New Roman" w:cs="Times New Roman"/>
          <w:highlight w:val="none"/>
          <w:lang w:val="en-US" w:eastAsia="zh-CN"/>
        </w:rPr>
        <w:t>六</w:t>
      </w:r>
      <w:r>
        <w:rPr>
          <w:rFonts w:hint="default" w:ascii="Times New Roman" w:hAnsi="Times New Roman" w:cs="Times New Roman"/>
          <w:highlight w:val="none"/>
          <w:lang w:val="en-US" w:eastAsia="zh-CN"/>
        </w:rPr>
        <w:t xml:space="preserve">节 </w:t>
      </w:r>
      <w:r>
        <w:rPr>
          <w:rFonts w:hint="default" w:ascii="Times New Roman" w:hAnsi="Times New Roman" w:cs="Times New Roman"/>
          <w:highlight w:val="none"/>
        </w:rPr>
        <w:t>矿产资源保护与利用</w:t>
      </w:r>
      <w:bookmarkEnd w:id="132"/>
      <w:bookmarkEnd w:id="133"/>
      <w:bookmarkEnd w:id="134"/>
      <w:bookmarkEnd w:id="135"/>
    </w:p>
    <w:p w14:paraId="2A2030AA">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矿产资源开发与合理利用</w:t>
      </w:r>
    </w:p>
    <w:p w14:paraId="364B1E53">
      <w:pPr>
        <w:keepNext w:val="0"/>
        <w:keepLines w:val="0"/>
        <w:pageBreakBefore w:val="0"/>
        <w:widowControl w:val="0"/>
        <w:kinsoku/>
        <w:wordWrap/>
        <w:overflowPunct/>
        <w:topLinePunct w:val="0"/>
        <w:autoSpaceDE/>
        <w:autoSpaceDN/>
        <w:bidi w:val="0"/>
        <w:adjustRightInd/>
        <w:snapToGrid/>
        <w:spacing w:line="360" w:lineRule="auto"/>
        <w:ind w:firstLine="616"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pacing w:val="-6"/>
          <w:sz w:val="32"/>
          <w:szCs w:val="32"/>
          <w:highlight w:val="none"/>
          <w:u w:val="none"/>
          <w:lang w:val="en-US" w:eastAsia="zh-CN"/>
        </w:rPr>
        <w:t>矿产资源供给与保障能力进一步提升；矿产资源开发利用结构和布局进一步优化；主要矿产资源节约集约利用水平有效提升；矿产资源领域治理体系和治理能力得到进一步完善；矿业产业与经济社会、生态文明协调发展的新格局基本建成。</w:t>
      </w:r>
    </w:p>
    <w:p w14:paraId="37F62997">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r>
        <w:rPr>
          <w:rFonts w:hint="default" w:ascii="Times New Roman" w:hAnsi="Times New Roman" w:eastAsia="楷体_GB2312" w:cs="Times New Roman"/>
          <w:b/>
          <w:bCs w:val="0"/>
          <w:highlight w:val="none"/>
          <w:lang w:val="en-US" w:eastAsia="zh-CN"/>
        </w:rPr>
        <w:t>绿色矿山建设</w:t>
      </w:r>
    </w:p>
    <w:p w14:paraId="1E45865B">
      <w:pPr>
        <w:keepNext w:val="0"/>
        <w:keepLines w:val="0"/>
        <w:pageBreakBefore w:val="0"/>
        <w:widowControl w:val="0"/>
        <w:kinsoku/>
        <w:wordWrap/>
        <w:overflowPunct/>
        <w:topLinePunct w:val="0"/>
        <w:autoSpaceDE/>
        <w:autoSpaceDN/>
        <w:bidi w:val="0"/>
        <w:adjustRightInd/>
        <w:snapToGrid/>
        <w:spacing w:line="360" w:lineRule="auto"/>
        <w:ind w:firstLine="616" w:firstLineChars="200"/>
        <w:textAlignment w:val="auto"/>
        <w:rPr>
          <w:rFonts w:hint="default" w:ascii="Times New Roman" w:hAnsi="Times New Roman" w:eastAsia="仿宋_GB2312" w:cs="Times New Roman"/>
          <w:color w:val="auto"/>
          <w:spacing w:val="-6"/>
          <w:sz w:val="32"/>
          <w:szCs w:val="32"/>
          <w:highlight w:val="none"/>
          <w:u w:val="none"/>
          <w:lang w:val="en-US" w:eastAsia="zh-CN"/>
        </w:rPr>
      </w:pPr>
      <w:r>
        <w:rPr>
          <w:rFonts w:hint="default" w:ascii="Times New Roman" w:hAnsi="Times New Roman" w:eastAsia="仿宋_GB2312" w:cs="Times New Roman"/>
          <w:color w:val="auto"/>
          <w:spacing w:val="-6"/>
          <w:sz w:val="32"/>
          <w:szCs w:val="32"/>
          <w:highlight w:val="none"/>
          <w:u w:val="none"/>
          <w:lang w:val="en-US" w:eastAsia="zh-CN"/>
        </w:rPr>
        <w:t>围绕桦川县域矿产资源勘查开发区域布局，依据</w:t>
      </w:r>
      <w:r>
        <w:rPr>
          <w:rFonts w:hint="eastAsia" w:ascii="Times New Roman" w:hAnsi="Times New Roman" w:cs="Times New Roman"/>
          <w:color w:val="auto"/>
          <w:spacing w:val="-6"/>
          <w:sz w:val="32"/>
          <w:szCs w:val="32"/>
          <w:highlight w:val="none"/>
          <w:u w:val="none"/>
          <w:lang w:val="en-US" w:eastAsia="zh-CN"/>
        </w:rPr>
        <w:t>红兴隆分局（桦川境内）农场</w:t>
      </w:r>
      <w:r>
        <w:rPr>
          <w:rFonts w:hint="default" w:ascii="Times New Roman" w:hAnsi="Times New Roman" w:eastAsia="仿宋_GB2312" w:cs="Times New Roman"/>
          <w:color w:val="auto"/>
          <w:spacing w:val="-6"/>
          <w:sz w:val="32"/>
          <w:szCs w:val="32"/>
          <w:highlight w:val="none"/>
          <w:u w:val="none"/>
          <w:lang w:val="en-US" w:eastAsia="zh-CN"/>
        </w:rPr>
        <w:t>矿山开发利用实际情况。推进绿色矿山建设，实行清洁生产，消除污染，美化环境。</w:t>
      </w:r>
    </w:p>
    <w:p w14:paraId="49C1DCF0">
      <w:pPr>
        <w:pStyle w:val="9"/>
      </w:pPr>
    </w:p>
    <w:p w14:paraId="09CC6808">
      <w:pPr>
        <w:pStyle w:val="2"/>
        <w:spacing w:before="156" w:beforeLines="50" w:after="156" w:afterLines="50" w:line="600" w:lineRule="atLeast"/>
        <w:rPr>
          <w:rFonts w:hint="eastAsia" w:eastAsia="方正小标宋_GBK" w:asciiTheme="minorAscii" w:hAnsiTheme="minorAscii" w:cstheme="minorBidi"/>
          <w:color w:val="auto"/>
          <w:kern w:val="44"/>
          <w:sz w:val="36"/>
          <w:szCs w:val="24"/>
          <w:highlight w:val="none"/>
          <w:lang w:val="en-US" w:eastAsia="zh-CN" w:bidi="ar-SA"/>
        </w:rPr>
      </w:pPr>
      <w:r>
        <w:rPr>
          <w:rFonts w:ascii="Times New Roman" w:hAnsi="Times New Roman" w:cs="Times New Roman"/>
          <w:kern w:val="2"/>
          <w:szCs w:val="36"/>
        </w:rPr>
        <w:br w:type="page"/>
      </w:r>
      <w:bookmarkStart w:id="136" w:name="_Toc18007"/>
      <w:bookmarkStart w:id="137" w:name="_Toc10748"/>
      <w:r>
        <w:rPr>
          <w:rFonts w:hint="eastAsia" w:ascii="Times New Roman" w:hAnsi="Times New Roman" w:eastAsia="方正小标宋简体" w:cs="Times New Roman"/>
          <w:kern w:val="2"/>
          <w:sz w:val="36"/>
          <w:szCs w:val="36"/>
          <w:lang w:val="en-US" w:eastAsia="zh-CN" w:bidi="ar-SA"/>
        </w:rPr>
        <w:t>第七章 历史文化与特色风貌</w:t>
      </w:r>
      <w:bookmarkEnd w:id="136"/>
      <w:bookmarkEnd w:id="137"/>
    </w:p>
    <w:p w14:paraId="476610A3">
      <w:pPr>
        <w:pStyle w:val="31"/>
        <w:spacing w:before="156" w:beforeLines="50" w:after="156" w:afterLines="50" w:line="600" w:lineRule="atLeast"/>
        <w:ind w:firstLine="0" w:firstLineChars="0"/>
        <w:rPr>
          <w:rFonts w:hint="default" w:ascii="Times New Roman" w:hAnsi="Times New Roman" w:cs="Times New Roman"/>
          <w:highlight w:val="none"/>
          <w:lang w:val="en-US" w:eastAsia="zh-CN"/>
        </w:rPr>
      </w:pPr>
      <w:bookmarkStart w:id="138" w:name="_Toc8838"/>
      <w:r>
        <w:rPr>
          <w:rFonts w:hint="default" w:ascii="Times New Roman" w:hAnsi="Times New Roman" w:cs="Times New Roman"/>
          <w:highlight w:val="none"/>
          <w:lang w:val="en-US" w:eastAsia="zh-CN"/>
        </w:rPr>
        <w:t>第一节 历史文化保护</w:t>
      </w:r>
      <w:bookmarkEnd w:id="138"/>
    </w:p>
    <w:p w14:paraId="31991ACD">
      <w:pPr>
        <w:spacing w:line="600" w:lineRule="atLeast"/>
        <w:ind w:firstLine="640" w:firstLineChars="200"/>
        <w:rPr>
          <w:rFonts w:hint="eastAsia" w:ascii="Times New Roman" w:hAnsi="Times New Roman" w:cs="Times New Roman"/>
          <w:szCs w:val="32"/>
          <w:highlight w:val="none"/>
        </w:rPr>
      </w:pPr>
      <w:r>
        <w:rPr>
          <w:rFonts w:hint="eastAsia" w:ascii="Times New Roman" w:hAnsi="Times New Roman" w:cs="Times New Roman"/>
          <w:szCs w:val="32"/>
          <w:highlight w:val="none"/>
        </w:rPr>
        <w:t>以区域整体保护为统领，建立“省级-县级”两级的历史文化保护体系，实现对江川农场特色风貌和历史文化资源的有效保护和合理利用。传承文化根脉，修订完善江川农场历史文化保护名录。</w:t>
      </w:r>
    </w:p>
    <w:p w14:paraId="503FAB66">
      <w:pPr>
        <w:pStyle w:val="4"/>
        <w:numPr>
          <w:ilvl w:val="0"/>
          <w:numId w:val="1"/>
        </w:numPr>
        <w:spacing w:before="156" w:beforeLines="50" w:after="156" w:afterLines="50" w:line="600" w:lineRule="atLeast"/>
        <w:ind w:firstLine="0"/>
        <w:rPr>
          <w:rFonts w:hint="eastAsia" w:ascii="楷体_GB2312" w:hAnsi="Times New Roman" w:eastAsia="楷体_GB2312" w:cs="Times New Roman"/>
          <w:highlight w:val="none"/>
        </w:rPr>
      </w:pPr>
      <w:r>
        <w:rPr>
          <w:rFonts w:hint="eastAsia" w:ascii="Times New Roman" w:hAnsi="Times New Roman" w:eastAsia="楷体_GB2312" w:cs="Times New Roman"/>
          <w:b/>
          <w:bCs w:val="0"/>
          <w:highlight w:val="none"/>
          <w:lang w:val="en-US" w:eastAsia="zh-CN"/>
        </w:rPr>
        <w:t>文物保护单位保护措施</w:t>
      </w:r>
    </w:p>
    <w:p w14:paraId="6F04A8A2">
      <w:pPr>
        <w:ind w:firstLine="640"/>
        <w:rPr>
          <w:rFonts w:hint="eastAsia" w:eastAsia="仿宋_GB2312" w:cs="Times New Roman"/>
          <w:sz w:val="32"/>
          <w:szCs w:val="28"/>
          <w:highlight w:val="none"/>
        </w:rPr>
      </w:pPr>
      <w:r>
        <w:rPr>
          <w:rFonts w:hint="eastAsia" w:ascii="Times New Roman" w:hAnsi="Times New Roman" w:eastAsia="仿宋_GB2312"/>
          <w:sz w:val="32"/>
          <w:szCs w:val="32"/>
          <w:highlight w:val="none"/>
        </w:rPr>
        <w:t>在</w:t>
      </w:r>
      <w:r>
        <w:rPr>
          <w:rFonts w:ascii="Times New Roman" w:hAnsi="Times New Roman" w:eastAsia="仿宋_GB2312"/>
          <w:sz w:val="32"/>
          <w:szCs w:val="32"/>
          <w:highlight w:val="none"/>
        </w:rPr>
        <w:t>执行《中华人民共和国文物保护法》有关规定，</w:t>
      </w:r>
      <w:r>
        <w:rPr>
          <w:rFonts w:hint="eastAsia" w:eastAsia="仿宋_GB2312" w:cs="Times New Roman"/>
          <w:sz w:val="32"/>
          <w:szCs w:val="28"/>
          <w:highlight w:val="none"/>
        </w:rPr>
        <w:t>在保护范围和控制地带范围内禁止取土、耕种、放牧破坏文物的生产活动。文物保护单位的保护范围内不得进行其他建设工程或者爆破、钻探、挖掘等作业。但是，因特殊情况需要在文物保护单位的保护范围内进行其他建设工程或者爆破、钻探、挖掘等作业的，必须保证文物保护单位的安全，在批准前应当征得上一级人民政府文物行政部门同意；在全国重点文物保护单位的保护范围内进行其他建设工程或者爆破、钻探、挖掘等作业的，必须经省、自治区、直辖市人民政府批准，在批准前应当征得国务院文物行政部门同意。</w:t>
      </w:r>
    </w:p>
    <w:p w14:paraId="259A11B9">
      <w:pPr>
        <w:ind w:firstLine="640"/>
        <w:rPr>
          <w:rFonts w:ascii="Times New Roman" w:hAnsi="Times New Roman" w:eastAsia="仿宋_GB2312"/>
          <w:sz w:val="32"/>
          <w:szCs w:val="32"/>
          <w:highlight w:val="none"/>
        </w:rPr>
      </w:pPr>
      <w:r>
        <w:rPr>
          <w:rFonts w:hint="eastAsia" w:eastAsia="仿宋_GB2312" w:cs="Times New Roman"/>
          <w:sz w:val="32"/>
          <w:szCs w:val="28"/>
          <w:highlight w:val="none"/>
        </w:rPr>
        <w:t>在文物保护单位的保护范围和建设控制地带内，不得建设污染文物保护单位及其环境的设施，不得进行可能影响文物保护单位安全及其环境的活动。对已有的污染文物保护单位及其环境的设施，应当限期治理。在文物保护单位的建设控制地带内进行建设工程，不得破坏文物保护单位的历史风貌。</w:t>
      </w:r>
    </w:p>
    <w:p w14:paraId="5D31BF13">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地名文化保护</w:t>
      </w:r>
    </w:p>
    <w:p w14:paraId="268B2464">
      <w:pPr>
        <w:spacing w:line="600" w:lineRule="atLeast"/>
        <w:ind w:firstLine="640" w:firstLineChars="200"/>
        <w:rPr>
          <w:rFonts w:hint="eastAsia" w:ascii="Times New Roman" w:hAnsi="Times New Roman" w:cs="Times New Roman"/>
          <w:szCs w:val="32"/>
        </w:rPr>
      </w:pPr>
      <w:r>
        <w:rPr>
          <w:rFonts w:hint="eastAsia" w:ascii="Times New Roman" w:hAnsi="Times New Roman" w:cs="Times New Roman"/>
          <w:szCs w:val="32"/>
          <w:highlight w:val="none"/>
        </w:rPr>
        <w:t>已有专名的山水等名称继续沿用</w:t>
      </w:r>
      <w:r>
        <w:rPr>
          <w:rFonts w:hint="eastAsia" w:ascii="Times New Roman" w:hAnsi="Times New Roman" w:cs="Times New Roman"/>
          <w:szCs w:val="32"/>
          <w:highlight w:val="none"/>
          <w:lang w:eastAsia="zh-CN"/>
        </w:rPr>
        <w:t>，</w:t>
      </w:r>
      <w:r>
        <w:rPr>
          <w:rFonts w:hint="eastAsia" w:ascii="Times New Roman" w:hAnsi="Times New Roman" w:cs="Times New Roman"/>
          <w:szCs w:val="32"/>
          <w:highlight w:val="none"/>
        </w:rPr>
        <w:t>山岭等名称中专名的更改和命名根据山体的地理位置、形状、历史遗迹等进行采词，或就近就地派生</w:t>
      </w:r>
      <w:r>
        <w:rPr>
          <w:rFonts w:hint="eastAsia" w:ascii="Times New Roman" w:hAnsi="Times New Roman" w:cs="Times New Roman"/>
          <w:szCs w:val="32"/>
          <w:highlight w:val="none"/>
          <w:lang w:eastAsia="zh-CN"/>
        </w:rPr>
        <w:t>；</w:t>
      </w:r>
      <w:r>
        <w:rPr>
          <w:rFonts w:hint="eastAsia" w:ascii="Times New Roman" w:hAnsi="Times New Roman" w:cs="Times New Roman"/>
          <w:szCs w:val="32"/>
          <w:highlight w:val="none"/>
        </w:rPr>
        <w:t>新增的水体专名应根据使用功能和发展趋势命名或就地就近派生</w:t>
      </w:r>
      <w:r>
        <w:rPr>
          <w:rFonts w:hint="eastAsia" w:ascii="Times New Roman" w:hAnsi="Times New Roman" w:cs="Times New Roman"/>
          <w:szCs w:val="32"/>
          <w:highlight w:val="none"/>
          <w:lang w:eastAsia="zh-CN"/>
        </w:rPr>
        <w:t>；</w:t>
      </w:r>
      <w:r>
        <w:rPr>
          <w:rFonts w:hint="eastAsia" w:ascii="Times New Roman" w:hAnsi="Times New Roman" w:cs="Times New Roman"/>
          <w:szCs w:val="32"/>
          <w:highlight w:val="none"/>
        </w:rPr>
        <w:t>自然保护区的专名应首选其保护对象的名称命名，旅游区的专名可依据当地地名、历史地名及其派生地名命名，也可使用体现佳木斯市历史、地理、文化特征和美好愿景的词语命名或根据其主要功能、展示主题命名</w:t>
      </w:r>
      <w:r>
        <w:rPr>
          <w:rFonts w:hint="eastAsia" w:ascii="Times New Roman" w:hAnsi="Times New Roman" w:cs="Times New Roman"/>
          <w:szCs w:val="32"/>
          <w:highlight w:val="none"/>
          <w:lang w:eastAsia="zh-CN"/>
        </w:rPr>
        <w:t>；</w:t>
      </w:r>
      <w:r>
        <w:rPr>
          <w:rFonts w:hint="eastAsia" w:ascii="Times New Roman" w:hAnsi="Times New Roman" w:cs="Times New Roman"/>
          <w:szCs w:val="32"/>
          <w:highlight w:val="none"/>
          <w:lang w:val="en-US" w:eastAsia="zh-CN"/>
        </w:rPr>
        <w:t>红兴隆分局（桦川境内）</w:t>
      </w:r>
      <w:r>
        <w:rPr>
          <w:rFonts w:hint="eastAsia" w:ascii="Times New Roman" w:hAnsi="Times New Roman" w:cs="Times New Roman"/>
          <w:szCs w:val="32"/>
          <w:highlight w:val="none"/>
        </w:rPr>
        <w:t>的人文景观主要为各类文物古迹，大部分已列为各级文物保护单位，其名称原则上不改变，现有名称继续使用。新发现的文物古迹专名选词应在其所属类别的基础上尽可能体现其历史渊源、文化内涵和人文特点</w:t>
      </w:r>
      <w:r>
        <w:rPr>
          <w:rFonts w:hint="eastAsia" w:ascii="Times New Roman" w:hAnsi="Times New Roman" w:cs="Times New Roman"/>
          <w:szCs w:val="32"/>
        </w:rPr>
        <w:t>。</w:t>
      </w:r>
    </w:p>
    <w:p w14:paraId="305A5340">
      <w:pPr>
        <w:pStyle w:val="31"/>
        <w:spacing w:before="156" w:beforeLines="50" w:after="156" w:afterLines="50" w:line="600" w:lineRule="atLeast"/>
        <w:ind w:left="1002" w:hanging="1002"/>
        <w:rPr>
          <w:rFonts w:ascii="Times New Roman" w:hAnsi="Times New Roman" w:cs="Times New Roman"/>
          <w:highlight w:val="none"/>
        </w:rPr>
      </w:pPr>
      <w:bookmarkStart w:id="139" w:name="_Toc1387"/>
      <w:bookmarkStart w:id="140" w:name="_Toc11110"/>
      <w:r>
        <w:rPr>
          <w:rFonts w:ascii="Times New Roman" w:hAnsi="Times New Roman" w:cs="Times New Roman"/>
          <w:highlight w:val="none"/>
        </w:rPr>
        <w:t>第二节</w:t>
      </w:r>
      <w:r>
        <w:rPr>
          <w:rFonts w:hint="eastAsia" w:ascii="Times New Roman" w:hAnsi="Times New Roman" w:cs="Times New Roman"/>
          <w:highlight w:val="none"/>
        </w:rPr>
        <w:t xml:space="preserve"> </w:t>
      </w:r>
      <w:r>
        <w:rPr>
          <w:rFonts w:hint="eastAsia" w:cs="Times New Roman"/>
          <w:highlight w:val="none"/>
          <w:lang w:val="en-US" w:eastAsia="zh-CN"/>
        </w:rPr>
        <w:t>农场</w:t>
      </w:r>
      <w:r>
        <w:rPr>
          <w:rFonts w:ascii="Times New Roman" w:hAnsi="Times New Roman" w:cs="Times New Roman"/>
          <w:highlight w:val="none"/>
        </w:rPr>
        <w:t>风貌指引</w:t>
      </w:r>
      <w:bookmarkEnd w:id="139"/>
      <w:bookmarkEnd w:id="140"/>
    </w:p>
    <w:p w14:paraId="12D53057">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cs="Times New Roman"/>
          <w:b/>
          <w:bCs w:val="0"/>
          <w:highlight w:val="none"/>
          <w:lang w:val="en-US" w:eastAsia="zh-CN"/>
        </w:rPr>
        <w:t>农场</w:t>
      </w:r>
      <w:r>
        <w:rPr>
          <w:rFonts w:hint="eastAsia" w:ascii="Times New Roman" w:hAnsi="Times New Roman" w:eastAsia="楷体_GB2312" w:cs="Times New Roman"/>
          <w:b/>
          <w:bCs w:val="0"/>
          <w:highlight w:val="none"/>
          <w:lang w:val="en-US" w:eastAsia="zh-CN"/>
        </w:rPr>
        <w:t>风貌格局</w:t>
      </w:r>
    </w:p>
    <w:p w14:paraId="17AC29B6">
      <w:pPr>
        <w:spacing w:line="600" w:lineRule="atLeast"/>
        <w:ind w:firstLine="640" w:firstLineChars="200"/>
        <w:rPr>
          <w:rFonts w:ascii="Times New Roman" w:hAnsi="Times New Roman" w:cs="Times New Roman"/>
          <w:szCs w:val="32"/>
        </w:rPr>
      </w:pPr>
      <w:r>
        <w:rPr>
          <w:rFonts w:ascii="Times New Roman" w:hAnsi="Times New Roman" w:cs="Times New Roman"/>
          <w:szCs w:val="32"/>
        </w:rPr>
        <w:t>以山水林田等自然资源为本底，结合地形地貌及用地空间形态，整体形成“</w:t>
      </w:r>
      <w:r>
        <w:rPr>
          <w:rFonts w:hint="eastAsia" w:ascii="Times New Roman" w:hAnsi="Times New Roman" w:cs="Times New Roman"/>
          <w:szCs w:val="32"/>
        </w:rPr>
        <w:t>北国平原</w:t>
      </w:r>
      <w:r>
        <w:rPr>
          <w:rFonts w:ascii="Times New Roman" w:hAnsi="Times New Roman" w:cs="Times New Roman"/>
          <w:szCs w:val="32"/>
        </w:rPr>
        <w:t>”的景观风貌，划分为</w:t>
      </w:r>
      <w:r>
        <w:rPr>
          <w:rFonts w:hint="eastAsia"/>
        </w:rPr>
        <w:t>滨水湿地景观风貌区</w:t>
      </w:r>
      <w:r>
        <w:rPr>
          <w:rFonts w:ascii="Times New Roman" w:hAnsi="Times New Roman" w:cs="Times New Roman"/>
          <w:szCs w:val="32"/>
        </w:rPr>
        <w:t>、</w:t>
      </w:r>
      <w:r>
        <w:rPr>
          <w:rFonts w:hint="eastAsia" w:ascii="Times New Roman" w:hAnsi="Times New Roman" w:cs="Times New Roman"/>
          <w:szCs w:val="32"/>
        </w:rPr>
        <w:t>农田耕种</w:t>
      </w:r>
      <w:r>
        <w:rPr>
          <w:rFonts w:ascii="Times New Roman" w:hAnsi="Times New Roman" w:cs="Times New Roman"/>
          <w:szCs w:val="32"/>
        </w:rPr>
        <w:t>景观风貌区和平原城镇</w:t>
      </w:r>
      <w:r>
        <w:rPr>
          <w:rFonts w:hint="eastAsia" w:ascii="Times New Roman" w:hAnsi="Times New Roman" w:cs="Times New Roman"/>
          <w:szCs w:val="32"/>
        </w:rPr>
        <w:t>景观</w:t>
      </w:r>
      <w:r>
        <w:rPr>
          <w:rFonts w:ascii="Times New Roman" w:hAnsi="Times New Roman" w:cs="Times New Roman"/>
          <w:szCs w:val="32"/>
        </w:rPr>
        <w:t>风貌区</w:t>
      </w:r>
      <w:r>
        <w:rPr>
          <w:rFonts w:hint="eastAsia" w:ascii="Times New Roman" w:hAnsi="Times New Roman" w:cs="Times New Roman"/>
          <w:szCs w:val="32"/>
        </w:rPr>
        <w:t>三</w:t>
      </w:r>
      <w:r>
        <w:rPr>
          <w:rFonts w:ascii="Times New Roman" w:hAnsi="Times New Roman" w:cs="Times New Roman"/>
          <w:szCs w:val="32"/>
        </w:rPr>
        <w:t>大风貌分区。</w:t>
      </w:r>
    </w:p>
    <w:p w14:paraId="42C8F61F">
      <w:pPr>
        <w:ind w:firstLine="640" w:firstLineChars="200"/>
      </w:pPr>
      <w:r>
        <w:rPr>
          <w:rFonts w:hint="eastAsia"/>
        </w:rPr>
        <w:t>滨水湿地景观风貌区：依托场域北部松花江水系及万里河村古城资源，主要发展生态文旅产业。</w:t>
      </w:r>
    </w:p>
    <w:p w14:paraId="3296D649">
      <w:pPr>
        <w:spacing w:line="600" w:lineRule="atLeast"/>
        <w:ind w:firstLine="640" w:firstLineChars="200"/>
        <w:rPr>
          <w:rFonts w:ascii="Times New Roman" w:hAnsi="Times New Roman" w:cs="Times New Roman"/>
          <w:szCs w:val="32"/>
        </w:rPr>
      </w:pPr>
      <w:r>
        <w:rPr>
          <w:rFonts w:hint="eastAsia" w:ascii="Times New Roman" w:hAnsi="Times New Roman" w:cs="Times New Roman"/>
          <w:szCs w:val="32"/>
        </w:rPr>
        <w:t>农田耕种</w:t>
      </w:r>
      <w:r>
        <w:rPr>
          <w:rFonts w:ascii="Times New Roman" w:hAnsi="Times New Roman" w:cs="Times New Roman"/>
          <w:szCs w:val="32"/>
        </w:rPr>
        <w:t>景观风貌区：依托</w:t>
      </w:r>
      <w:r>
        <w:rPr>
          <w:rFonts w:hint="eastAsia" w:ascii="Times New Roman" w:hAnsi="Times New Roman" w:cs="Times New Roman"/>
          <w:szCs w:val="32"/>
        </w:rPr>
        <w:t>镇域</w:t>
      </w:r>
      <w:r>
        <w:rPr>
          <w:rFonts w:ascii="Times New Roman" w:hAnsi="Times New Roman" w:cs="Times New Roman"/>
          <w:szCs w:val="32"/>
        </w:rPr>
        <w:t>丰富的耕地</w:t>
      </w:r>
      <w:r>
        <w:rPr>
          <w:rFonts w:hint="eastAsia" w:ascii="Times New Roman" w:hAnsi="Times New Roman" w:cs="Times New Roman"/>
          <w:szCs w:val="32"/>
        </w:rPr>
        <w:t>资源</w:t>
      </w:r>
      <w:r>
        <w:rPr>
          <w:rFonts w:ascii="Times New Roman" w:hAnsi="Times New Roman" w:cs="Times New Roman"/>
          <w:szCs w:val="32"/>
        </w:rPr>
        <w:t>，展现乡村田园风光；结合乡村特色，整治乡村风貌，展现美好乡村图景。</w:t>
      </w:r>
    </w:p>
    <w:p w14:paraId="5FA76BE2">
      <w:pPr>
        <w:spacing w:line="600" w:lineRule="atLeast"/>
        <w:ind w:firstLine="640" w:firstLineChars="200"/>
        <w:rPr>
          <w:rFonts w:ascii="Times New Roman" w:hAnsi="Times New Roman" w:cs="Times New Roman"/>
          <w:szCs w:val="32"/>
        </w:rPr>
      </w:pPr>
      <w:r>
        <w:rPr>
          <w:rFonts w:ascii="Times New Roman" w:hAnsi="Times New Roman" w:cs="Times New Roman"/>
          <w:szCs w:val="32"/>
        </w:rPr>
        <w:t>平原城镇</w:t>
      </w:r>
      <w:r>
        <w:rPr>
          <w:rFonts w:hint="eastAsia" w:ascii="Times New Roman" w:hAnsi="Times New Roman" w:cs="Times New Roman"/>
          <w:szCs w:val="32"/>
        </w:rPr>
        <w:t>景观</w:t>
      </w:r>
      <w:r>
        <w:rPr>
          <w:rFonts w:ascii="Times New Roman" w:hAnsi="Times New Roman" w:cs="Times New Roman"/>
          <w:szCs w:val="32"/>
        </w:rPr>
        <w:t>风貌区：提升镇区整体环境，展示传统地域风貌特征的精品小镇。</w:t>
      </w:r>
    </w:p>
    <w:p w14:paraId="34E2B43D">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农场风貌指引</w:t>
      </w:r>
    </w:p>
    <w:p w14:paraId="78295AA7">
      <w:pPr>
        <w:spacing w:line="600" w:lineRule="atLeast"/>
        <w:ind w:firstLine="640" w:firstLineChars="200"/>
        <w:rPr>
          <w:rFonts w:ascii="Times New Roman" w:hAnsi="Times New Roman" w:cs="Times New Roman"/>
          <w:szCs w:val="32"/>
        </w:rPr>
      </w:pPr>
      <w:r>
        <w:rPr>
          <w:rFonts w:ascii="Times New Roman" w:hAnsi="Times New Roman" w:cs="Times New Roman"/>
          <w:szCs w:val="32"/>
        </w:rPr>
        <w:t>延续具有东北特色的聚落肌理、生态景观和田园风光。构筑生态基底，凸显“丘陵漫岭”的原生态自然风貌和原乡土景观特色。</w:t>
      </w:r>
    </w:p>
    <w:p w14:paraId="7EEB74A8">
      <w:pPr>
        <w:pStyle w:val="23"/>
      </w:pPr>
    </w:p>
    <w:p w14:paraId="29316E3D">
      <w:pPr>
        <w:spacing w:line="600" w:lineRule="atLeast"/>
        <w:rPr>
          <w:rFonts w:ascii="Times New Roman" w:hAnsi="Times New Roman" w:cs="Times New Roman"/>
          <w:szCs w:val="36"/>
        </w:rPr>
      </w:pPr>
      <w:r>
        <w:rPr>
          <w:rFonts w:hint="eastAsia" w:ascii="Times New Roman" w:hAnsi="Times New Roman" w:cs="Times New Roman"/>
          <w:szCs w:val="36"/>
        </w:rPr>
        <w:br w:type="page"/>
      </w:r>
    </w:p>
    <w:bookmarkEnd w:id="78"/>
    <w:p w14:paraId="37D9E190">
      <w:pPr>
        <w:pStyle w:val="2"/>
        <w:spacing w:before="156" w:beforeLines="50" w:after="156" w:afterLines="50" w:line="600" w:lineRule="atLeast"/>
        <w:rPr>
          <w:rFonts w:hint="eastAsia" w:ascii="Times New Roman" w:hAnsi="Times New Roman" w:eastAsia="方正小标宋简体" w:cs="Times New Roman"/>
          <w:kern w:val="2"/>
          <w:sz w:val="36"/>
          <w:szCs w:val="36"/>
          <w:lang w:val="en-US" w:eastAsia="zh-CN" w:bidi="ar-SA"/>
        </w:rPr>
      </w:pPr>
      <w:bookmarkStart w:id="141" w:name="_Toc20329"/>
      <w:bookmarkStart w:id="142" w:name="_Toc19966"/>
      <w:bookmarkStart w:id="143" w:name="_Toc16885"/>
      <w:bookmarkStart w:id="144" w:name="_Toc12634"/>
      <w:r>
        <w:rPr>
          <w:rFonts w:hint="eastAsia" w:ascii="Times New Roman" w:hAnsi="Times New Roman" w:eastAsia="方正小标宋简体" w:cs="Times New Roman"/>
          <w:kern w:val="2"/>
          <w:sz w:val="36"/>
          <w:szCs w:val="36"/>
          <w:lang w:val="en-US" w:eastAsia="zh-CN" w:bidi="ar-SA"/>
        </w:rPr>
        <w:t>第八章 生态修复和国土综合整治</w:t>
      </w:r>
      <w:bookmarkEnd w:id="141"/>
      <w:bookmarkEnd w:id="142"/>
    </w:p>
    <w:bookmarkEnd w:id="143"/>
    <w:p w14:paraId="3D011847">
      <w:pPr>
        <w:pStyle w:val="31"/>
        <w:spacing w:before="156" w:beforeLines="50" w:after="156" w:afterLines="50" w:line="600" w:lineRule="atLeast"/>
        <w:ind w:left="1002" w:hanging="1002"/>
        <w:rPr>
          <w:rFonts w:ascii="Times New Roman" w:hAnsi="Times New Roman" w:cs="Times New Roman"/>
          <w:highlight w:val="none"/>
        </w:rPr>
      </w:pPr>
      <w:bookmarkStart w:id="145" w:name="_Toc20061"/>
      <w:bookmarkStart w:id="146" w:name="_Toc12416"/>
      <w:r>
        <w:rPr>
          <w:rFonts w:ascii="Times New Roman" w:hAnsi="Times New Roman" w:cs="Times New Roman"/>
          <w:highlight w:val="none"/>
        </w:rPr>
        <w:t>第</w:t>
      </w:r>
      <w:r>
        <w:rPr>
          <w:rFonts w:hint="eastAsia" w:ascii="Times New Roman" w:hAnsi="Times New Roman" w:cs="Times New Roman"/>
          <w:highlight w:val="none"/>
        </w:rPr>
        <w:t>一</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推进山水林田湖草沙系统修复</w:t>
      </w:r>
      <w:bookmarkEnd w:id="145"/>
      <w:bookmarkEnd w:id="146"/>
    </w:p>
    <w:p w14:paraId="70CA5C41">
      <w:pPr>
        <w:pStyle w:val="29"/>
        <w:spacing w:line="600" w:lineRule="atLeast"/>
        <w:ind w:firstLine="640"/>
        <w:rPr>
          <w:rFonts w:hint="eastAsia" w:ascii="Times New Roman" w:hAnsi="Times New Roman" w:cs="Times New Roman"/>
          <w:szCs w:val="32"/>
          <w:highlight w:val="none"/>
        </w:rPr>
      </w:pPr>
      <w:r>
        <w:rPr>
          <w:rFonts w:hint="eastAsia" w:ascii="Times New Roman" w:hAnsi="Times New Roman" w:cs="Times New Roman"/>
          <w:szCs w:val="32"/>
          <w:highlight w:val="none"/>
        </w:rPr>
        <w:t>落实县</w:t>
      </w:r>
      <w:r>
        <w:rPr>
          <w:rFonts w:hint="eastAsia" w:cs="Times New Roman"/>
          <w:szCs w:val="32"/>
          <w:highlight w:val="none"/>
          <w:lang w:val="en-US" w:eastAsia="zh-CN"/>
        </w:rPr>
        <w:t>级</w:t>
      </w:r>
      <w:r>
        <w:rPr>
          <w:rFonts w:hint="eastAsia" w:ascii="Times New Roman" w:hAnsi="Times New Roman" w:cs="Times New Roman"/>
          <w:szCs w:val="32"/>
          <w:highlight w:val="none"/>
        </w:rPr>
        <w:t>总规确定的生态修复整治目标任务，主要内容、重点区域及整治对策和措施，并进行空间落位。遵循山水林田湖草沙是一个生命共同体的理念，以系统思维考量，以整体观念推进，强化系统思维和底线思维，综合考虑自然生态的系统性、完整性，以山体山脉、河湖流域、湿地等相对完整的自然单元为基础，推进山水林田湖草沙系统修复治理，围绕“生态安全”协同推进经济发展和环境污染防治、生态系统保护，筑牢生态安全屏障。</w:t>
      </w:r>
    </w:p>
    <w:p w14:paraId="1E422F5D">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生态修复原则</w:t>
      </w:r>
    </w:p>
    <w:p w14:paraId="6C1FBF1A">
      <w:pPr>
        <w:pStyle w:val="29"/>
        <w:spacing w:line="600" w:lineRule="atLeast"/>
        <w:ind w:firstLine="640"/>
        <w:rPr>
          <w:szCs w:val="32"/>
        </w:rPr>
      </w:pPr>
      <w:r>
        <w:rPr>
          <w:szCs w:val="32"/>
        </w:rPr>
        <w:t>以各类自然保护地、重要生态功能区、生态敏感区、生态脆弱区等为目标单元</w:t>
      </w:r>
      <w:r>
        <w:rPr>
          <w:rFonts w:hint="eastAsia"/>
          <w:szCs w:val="32"/>
          <w:lang w:eastAsia="zh-CN"/>
        </w:rPr>
        <w:t>，</w:t>
      </w:r>
      <w:r>
        <w:rPr>
          <w:szCs w:val="32"/>
        </w:rPr>
        <w:t>对破碎化严重、功能退化的生态系统进行修复和综合整治。因地制宜，合理恢复。林地、湿地等生态要素空间面积萎缩、质量下降是</w:t>
      </w:r>
      <w:r>
        <w:rPr>
          <w:rFonts w:hint="eastAsia"/>
          <w:szCs w:val="32"/>
        </w:rPr>
        <w:t>江川农场</w:t>
      </w:r>
      <w:r>
        <w:rPr>
          <w:szCs w:val="32"/>
        </w:rPr>
        <w:t>多样化生态文明县建设的重要阻碍，也是没有很好</w:t>
      </w:r>
      <w:r>
        <w:rPr>
          <w:rFonts w:hint="eastAsia"/>
          <w:szCs w:val="32"/>
          <w:lang w:eastAsia="zh-CN"/>
        </w:rPr>
        <w:t>地</w:t>
      </w:r>
      <w:r>
        <w:rPr>
          <w:szCs w:val="32"/>
        </w:rPr>
        <w:t>实现人与环境和谐发展的表现。在生态保护和恢复措施中，必须充分考虑林地、湿地生态系统的环境承载力的问题，因地制宜</w:t>
      </w:r>
      <w:r>
        <w:rPr>
          <w:rFonts w:hint="eastAsia"/>
          <w:szCs w:val="32"/>
        </w:rPr>
        <w:t>“</w:t>
      </w:r>
      <w:r>
        <w:rPr>
          <w:szCs w:val="32"/>
        </w:rPr>
        <w:t>宜林则林、宜湿则湿</w:t>
      </w:r>
      <w:r>
        <w:rPr>
          <w:rFonts w:hint="eastAsia"/>
          <w:szCs w:val="32"/>
        </w:rPr>
        <w:t>”</w:t>
      </w:r>
      <w:r>
        <w:rPr>
          <w:szCs w:val="32"/>
        </w:rPr>
        <w:t>。</w:t>
      </w:r>
    </w:p>
    <w:p w14:paraId="18F32AC1">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生态修复措施</w:t>
      </w:r>
    </w:p>
    <w:p w14:paraId="43BBED94">
      <w:pPr>
        <w:widowControl/>
        <w:spacing w:line="600" w:lineRule="atLeast"/>
        <w:ind w:firstLine="640" w:firstLineChars="200"/>
        <w:rPr>
          <w:rFonts w:ascii="Times New Roman" w:hAnsi="Times New Roman" w:cs="Times New Roman"/>
          <w:szCs w:val="32"/>
        </w:rPr>
      </w:pPr>
      <w:r>
        <w:rPr>
          <w:rFonts w:ascii="Times New Roman" w:hAnsi="Times New Roman" w:eastAsia="楷体" w:cs="Times New Roman"/>
        </w:rPr>
        <w:t>自然恢复为主，人工恢复为辅。</w:t>
      </w:r>
      <w:r>
        <w:rPr>
          <w:rFonts w:ascii="Times New Roman" w:hAnsi="Times New Roman" w:cs="Times New Roman"/>
          <w:szCs w:val="32"/>
        </w:rPr>
        <w:t>根据生态系统退化、受损程度和恢复力，合理选择保育保护、自然恢复、辅助再生和生态重建等措施，恢复生态系统结构和功能，增强生态系统稳定性和生态供给能力。</w:t>
      </w:r>
    </w:p>
    <w:p w14:paraId="1B961AD6">
      <w:pPr>
        <w:pStyle w:val="29"/>
        <w:spacing w:line="600" w:lineRule="atLeast"/>
        <w:ind w:firstLine="640"/>
        <w:rPr>
          <w:szCs w:val="32"/>
        </w:rPr>
      </w:pPr>
      <w:r>
        <w:rPr>
          <w:szCs w:val="32"/>
        </w:rPr>
        <w:t>按照总体规划、整体设计、分期部署、分段实施的思路，科学确定生态保护修复目标、合理布局和项目安排，协同推进山上山下、地上地下、岸上岸下、流域上下游山水林田湖草沙一体化保护和修复、增强保护修复效果。</w:t>
      </w:r>
    </w:p>
    <w:p w14:paraId="689055F0">
      <w:pPr>
        <w:widowControl/>
        <w:spacing w:line="600" w:lineRule="atLeast"/>
        <w:ind w:firstLine="640" w:firstLineChars="200"/>
        <w:rPr>
          <w:rFonts w:ascii="Times New Roman" w:hAnsi="Times New Roman" w:cs="Times New Roman"/>
          <w:szCs w:val="32"/>
        </w:rPr>
      </w:pPr>
      <w:r>
        <w:rPr>
          <w:rFonts w:ascii="Times New Roman" w:hAnsi="Times New Roman" w:eastAsia="楷体" w:cs="Times New Roman"/>
        </w:rPr>
        <w:t>生态修复应以预防为主，融入</w:t>
      </w:r>
      <w:r>
        <w:rPr>
          <w:rFonts w:hint="eastAsia" w:ascii="Times New Roman" w:hAnsi="Times New Roman" w:eastAsia="楷体" w:cs="Times New Roman"/>
        </w:rPr>
        <w:t>“</w:t>
      </w:r>
      <w:r>
        <w:rPr>
          <w:rFonts w:ascii="Times New Roman" w:hAnsi="Times New Roman" w:eastAsia="楷体" w:cs="Times New Roman"/>
        </w:rPr>
        <w:t>山水林田湖草沙</w:t>
      </w:r>
      <w:r>
        <w:rPr>
          <w:rFonts w:hint="eastAsia" w:ascii="Times New Roman" w:hAnsi="Times New Roman" w:eastAsia="楷体" w:cs="Times New Roman"/>
        </w:rPr>
        <w:t>”</w:t>
      </w:r>
      <w:r>
        <w:rPr>
          <w:rFonts w:ascii="Times New Roman" w:hAnsi="Times New Roman" w:eastAsia="楷体" w:cs="Times New Roman"/>
        </w:rPr>
        <w:t>生命共同体理念。</w:t>
      </w:r>
      <w:r>
        <w:rPr>
          <w:rFonts w:ascii="Times New Roman" w:hAnsi="Times New Roman" w:cs="Times New Roman"/>
          <w:szCs w:val="32"/>
        </w:rPr>
        <w:t>通过统筹考虑山、水、林、田、湖、草、沙要素以及各类重要生态系统的空间分布规律，识别生态环境脆弱区及生态系统退化区域空间分布，分阶段科学确定生态修复目标。</w:t>
      </w:r>
    </w:p>
    <w:p w14:paraId="1363BD2E">
      <w:pPr>
        <w:pStyle w:val="31"/>
        <w:spacing w:before="156" w:beforeLines="50" w:after="156" w:afterLines="50" w:line="600" w:lineRule="atLeast"/>
        <w:ind w:left="1002" w:hanging="1002"/>
        <w:rPr>
          <w:rFonts w:ascii="Times New Roman" w:hAnsi="Times New Roman" w:cs="Times New Roman"/>
          <w:highlight w:val="none"/>
        </w:rPr>
      </w:pPr>
      <w:bookmarkStart w:id="147" w:name="_Toc25679"/>
      <w:r>
        <w:rPr>
          <w:rFonts w:ascii="Times New Roman" w:hAnsi="Times New Roman" w:cs="Times New Roman"/>
          <w:highlight w:val="none"/>
        </w:rPr>
        <w:t>第</w:t>
      </w:r>
      <w:r>
        <w:rPr>
          <w:rFonts w:hint="eastAsia" w:ascii="Times New Roman" w:hAnsi="Times New Roman" w:cs="Times New Roman"/>
          <w:highlight w:val="none"/>
        </w:rPr>
        <w:t>二</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全域国土综合整治</w:t>
      </w:r>
      <w:bookmarkEnd w:id="144"/>
      <w:bookmarkEnd w:id="147"/>
    </w:p>
    <w:p w14:paraId="745D521E">
      <w:pPr>
        <w:pStyle w:val="29"/>
        <w:spacing w:line="600" w:lineRule="atLeast"/>
        <w:ind w:firstLine="640"/>
        <w:rPr>
          <w:szCs w:val="32"/>
        </w:rPr>
      </w:pPr>
      <w:r>
        <w:rPr>
          <w:szCs w:val="32"/>
        </w:rPr>
        <w:t>坚持问题导向，聚焦问题突出的区域和要素，围绕水体污染和山体植被破坏等问题，系统开展生态修复工作，分析村居环境不佳和耕地碎片化、水土流失等问题，综合整治农业空间，识别城市违法建设、低效用地和棚户区等问题全面治理城镇空间。以实现生态空间网络化、生产空间集约化、生活空间宜居化为目标，保护自然资源，系统推进整治修复工作，筑牢边境粮食、生态、国土安全三大屏障。</w:t>
      </w:r>
    </w:p>
    <w:p w14:paraId="3B2442E2">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确定农用地综合整治目标</w:t>
      </w:r>
    </w:p>
    <w:p w14:paraId="7926A6D9">
      <w:pPr>
        <w:spacing w:line="600" w:lineRule="atLeast"/>
        <w:ind w:firstLine="640" w:firstLineChars="200"/>
        <w:rPr>
          <w:rFonts w:ascii="Times New Roman" w:hAnsi="Times New Roman" w:cs="Times New Roman"/>
          <w:szCs w:val="32"/>
        </w:rPr>
      </w:pPr>
      <w:r>
        <w:rPr>
          <w:rFonts w:ascii="Times New Roman" w:hAnsi="Times New Roman" w:eastAsia="楷体" w:cs="Times New Roman"/>
        </w:rPr>
        <w:t>以保证粮食安全为重点目标。</w:t>
      </w:r>
      <w:r>
        <w:rPr>
          <w:rFonts w:ascii="Times New Roman" w:hAnsi="Times New Roman" w:cs="Times New Roman"/>
          <w:szCs w:val="32"/>
        </w:rPr>
        <w:t>一是采用合理工程措施调整土地利用的结构，增加耕地的数量，如耕地后备资源的开发等。二是通过实施旱改水措施、建设高标准农田等措施来提高耕地质量。</w:t>
      </w:r>
    </w:p>
    <w:p w14:paraId="5ADBCF5D">
      <w:pPr>
        <w:pStyle w:val="29"/>
        <w:spacing w:line="600" w:lineRule="atLeast"/>
        <w:ind w:firstLine="640"/>
        <w:rPr>
          <w:szCs w:val="32"/>
        </w:rPr>
      </w:pPr>
      <w:r>
        <w:rPr>
          <w:rFonts w:eastAsia="楷体"/>
        </w:rPr>
        <w:t>以耕地保有量、永久基本农田规模、高标准农田建设规模作为农用地综合整治的重要约束性指标。</w:t>
      </w:r>
      <w:r>
        <w:rPr>
          <w:szCs w:val="32"/>
        </w:rPr>
        <w:t>耕地质量提高程度、补偿耕地总量作为立项基础。突出永久基本农田保护的</w:t>
      </w:r>
      <w:r>
        <w:rPr>
          <w:rFonts w:hint="eastAsia"/>
          <w:szCs w:val="32"/>
        </w:rPr>
        <w:t>“</w:t>
      </w:r>
      <w:r>
        <w:rPr>
          <w:szCs w:val="32"/>
        </w:rPr>
        <w:t>底线</w:t>
      </w:r>
      <w:r>
        <w:rPr>
          <w:rFonts w:hint="eastAsia"/>
          <w:szCs w:val="32"/>
        </w:rPr>
        <w:t>”</w:t>
      </w:r>
      <w:r>
        <w:rPr>
          <w:szCs w:val="32"/>
        </w:rPr>
        <w:t>和对</w:t>
      </w:r>
      <w:r>
        <w:rPr>
          <w:rFonts w:hint="eastAsia"/>
          <w:szCs w:val="32"/>
        </w:rPr>
        <w:t>“</w:t>
      </w:r>
      <w:r>
        <w:rPr>
          <w:szCs w:val="32"/>
        </w:rPr>
        <w:t>藏粮于地，高标准建设、高标准管护、高标准利用</w:t>
      </w:r>
      <w:r>
        <w:rPr>
          <w:rFonts w:hint="eastAsia"/>
          <w:szCs w:val="32"/>
        </w:rPr>
        <w:t>”</w:t>
      </w:r>
      <w:r>
        <w:rPr>
          <w:szCs w:val="32"/>
        </w:rPr>
        <w:t>要求的落实。</w:t>
      </w:r>
    </w:p>
    <w:p w14:paraId="3DAEF86E">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农用地综合整治规划</w:t>
      </w:r>
    </w:p>
    <w:p w14:paraId="7C7D5F09">
      <w:pPr>
        <w:widowControl/>
        <w:spacing w:line="600" w:lineRule="atLeast"/>
        <w:ind w:firstLine="640" w:firstLineChars="200"/>
        <w:rPr>
          <w:rFonts w:ascii="Times New Roman" w:hAnsi="Times New Roman" w:eastAsia="楷体" w:cs="Times New Roman"/>
        </w:rPr>
      </w:pPr>
      <w:r>
        <w:rPr>
          <w:rFonts w:ascii="Times New Roman" w:hAnsi="Times New Roman" w:eastAsia="楷体" w:cs="Times New Roman"/>
        </w:rPr>
        <w:t>1.明确农用地整治任务</w:t>
      </w:r>
    </w:p>
    <w:p w14:paraId="70B3DC9E">
      <w:pPr>
        <w:spacing w:line="600" w:lineRule="atLeast"/>
        <w:ind w:firstLine="640" w:firstLineChars="200"/>
        <w:rPr>
          <w:rFonts w:ascii="Times New Roman" w:hAnsi="Times New Roman" w:cs="Times New Roman"/>
          <w:szCs w:val="32"/>
        </w:rPr>
      </w:pPr>
      <w:r>
        <w:rPr>
          <w:rFonts w:ascii="Times New Roman" w:hAnsi="Times New Roman" w:cs="Times New Roman"/>
          <w:szCs w:val="32"/>
        </w:rPr>
        <w:t>寻找耕地量、质双向提高的突破点，寻找适宜的农用地综合整治重点区域，优化区域整治发展布局安排。</w:t>
      </w:r>
    </w:p>
    <w:p w14:paraId="3F239F72">
      <w:pPr>
        <w:spacing w:line="600" w:lineRule="atLeast"/>
        <w:ind w:firstLine="640" w:firstLineChars="200"/>
        <w:rPr>
          <w:rFonts w:ascii="Times New Roman" w:hAnsi="Times New Roman" w:cs="Times New Roman"/>
          <w:szCs w:val="32"/>
        </w:rPr>
      </w:pPr>
      <w:r>
        <w:rPr>
          <w:rFonts w:ascii="Times New Roman" w:hAnsi="Times New Roman" w:cs="Times New Roman"/>
          <w:szCs w:val="32"/>
        </w:rPr>
        <w:t>加强高标准基本农田建设，夯实农田基础设施。通过田、水、路、林、村的综合整治，开展国土综合整治项目、高标准农田建设项目等，做好耕地保护与质量提升。</w:t>
      </w:r>
    </w:p>
    <w:p w14:paraId="54A8B09B">
      <w:pPr>
        <w:spacing w:line="600" w:lineRule="atLeast"/>
        <w:ind w:firstLine="640" w:firstLineChars="200"/>
        <w:rPr>
          <w:rFonts w:ascii="Times New Roman" w:hAnsi="Times New Roman" w:cs="Times New Roman"/>
          <w:szCs w:val="32"/>
        </w:rPr>
      </w:pPr>
      <w:r>
        <w:rPr>
          <w:rFonts w:ascii="Times New Roman" w:hAnsi="Times New Roman" w:cs="Times New Roman"/>
          <w:szCs w:val="32"/>
        </w:rPr>
        <w:t>推进农用地整理，增加有效耕地面积，适度开发宜耕后备资源，增强粮食安全保障能力。</w:t>
      </w:r>
    </w:p>
    <w:p w14:paraId="668BFC21">
      <w:pPr>
        <w:widowControl/>
        <w:spacing w:line="600" w:lineRule="atLeast"/>
        <w:ind w:firstLine="640" w:firstLineChars="200"/>
        <w:rPr>
          <w:rFonts w:ascii="Times New Roman" w:hAnsi="Times New Roman" w:eastAsia="楷体" w:cs="Times New Roman"/>
        </w:rPr>
      </w:pPr>
      <w:r>
        <w:rPr>
          <w:rFonts w:ascii="Times New Roman" w:hAnsi="Times New Roman" w:eastAsia="楷体" w:cs="Times New Roman"/>
        </w:rPr>
        <w:t>2.探索推进其他农用地整治建设</w:t>
      </w:r>
    </w:p>
    <w:p w14:paraId="23546551">
      <w:pPr>
        <w:spacing w:line="600" w:lineRule="atLeast"/>
        <w:ind w:firstLine="640" w:firstLineChars="200"/>
        <w:rPr>
          <w:rFonts w:ascii="Times New Roman" w:hAnsi="Times New Roman" w:cs="Times New Roman"/>
          <w:szCs w:val="32"/>
        </w:rPr>
      </w:pPr>
      <w:r>
        <w:rPr>
          <w:rFonts w:ascii="Times New Roman" w:hAnsi="Times New Roman" w:cs="Times New Roman"/>
          <w:szCs w:val="32"/>
        </w:rPr>
        <w:t>科学合理引导</w:t>
      </w:r>
      <w:r>
        <w:rPr>
          <w:rFonts w:hint="eastAsia" w:ascii="Times New Roman" w:hAnsi="Times New Roman" w:cs="Times New Roman"/>
          <w:szCs w:val="32"/>
        </w:rPr>
        <w:t>场域</w:t>
      </w:r>
      <w:r>
        <w:rPr>
          <w:rFonts w:ascii="Times New Roman" w:hAnsi="Times New Roman" w:cs="Times New Roman"/>
          <w:szCs w:val="32"/>
        </w:rPr>
        <w:t>农业产业结构调整。</w:t>
      </w:r>
      <w:r>
        <w:rPr>
          <w:rFonts w:hint="eastAsia" w:ascii="Times New Roman" w:hAnsi="Times New Roman" w:cs="Times New Roman"/>
          <w:szCs w:val="32"/>
        </w:rPr>
        <w:t>江川农场</w:t>
      </w:r>
      <w:r>
        <w:rPr>
          <w:rFonts w:ascii="Times New Roman" w:hAnsi="Times New Roman" w:cs="Times New Roman"/>
          <w:szCs w:val="32"/>
        </w:rPr>
        <w:t>南部坡度变化较大的地区及冲沟发育地区应重点发展园地产业，积极开展中低产园地整理，完善配套基础设施，促进园地集约利用、改善生态，发展特色品种，提高园地生态经济综合效益。</w:t>
      </w:r>
    </w:p>
    <w:p w14:paraId="77BF9A68">
      <w:pPr>
        <w:widowControl/>
        <w:spacing w:line="600" w:lineRule="atLeast"/>
        <w:ind w:firstLine="640" w:firstLineChars="200"/>
        <w:rPr>
          <w:rFonts w:ascii="Times New Roman" w:hAnsi="Times New Roman" w:eastAsia="楷体" w:cs="Times New Roman"/>
        </w:rPr>
      </w:pPr>
      <w:r>
        <w:rPr>
          <w:rFonts w:ascii="Times New Roman" w:hAnsi="Times New Roman" w:eastAsia="楷体" w:cs="Times New Roman"/>
        </w:rPr>
        <w:t>3.结合地质灾害分区开展农用地整治</w:t>
      </w:r>
    </w:p>
    <w:p w14:paraId="0C937AA6">
      <w:pPr>
        <w:spacing w:line="600" w:lineRule="atLeast"/>
        <w:ind w:firstLine="640" w:firstLineChars="200"/>
        <w:rPr>
          <w:rFonts w:ascii="Times New Roman" w:hAnsi="Times New Roman" w:cs="Times New Roman"/>
          <w:szCs w:val="32"/>
        </w:rPr>
      </w:pPr>
      <w:r>
        <w:rPr>
          <w:rFonts w:ascii="Times New Roman" w:hAnsi="Times New Roman" w:cs="Times New Roman"/>
          <w:szCs w:val="32"/>
        </w:rPr>
        <w:t>在</w:t>
      </w:r>
      <w:r>
        <w:rPr>
          <w:rFonts w:hint="eastAsia" w:ascii="Times New Roman" w:hAnsi="Times New Roman" w:cs="Times New Roman"/>
          <w:szCs w:val="32"/>
        </w:rPr>
        <w:t>桦川县</w:t>
      </w:r>
      <w:r>
        <w:rPr>
          <w:rFonts w:ascii="Times New Roman" w:hAnsi="Times New Roman" w:cs="Times New Roman"/>
          <w:szCs w:val="32"/>
        </w:rPr>
        <w:t>存在地质灾害中危险区、高危险区、极高危险区三个类型的地质灾害危险区域，在这三种等级的地质灾害危险区当中的农用地整治重点区应根据地质灾害危险类型、灾害发生频率及危害程度安排相应的地质灾害预防、治理措施。</w:t>
      </w:r>
    </w:p>
    <w:p w14:paraId="10D4F751">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确定建设用地整治目标</w:t>
      </w:r>
    </w:p>
    <w:p w14:paraId="55209D11">
      <w:pPr>
        <w:spacing w:line="600" w:lineRule="atLeast"/>
        <w:ind w:firstLine="640" w:firstLineChars="200"/>
        <w:rPr>
          <w:rFonts w:ascii="Times New Roman" w:hAnsi="Times New Roman" w:cs="Times New Roman"/>
          <w:szCs w:val="32"/>
        </w:rPr>
      </w:pPr>
      <w:r>
        <w:rPr>
          <w:rFonts w:ascii="Times New Roman" w:hAnsi="Times New Roman" w:eastAsia="楷体" w:cs="Times New Roman"/>
        </w:rPr>
        <w:t>农村建设用地整治以提升农村人居环境、改善生活品质为目标，优化</w:t>
      </w:r>
      <w:r>
        <w:rPr>
          <w:rFonts w:hint="eastAsia" w:ascii="Times New Roman" w:hAnsi="Times New Roman" w:eastAsia="楷体" w:cs="Times New Roman"/>
          <w:lang w:eastAsia="zh-CN"/>
        </w:rPr>
        <w:t>作业站</w:t>
      </w:r>
      <w:r>
        <w:rPr>
          <w:rFonts w:ascii="Times New Roman" w:hAnsi="Times New Roman" w:eastAsia="楷体" w:cs="Times New Roman"/>
        </w:rPr>
        <w:t>布局，扎实推进社会主义新农村建设</w:t>
      </w:r>
      <w:r>
        <w:rPr>
          <w:rFonts w:ascii="Times New Roman" w:hAnsi="Times New Roman" w:cs="Times New Roman"/>
        </w:rPr>
        <w:t>。</w:t>
      </w:r>
      <w:r>
        <w:rPr>
          <w:rFonts w:ascii="Times New Roman" w:hAnsi="Times New Roman" w:cs="Times New Roman"/>
          <w:szCs w:val="32"/>
        </w:rPr>
        <w:t>重视</w:t>
      </w:r>
      <w:r>
        <w:rPr>
          <w:rFonts w:hint="eastAsia" w:ascii="Times New Roman" w:hAnsi="Times New Roman" w:cs="Times New Roman"/>
          <w:szCs w:val="32"/>
          <w:lang w:eastAsia="zh-CN"/>
        </w:rPr>
        <w:t>作业站</w:t>
      </w:r>
      <w:r>
        <w:rPr>
          <w:rFonts w:ascii="Times New Roman" w:hAnsi="Times New Roman" w:cs="Times New Roman"/>
          <w:szCs w:val="32"/>
        </w:rPr>
        <w:t>绿化整治，改善农村居住环境，加强道路的绿化建设，有效提高生态用地规模；重点改善村居环境和耕地碎片化状态，实施田水路林村全域土地综合整治，整治</w:t>
      </w:r>
      <w:r>
        <w:rPr>
          <w:rFonts w:hint="eastAsia" w:ascii="Times New Roman" w:hAnsi="Times New Roman" w:cs="Times New Roman"/>
          <w:szCs w:val="32"/>
          <w:lang w:eastAsia="zh-CN"/>
        </w:rPr>
        <w:t>和</w:t>
      </w:r>
      <w:r>
        <w:rPr>
          <w:rFonts w:ascii="Times New Roman" w:hAnsi="Times New Roman" w:cs="Times New Roman"/>
          <w:szCs w:val="32"/>
        </w:rPr>
        <w:t>提升各类低效用地效率，保护自然人文景观；人居环境整治以排水、环卫等设施规划建设及</w:t>
      </w:r>
      <w:r>
        <w:rPr>
          <w:rFonts w:hint="eastAsia" w:ascii="Times New Roman" w:hAnsi="Times New Roman" w:cs="Times New Roman"/>
          <w:szCs w:val="32"/>
          <w:lang w:val="en-US" w:eastAsia="zh-CN"/>
        </w:rPr>
        <w:t>作业站</w:t>
      </w:r>
      <w:r>
        <w:rPr>
          <w:rFonts w:ascii="Times New Roman" w:hAnsi="Times New Roman" w:cs="Times New Roman"/>
          <w:szCs w:val="32"/>
        </w:rPr>
        <w:t>治危拆违等，推进美丽宜居乡村建设。</w:t>
      </w:r>
    </w:p>
    <w:p w14:paraId="5F366952">
      <w:pPr>
        <w:spacing w:line="600" w:lineRule="atLeast"/>
        <w:ind w:firstLine="640" w:firstLineChars="200"/>
        <w:rPr>
          <w:rFonts w:ascii="Times New Roman" w:hAnsi="Times New Roman" w:cs="Times New Roman"/>
          <w:szCs w:val="32"/>
        </w:rPr>
      </w:pPr>
      <w:r>
        <w:rPr>
          <w:rFonts w:ascii="Times New Roman" w:hAnsi="Times New Roman" w:eastAsia="楷体" w:cs="Times New Roman"/>
        </w:rPr>
        <w:t>城镇化区域建设用地整治以节约集约用地为原则。</w:t>
      </w:r>
      <w:r>
        <w:rPr>
          <w:rFonts w:ascii="Times New Roman" w:hAnsi="Times New Roman" w:cs="Times New Roman"/>
          <w:szCs w:val="32"/>
        </w:rPr>
        <w:t>以城乡结构优化、功能完善为目标。提升人居环境、公共管理与公共服务设施配套等，整合用地资源，提升土地利用率。定期实施城乡建设存量更新，明确重点区域、重点工程及项目。重点考虑盘活城乡闲散土地、低效城镇工业用地、老旧小区和城中村等存量低效用地。</w:t>
      </w:r>
    </w:p>
    <w:p w14:paraId="42D601E2">
      <w:pPr>
        <w:spacing w:line="600" w:lineRule="atLeast"/>
        <w:ind w:firstLine="640" w:firstLineChars="200"/>
        <w:rPr>
          <w:rFonts w:ascii="Times New Roman" w:hAnsi="Times New Roman" w:cs="Times New Roman"/>
          <w:szCs w:val="32"/>
          <w:highlight w:val="yellow"/>
        </w:rPr>
      </w:pPr>
    </w:p>
    <w:p w14:paraId="39533378">
      <w:pPr>
        <w:spacing w:line="600" w:lineRule="atLeast"/>
        <w:ind w:firstLine="640" w:firstLineChars="200"/>
        <w:rPr>
          <w:rFonts w:ascii="Times New Roman" w:hAnsi="Times New Roman" w:cs="Times New Roman"/>
          <w:szCs w:val="32"/>
          <w:highlight w:val="yellow"/>
        </w:rPr>
      </w:pPr>
    </w:p>
    <w:p w14:paraId="090D7C92">
      <w:pPr>
        <w:spacing w:line="600" w:lineRule="atLeast"/>
        <w:ind w:firstLine="640" w:firstLineChars="200"/>
        <w:rPr>
          <w:rFonts w:ascii="Times New Roman" w:hAnsi="Times New Roman" w:cs="Times New Roman"/>
          <w:szCs w:val="32"/>
          <w:highlight w:val="yellow"/>
        </w:rPr>
      </w:pPr>
    </w:p>
    <w:p w14:paraId="77D6F5F1">
      <w:pPr>
        <w:spacing w:line="600" w:lineRule="atLeast"/>
        <w:ind w:firstLine="640" w:firstLineChars="200"/>
        <w:rPr>
          <w:rFonts w:ascii="Times New Roman" w:hAnsi="Times New Roman" w:cs="Times New Roman"/>
          <w:szCs w:val="32"/>
          <w:highlight w:val="yellow"/>
        </w:rPr>
      </w:pPr>
    </w:p>
    <w:p w14:paraId="57909284">
      <w:pPr>
        <w:spacing w:line="600" w:lineRule="atLeast"/>
        <w:ind w:firstLine="640" w:firstLineChars="200"/>
        <w:rPr>
          <w:rFonts w:ascii="Times New Roman" w:hAnsi="Times New Roman" w:cs="Times New Roman"/>
          <w:szCs w:val="32"/>
          <w:highlight w:val="yellow"/>
        </w:rPr>
      </w:pPr>
    </w:p>
    <w:p w14:paraId="24A81B25">
      <w:pPr>
        <w:pStyle w:val="7"/>
        <w:rPr>
          <w:rFonts w:ascii="Times New Roman" w:hAnsi="Times New Roman" w:cs="Times New Roman"/>
          <w:szCs w:val="32"/>
          <w:highlight w:val="yellow"/>
        </w:rPr>
      </w:pPr>
    </w:p>
    <w:p w14:paraId="0F21CBF7">
      <w:pPr>
        <w:rPr>
          <w:rFonts w:ascii="Times New Roman" w:hAnsi="Times New Roman" w:cs="Times New Roman"/>
          <w:szCs w:val="32"/>
          <w:highlight w:val="yellow"/>
        </w:rPr>
      </w:pPr>
    </w:p>
    <w:p w14:paraId="2E5013D0">
      <w:pPr>
        <w:pStyle w:val="7"/>
      </w:pPr>
    </w:p>
    <w:p w14:paraId="3E4DDD44">
      <w:pPr>
        <w:spacing w:line="600" w:lineRule="atLeast"/>
        <w:ind w:firstLine="640" w:firstLineChars="200"/>
        <w:rPr>
          <w:rFonts w:ascii="Times New Roman" w:hAnsi="Times New Roman" w:cs="Times New Roman"/>
          <w:szCs w:val="32"/>
          <w:highlight w:val="yellow"/>
        </w:rPr>
      </w:pPr>
    </w:p>
    <w:p w14:paraId="7714A266">
      <w:pPr>
        <w:spacing w:line="600" w:lineRule="atLeast"/>
        <w:ind w:firstLine="640" w:firstLineChars="200"/>
        <w:rPr>
          <w:rFonts w:ascii="Times New Roman" w:hAnsi="Times New Roman" w:cs="Times New Roman"/>
          <w:szCs w:val="32"/>
          <w:highlight w:val="yellow"/>
        </w:rPr>
      </w:pPr>
    </w:p>
    <w:p w14:paraId="35B16F35">
      <w:pPr>
        <w:spacing w:line="600" w:lineRule="atLeast"/>
        <w:ind w:firstLine="640" w:firstLineChars="200"/>
        <w:rPr>
          <w:rFonts w:ascii="Times New Roman" w:hAnsi="Times New Roman" w:cs="Times New Roman"/>
          <w:szCs w:val="32"/>
          <w:highlight w:val="yellow"/>
        </w:rPr>
      </w:pPr>
    </w:p>
    <w:p w14:paraId="194108AE">
      <w:pPr>
        <w:spacing w:line="600" w:lineRule="atLeast"/>
        <w:ind w:firstLine="640" w:firstLineChars="200"/>
        <w:rPr>
          <w:rFonts w:ascii="Times New Roman" w:hAnsi="Times New Roman" w:cs="Times New Roman"/>
          <w:szCs w:val="32"/>
          <w:highlight w:val="yellow"/>
        </w:rPr>
      </w:pPr>
    </w:p>
    <w:p w14:paraId="3CB9999D">
      <w:pPr>
        <w:spacing w:line="600" w:lineRule="atLeast"/>
        <w:ind w:firstLine="640" w:firstLineChars="200"/>
        <w:rPr>
          <w:rFonts w:ascii="Times New Roman" w:hAnsi="Times New Roman" w:cs="Times New Roman"/>
          <w:szCs w:val="32"/>
          <w:highlight w:val="yellow"/>
        </w:rPr>
      </w:pPr>
    </w:p>
    <w:p w14:paraId="4EDC2FA0">
      <w:pPr>
        <w:spacing w:line="600" w:lineRule="atLeast"/>
        <w:ind w:firstLine="640" w:firstLineChars="200"/>
        <w:rPr>
          <w:rFonts w:ascii="Times New Roman" w:hAnsi="Times New Roman" w:cs="Times New Roman"/>
          <w:szCs w:val="32"/>
          <w:highlight w:val="yellow"/>
        </w:rPr>
      </w:pPr>
    </w:p>
    <w:p w14:paraId="7BB46A8E">
      <w:pPr>
        <w:spacing w:line="600" w:lineRule="atLeast"/>
        <w:ind w:firstLine="640" w:firstLineChars="200"/>
        <w:rPr>
          <w:rFonts w:ascii="Times New Roman" w:hAnsi="Times New Roman" w:cs="Times New Roman"/>
          <w:szCs w:val="32"/>
          <w:highlight w:val="yellow"/>
        </w:rPr>
      </w:pPr>
    </w:p>
    <w:p w14:paraId="7AFDD8F4">
      <w:pPr>
        <w:spacing w:line="600" w:lineRule="atLeast"/>
        <w:ind w:firstLine="640" w:firstLineChars="200"/>
        <w:rPr>
          <w:rFonts w:ascii="Times New Roman" w:hAnsi="Times New Roman" w:cs="Times New Roman"/>
          <w:szCs w:val="32"/>
          <w:highlight w:val="yellow"/>
        </w:rPr>
      </w:pPr>
    </w:p>
    <w:bookmarkEnd w:id="79"/>
    <w:p w14:paraId="3BB0FB63">
      <w:pPr>
        <w:pStyle w:val="2"/>
        <w:spacing w:before="156" w:beforeLines="50" w:after="156" w:afterLines="50" w:line="600" w:lineRule="atLeast"/>
        <w:rPr>
          <w:rFonts w:hint="eastAsia" w:ascii="Times New Roman" w:hAnsi="Times New Roman" w:eastAsia="方正小标宋简体" w:cs="Times New Roman"/>
          <w:kern w:val="2"/>
          <w:sz w:val="36"/>
          <w:szCs w:val="36"/>
          <w:lang w:val="en-US" w:eastAsia="zh-CN" w:bidi="ar-SA"/>
        </w:rPr>
      </w:pPr>
      <w:bookmarkStart w:id="148" w:name="_Toc5344"/>
      <w:bookmarkStart w:id="149" w:name="_Toc14976"/>
      <w:bookmarkStart w:id="150" w:name="_Toc18513"/>
      <w:bookmarkStart w:id="151" w:name="_Toc15909"/>
      <w:r>
        <w:rPr>
          <w:rFonts w:hint="eastAsia" w:ascii="Times New Roman" w:hAnsi="Times New Roman" w:eastAsia="方正小标宋简体" w:cs="Times New Roman"/>
          <w:kern w:val="2"/>
          <w:sz w:val="36"/>
          <w:szCs w:val="36"/>
          <w:lang w:val="en-US" w:eastAsia="zh-CN" w:bidi="ar-SA"/>
        </w:rPr>
        <w:t>第九章 规划传导与</w:t>
      </w:r>
      <w:bookmarkEnd w:id="148"/>
      <w:r>
        <w:rPr>
          <w:rFonts w:hint="eastAsia" w:ascii="Times New Roman" w:hAnsi="Times New Roman" w:eastAsia="方正小标宋简体" w:cs="Times New Roman"/>
          <w:kern w:val="2"/>
          <w:sz w:val="36"/>
          <w:szCs w:val="36"/>
          <w:lang w:val="en-US" w:eastAsia="zh-CN" w:bidi="ar-SA"/>
        </w:rPr>
        <w:t>实施</w:t>
      </w:r>
      <w:bookmarkEnd w:id="149"/>
      <w:bookmarkEnd w:id="150"/>
    </w:p>
    <w:p w14:paraId="0EDDC288">
      <w:pPr>
        <w:pStyle w:val="31"/>
        <w:spacing w:before="156" w:beforeLines="50" w:after="156" w:afterLines="50" w:line="600" w:lineRule="atLeast"/>
        <w:ind w:left="1002" w:hanging="1002"/>
        <w:rPr>
          <w:rFonts w:ascii="Times New Roman" w:hAnsi="Times New Roman" w:cs="Times New Roman"/>
          <w:highlight w:val="none"/>
        </w:rPr>
      </w:pPr>
      <w:bookmarkStart w:id="152" w:name="_Toc19801"/>
      <w:bookmarkStart w:id="153" w:name="_Toc15425"/>
      <w:bookmarkStart w:id="154" w:name="_Toc10668"/>
      <w:r>
        <w:rPr>
          <w:rFonts w:ascii="Times New Roman" w:hAnsi="Times New Roman" w:cs="Times New Roman"/>
          <w:highlight w:val="none"/>
        </w:rPr>
        <w:t>第一节 加强党的领导</w:t>
      </w:r>
      <w:bookmarkEnd w:id="152"/>
      <w:bookmarkEnd w:id="153"/>
      <w:bookmarkEnd w:id="154"/>
    </w:p>
    <w:p w14:paraId="434A0837">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强党的领导</w:t>
      </w:r>
    </w:p>
    <w:p w14:paraId="5A091084">
      <w:pPr>
        <w:pStyle w:val="9"/>
        <w:overflowPunct w:val="0"/>
        <w:ind w:firstLine="640" w:firstLineChars="200"/>
        <w:rPr>
          <w:rFonts w:ascii="仿宋_GB2312" w:hAnsi="仿宋_GB2312" w:eastAsia="仿宋_GB2312" w:cs="仿宋_GB2312"/>
          <w:sz w:val="32"/>
          <w:szCs w:val="32"/>
          <w:highlight w:val="none"/>
        </w:rPr>
      </w:pPr>
      <w:bookmarkStart w:id="155" w:name="_Hlk175297889"/>
      <w:r>
        <w:rPr>
          <w:rFonts w:hint="eastAsia" w:ascii="仿宋_GB2312" w:hAnsi="仿宋_GB2312" w:eastAsia="仿宋_GB2312" w:cs="仿宋_GB2312"/>
          <w:sz w:val="32"/>
          <w:szCs w:val="32"/>
          <w:highlight w:val="none"/>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p>
    <w:p w14:paraId="15CFE8FD">
      <w:pPr>
        <w:pStyle w:val="9"/>
        <w:overflowPunct w:val="0"/>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落实地方各级党委和政府国土空间规划管理主体责任。坚持“多规合一”，强化规划权威性、严肃性，规划一经批准，任何部门和个人不得随意修改、违规变更。</w:t>
      </w:r>
    </w:p>
    <w:p w14:paraId="54A1027C">
      <w:pPr>
        <w:pStyle w:val="9"/>
        <w:overflowPunct w:val="0"/>
        <w:ind w:firstLine="640" w:firstLineChars="200"/>
      </w:pPr>
      <w:r>
        <w:rPr>
          <w:rFonts w:hint="eastAsia" w:ascii="仿宋_GB2312" w:hAnsi="仿宋_GB2312" w:eastAsia="仿宋_GB2312" w:cs="仿宋_GB2312"/>
          <w:sz w:val="32"/>
          <w:szCs w:val="32"/>
          <w:highlight w:val="none"/>
        </w:rPr>
        <w:t>各有关部门应根据职责分工，制定本镇的国土空间规划。规划实施中的重大事项或重大调整，及时按程序向政府请示报告，确保国家、省、市重大决策部署贯彻落实到位。</w:t>
      </w:r>
      <w:bookmarkEnd w:id="155"/>
    </w:p>
    <w:p w14:paraId="0085BC32">
      <w:pPr>
        <w:pStyle w:val="31"/>
        <w:spacing w:before="156" w:beforeLines="50" w:after="156" w:afterLines="50" w:line="600" w:lineRule="atLeast"/>
        <w:ind w:left="1002" w:hanging="1002"/>
        <w:rPr>
          <w:rFonts w:ascii="Times New Roman" w:hAnsi="Times New Roman" w:cs="Times New Roman"/>
          <w:highlight w:val="none"/>
        </w:rPr>
      </w:pPr>
      <w:bookmarkStart w:id="156" w:name="_Toc1231"/>
      <w:bookmarkStart w:id="157" w:name="_Toc31333"/>
      <w:r>
        <w:rPr>
          <w:rFonts w:ascii="Times New Roman" w:hAnsi="Times New Roman" w:cs="Times New Roman"/>
          <w:highlight w:val="none"/>
        </w:rPr>
        <w:t>第</w:t>
      </w:r>
      <w:r>
        <w:rPr>
          <w:rFonts w:hint="eastAsia" w:ascii="Times New Roman" w:hAnsi="Times New Roman" w:cs="Times New Roman"/>
          <w:highlight w:val="none"/>
        </w:rPr>
        <w:t>二</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ascii="Times New Roman" w:hAnsi="Times New Roman" w:cs="Times New Roman"/>
          <w:highlight w:val="none"/>
        </w:rPr>
        <w:t>全域规划传导与管控</w:t>
      </w:r>
      <w:bookmarkEnd w:id="156"/>
      <w:bookmarkEnd w:id="157"/>
    </w:p>
    <w:p w14:paraId="4931E928">
      <w:pPr>
        <w:pStyle w:val="4"/>
        <w:numPr>
          <w:ilvl w:val="0"/>
          <w:numId w:val="1"/>
        </w:numPr>
        <w:spacing w:before="156" w:beforeLines="50" w:after="156" w:afterLines="50" w:line="600" w:lineRule="atLeast"/>
        <w:ind w:firstLine="0"/>
        <w:rPr>
          <w:rFonts w:hint="default"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划分详细规划编制单元</w:t>
      </w:r>
    </w:p>
    <w:p w14:paraId="42DF81A4">
      <w:pPr>
        <w:pStyle w:val="18"/>
        <w:numPr>
          <w:ilvl w:val="0"/>
          <w:numId w:val="8"/>
        </w:numPr>
        <w:spacing w:line="600" w:lineRule="exact"/>
        <w:ind w:firstLine="640" w:firstLineChars="200"/>
        <w:jc w:val="left"/>
        <w:rPr>
          <w:rFonts w:hint="eastAsia" w:ascii="Times New Roman" w:hAnsi="Times New Roman" w:eastAsia="仿宋_GB2312"/>
          <w:bCs w:val="0"/>
          <w:sz w:val="32"/>
          <w:szCs w:val="32"/>
          <w:highlight w:val="none"/>
          <w:lang w:val="en-US" w:eastAsia="zh-CN"/>
        </w:rPr>
      </w:pPr>
      <w:bookmarkStart w:id="158" w:name="_Toc8583"/>
      <w:r>
        <w:rPr>
          <w:rFonts w:hint="eastAsia" w:ascii="Times New Roman" w:hAnsi="Times New Roman" w:eastAsia="仿宋_GB2312"/>
          <w:bCs w:val="0"/>
          <w:sz w:val="32"/>
          <w:szCs w:val="32"/>
          <w:highlight w:val="none"/>
          <w:lang w:val="en-US" w:eastAsia="zh-CN"/>
        </w:rPr>
        <w:t>详细规划单元划分</w:t>
      </w:r>
    </w:p>
    <w:p w14:paraId="05E6A81E">
      <w:pPr>
        <w:pStyle w:val="18"/>
        <w:spacing w:line="600" w:lineRule="atLeast"/>
        <w:ind w:firstLine="640" w:firstLineChars="200"/>
        <w:jc w:val="both"/>
        <w:rPr>
          <w:rFonts w:ascii="Times New Roman" w:hAnsi="Times New Roman" w:eastAsia="仿宋_GB2312"/>
          <w:bCs w:val="0"/>
          <w:sz w:val="32"/>
          <w:szCs w:val="32"/>
        </w:rPr>
      </w:pPr>
      <w:r>
        <w:rPr>
          <w:rFonts w:ascii="Times New Roman" w:hAnsi="Times New Roman" w:eastAsia="仿宋_GB2312"/>
          <w:bCs w:val="0"/>
          <w:sz w:val="32"/>
          <w:szCs w:val="32"/>
        </w:rPr>
        <w:t>依据空间结构、规划分区、城市骨架路网和社区行政边界，结合规划用地布局划分，考虑功能完整性、边界稳定性和规模适宜度，编制单元面积控制在1—2平方公里左右。合理划定</w:t>
      </w:r>
      <w:r>
        <w:rPr>
          <w:rFonts w:hint="eastAsia" w:ascii="Times New Roman" w:hAnsi="Times New Roman" w:eastAsia="仿宋_GB2312"/>
          <w:bCs w:val="0"/>
          <w:sz w:val="32"/>
          <w:szCs w:val="32"/>
        </w:rPr>
        <w:t>江川农场</w:t>
      </w:r>
      <w:r>
        <w:rPr>
          <w:rFonts w:ascii="Times New Roman" w:hAnsi="Times New Roman" w:eastAsia="仿宋_GB2312"/>
          <w:bCs w:val="0"/>
          <w:sz w:val="32"/>
          <w:szCs w:val="32"/>
        </w:rPr>
        <w:t>详细规划编制单元</w:t>
      </w:r>
      <w:r>
        <w:rPr>
          <w:rFonts w:hint="eastAsia" w:ascii="Times New Roman" w:hAnsi="Times New Roman" w:eastAsia="仿宋_GB2312"/>
          <w:bCs w:val="0"/>
          <w:sz w:val="32"/>
          <w:szCs w:val="32"/>
        </w:rPr>
        <w:t>3</w:t>
      </w:r>
      <w:r>
        <w:rPr>
          <w:rFonts w:ascii="Times New Roman" w:hAnsi="Times New Roman" w:eastAsia="仿宋_GB2312"/>
          <w:bCs w:val="0"/>
          <w:sz w:val="32"/>
          <w:szCs w:val="32"/>
        </w:rPr>
        <w:t>个。</w:t>
      </w:r>
    </w:p>
    <w:p w14:paraId="59C19318">
      <w:pPr>
        <w:pStyle w:val="9"/>
        <w:overflowPunct w:val="0"/>
        <w:ind w:firstLine="640" w:firstLineChars="200"/>
        <w:rPr>
          <w:rFonts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2.</w:t>
      </w:r>
      <w:r>
        <w:rPr>
          <w:rFonts w:ascii="Times New Roman" w:hAnsi="Times New Roman" w:eastAsia="仿宋_GB2312"/>
          <w:sz w:val="32"/>
          <w:szCs w:val="32"/>
          <w:highlight w:val="none"/>
        </w:rPr>
        <w:t>管控要求</w:t>
      </w:r>
    </w:p>
    <w:p w14:paraId="220AEFA1">
      <w:pPr>
        <w:pStyle w:val="9"/>
        <w:overflowPunct w:val="0"/>
        <w:ind w:firstLine="640" w:firstLineChars="200"/>
        <w:rPr>
          <w:rFonts w:ascii="Times New Roman" w:hAnsi="Times New Roman" w:eastAsia="仿宋_GB2312"/>
          <w:sz w:val="32"/>
          <w:szCs w:val="32"/>
          <w:highlight w:val="none"/>
        </w:rPr>
      </w:pPr>
      <w:r>
        <w:rPr>
          <w:rFonts w:ascii="Times New Roman" w:hAnsi="Times New Roman" w:eastAsia="仿宋_GB2312"/>
          <w:sz w:val="32"/>
          <w:szCs w:val="32"/>
          <w:highlight w:val="none"/>
        </w:rPr>
        <w:t>城镇开发边界内各类建设活动严格实行用途管制，按照规划用途依法办理有关手续</w:t>
      </w:r>
      <w:r>
        <w:rPr>
          <w:rFonts w:hint="eastAsia" w:ascii="Times New Roman" w:hAnsi="Times New Roman" w:eastAsia="仿宋_GB2312"/>
          <w:sz w:val="32"/>
          <w:szCs w:val="32"/>
          <w:highlight w:val="none"/>
          <w:lang w:eastAsia="zh-CN"/>
        </w:rPr>
        <w:t>，</w:t>
      </w:r>
      <w:r>
        <w:rPr>
          <w:rFonts w:ascii="Times New Roman" w:hAnsi="Times New Roman" w:eastAsia="仿宋_GB2312"/>
          <w:sz w:val="32"/>
          <w:szCs w:val="32"/>
          <w:highlight w:val="none"/>
        </w:rPr>
        <w:t>并加强与城市蓝线、城市绿线、城市黄线、城市紫线</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主次干路的走向</w:t>
      </w:r>
      <w:r>
        <w:rPr>
          <w:rFonts w:ascii="Times New Roman" w:hAnsi="Times New Roman" w:eastAsia="仿宋_GB2312"/>
          <w:sz w:val="32"/>
          <w:szCs w:val="32"/>
          <w:highlight w:val="none"/>
        </w:rPr>
        <w:t>等协同管控。城镇开发边界内确定的涉及强制性内容的用地，禁止擅自改变用途，确需改变应按照规定的权限和程序先修改本规划。在符合本规划的前提下，其他用地已编制控制性详细规划且对用地兼容性作出规定的，应当按照控制性详细规划执行；控制性详细规划未作出规定或未编制控制性详细规划的，可以根据本规划及有关专项规划，并结合实际修编控制性详细规划或新编控制性详细规划进行用地兼容性规定。</w:t>
      </w:r>
    </w:p>
    <w:p w14:paraId="3342C72C">
      <w:pPr>
        <w:pStyle w:val="9"/>
        <w:overflowPunct w:val="0"/>
        <w:ind w:firstLine="640" w:firstLineChars="200"/>
        <w:rPr>
          <w:rFonts w:ascii="Times New Roman" w:hAnsi="Times New Roman" w:eastAsia="仿宋_GB2312"/>
          <w:sz w:val="32"/>
          <w:szCs w:val="32"/>
          <w:highlight w:val="none"/>
        </w:rPr>
      </w:pPr>
      <w:r>
        <w:rPr>
          <w:rFonts w:ascii="Times New Roman" w:hAnsi="Times New Roman" w:eastAsia="仿宋_GB2312"/>
          <w:color w:val="auto"/>
          <w:sz w:val="32"/>
          <w:szCs w:val="32"/>
          <w:highlight w:val="none"/>
        </w:rPr>
        <w:t>严格城镇开发边界外的空间准入，</w:t>
      </w:r>
      <w:r>
        <w:rPr>
          <w:rFonts w:ascii="Times New Roman" w:hAnsi="Times New Roman" w:eastAsia="仿宋_GB2312"/>
          <w:sz w:val="32"/>
          <w:szCs w:val="32"/>
          <w:highlight w:val="none"/>
        </w:rPr>
        <w:t>城镇开发边界外可以存在少量对选址有特殊要求的城镇建设用地，但不得进行城镇集中建设、不得设立各类开发区。</w:t>
      </w:r>
    </w:p>
    <w:p w14:paraId="5174E6C3">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城镇开发边界外管控</w:t>
      </w:r>
    </w:p>
    <w:p w14:paraId="743CBD4E">
      <w:pPr>
        <w:bidi w:val="0"/>
        <w:rPr>
          <w:rFonts w:hint="default"/>
          <w:lang w:val="en-US" w:eastAsia="zh-CN"/>
        </w:rPr>
      </w:pPr>
      <w:bookmarkStart w:id="159" w:name="_Hlk175298030"/>
      <w:bookmarkStart w:id="160" w:name="_Toc29862"/>
      <w:r>
        <w:rPr>
          <w:rFonts w:hint="eastAsia"/>
          <w:lang w:val="en-US" w:eastAsia="zh-CN"/>
        </w:rPr>
        <w:t>1.实用型村庄规划</w:t>
      </w:r>
    </w:p>
    <w:p w14:paraId="78629E31">
      <w:pPr>
        <w:bidi w:val="0"/>
        <w:rPr>
          <w:rFonts w:hint="default"/>
          <w:lang w:val="en-US" w:eastAsia="zh-CN"/>
        </w:rPr>
      </w:pPr>
      <w:r>
        <w:rPr>
          <w:rFonts w:hint="default"/>
          <w:lang w:val="en-US" w:eastAsia="zh-CN"/>
        </w:rPr>
        <w:t>科学确定村庄发展方向，在原有规模基础上有序推进改造提升；激活产业、优化环境、提振人气、增添活力；保护保留乡村风貌，建设宜居宜业的美丽村庄；城镇基础设施向乡村延伸、公共服务向乡村覆盖的中心节点，规划配置辐射一定范围乡村地区的、规模适度的管理、便民服务、教育、医疗、文体、农资服务、群众议事等功能建筑和活动场地，引导建设完善的道路、给排水、电力电信、环境卫生等配套设施。</w:t>
      </w:r>
    </w:p>
    <w:p w14:paraId="6E8EAA86">
      <w:pPr>
        <w:bidi w:val="0"/>
        <w:rPr>
          <w:rFonts w:hint="default"/>
          <w:lang w:val="en-US" w:eastAsia="zh-CN"/>
        </w:rPr>
      </w:pPr>
      <w:r>
        <w:rPr>
          <w:rFonts w:hint="default"/>
          <w:lang w:val="en-US" w:eastAsia="zh-CN"/>
        </w:rPr>
        <w:t>注重在原有村庄形态和肌理上适度集中集聚，注重节约土地，保护好乡村风貌；建设布局合理、道路顺畅、设施完善、环境宜居的康居村庄；按规划配置各类公共服务和公用设施，提高服务周边乡村地区的水平，提高居住环境品质，吸引一般村村民到中心村集中居住</w:t>
      </w:r>
      <w:bookmarkEnd w:id="159"/>
      <w:r>
        <w:rPr>
          <w:rFonts w:hint="default"/>
          <w:lang w:val="en-US" w:eastAsia="zh-CN"/>
        </w:rPr>
        <w:t>。</w:t>
      </w:r>
    </w:p>
    <w:p w14:paraId="2656D1B8">
      <w:pPr>
        <w:bidi w:val="0"/>
        <w:rPr>
          <w:rFonts w:hint="eastAsia"/>
          <w:lang w:val="en-US" w:eastAsia="zh-CN"/>
        </w:rPr>
      </w:pPr>
      <w:r>
        <w:rPr>
          <w:rFonts w:hint="eastAsia"/>
          <w:lang w:val="en-US" w:eastAsia="zh-CN"/>
        </w:rPr>
        <w:t>2.“通则式”规划管理</w:t>
      </w:r>
    </w:p>
    <w:p w14:paraId="0B00685A">
      <w:pPr>
        <w:bidi w:val="0"/>
        <w:rPr>
          <w:rFonts w:hint="default"/>
          <w:lang w:val="en-US" w:eastAsia="zh-CN"/>
        </w:rPr>
      </w:pPr>
      <w:r>
        <w:rPr>
          <w:rFonts w:hint="default"/>
          <w:lang w:val="en-US" w:eastAsia="zh-CN"/>
        </w:rPr>
        <w:t>对</w:t>
      </w:r>
      <w:r>
        <w:rPr>
          <w:rFonts w:hint="eastAsia"/>
          <w:lang w:val="en-US" w:eastAsia="zh-CN"/>
        </w:rPr>
        <w:t>于</w:t>
      </w:r>
      <w:r>
        <w:rPr>
          <w:rFonts w:hint="default"/>
          <w:lang w:val="en-US" w:eastAsia="zh-CN"/>
        </w:rPr>
        <w:t>没有需求、不具备条件暂不编制规划</w:t>
      </w:r>
      <w:r>
        <w:rPr>
          <w:rFonts w:hint="eastAsia"/>
          <w:lang w:val="en-US" w:eastAsia="zh-CN"/>
        </w:rPr>
        <w:t>的村庄，</w:t>
      </w:r>
      <w:r>
        <w:rPr>
          <w:rFonts w:hint="default"/>
          <w:lang w:val="en-US" w:eastAsia="zh-CN"/>
        </w:rPr>
        <w:t>结合</w:t>
      </w:r>
      <w:r>
        <w:rPr>
          <w:rFonts w:hint="eastAsia"/>
          <w:lang w:val="en-US" w:eastAsia="zh-CN"/>
        </w:rPr>
        <w:t>本</w:t>
      </w:r>
      <w:r>
        <w:rPr>
          <w:rFonts w:hint="default"/>
          <w:lang w:val="en-US" w:eastAsia="zh-CN"/>
        </w:rPr>
        <w:t>规划确定的</w:t>
      </w:r>
      <w:r>
        <w:rPr>
          <w:rFonts w:hint="eastAsia"/>
          <w:lang w:val="en-US" w:eastAsia="zh-CN"/>
        </w:rPr>
        <w:t>“</w:t>
      </w:r>
      <w:r>
        <w:rPr>
          <w:rFonts w:hint="default"/>
          <w:lang w:val="en-US" w:eastAsia="zh-CN"/>
        </w:rPr>
        <w:t>三区三线</w:t>
      </w:r>
      <w:r>
        <w:rPr>
          <w:rFonts w:hint="eastAsia"/>
          <w:lang w:val="en-US" w:eastAsia="zh-CN"/>
        </w:rPr>
        <w:t>”</w:t>
      </w:r>
      <w:r>
        <w:rPr>
          <w:rFonts w:hint="default"/>
          <w:lang w:val="en-US" w:eastAsia="zh-CN"/>
        </w:rPr>
        <w:t>、自然灾害风险防控线、历史文化保护线和风貌特色等控制引导要求，</w:t>
      </w:r>
      <w:r>
        <w:rPr>
          <w:rFonts w:hint="eastAsia"/>
          <w:lang w:val="en-US" w:eastAsia="zh-CN"/>
        </w:rPr>
        <w:t>及下一章</w:t>
      </w:r>
      <w:r>
        <w:rPr>
          <w:rFonts w:hint="default"/>
          <w:lang w:val="en-US" w:eastAsia="zh-CN"/>
        </w:rPr>
        <w:t>相关用途管制规则和建设管控要求，作为乡村规划建设管理依据，审批核发乡村建设规划许可。</w:t>
      </w:r>
    </w:p>
    <w:bookmarkEnd w:id="151"/>
    <w:bookmarkEnd w:id="158"/>
    <w:bookmarkEnd w:id="160"/>
    <w:p w14:paraId="3347A5E7">
      <w:pPr>
        <w:pStyle w:val="31"/>
        <w:spacing w:before="156" w:beforeLines="50" w:after="156" w:afterLines="50" w:line="600" w:lineRule="atLeast"/>
        <w:ind w:left="1002" w:hanging="1002"/>
        <w:rPr>
          <w:rFonts w:hint="eastAsia" w:ascii="Times New Roman" w:hAnsi="Times New Roman" w:cs="Times New Roman"/>
          <w:highlight w:val="none"/>
          <w:lang w:val="en-US" w:eastAsia="zh-CN"/>
        </w:rPr>
      </w:pPr>
      <w:bookmarkStart w:id="161" w:name="_Toc14677"/>
      <w:bookmarkStart w:id="162" w:name="_Toc15350"/>
      <w:bookmarkStart w:id="163" w:name="_Toc23120"/>
      <w:bookmarkStart w:id="164" w:name="_Toc818"/>
      <w:bookmarkStart w:id="165" w:name="_Toc135406835"/>
      <w:bookmarkStart w:id="166" w:name="_Toc28626"/>
      <w:bookmarkStart w:id="167" w:name="_Toc29017"/>
      <w:bookmarkStart w:id="168" w:name="_Toc18436"/>
      <w:bookmarkStart w:id="169" w:name="_Toc135402811"/>
      <w:bookmarkStart w:id="170" w:name="_Toc9745"/>
      <w:bookmarkStart w:id="171" w:name="_Toc22833"/>
      <w:bookmarkStart w:id="172" w:name="_Toc29376"/>
      <w:bookmarkStart w:id="173" w:name="_Toc7625"/>
      <w:bookmarkStart w:id="174" w:name="_Toc7619"/>
      <w:bookmarkStart w:id="175" w:name="_Toc2761"/>
      <w:bookmarkStart w:id="176" w:name="_Toc4881"/>
      <w:r>
        <w:rPr>
          <w:rFonts w:ascii="Times New Roman" w:hAnsi="Times New Roman" w:cs="Times New Roman"/>
          <w:highlight w:val="none"/>
        </w:rPr>
        <w:t>第</w:t>
      </w:r>
      <w:r>
        <w:rPr>
          <w:rFonts w:hint="eastAsia" w:ascii="Times New Roman" w:hAnsi="Times New Roman" w:cs="Times New Roman"/>
          <w:highlight w:val="none"/>
          <w:lang w:val="en-US" w:eastAsia="zh-CN"/>
        </w:rPr>
        <w:t>三</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建设国土空间规划“一张图</w:t>
      </w:r>
      <w:bookmarkEnd w:id="161"/>
      <w:bookmarkEnd w:id="162"/>
      <w:bookmarkEnd w:id="163"/>
      <w:bookmarkEnd w:id="164"/>
      <w:bookmarkEnd w:id="165"/>
      <w:bookmarkEnd w:id="166"/>
      <w:bookmarkEnd w:id="167"/>
      <w:bookmarkEnd w:id="168"/>
      <w:bookmarkEnd w:id="169"/>
      <w:bookmarkEnd w:id="170"/>
      <w:bookmarkEnd w:id="171"/>
      <w:bookmarkEnd w:id="172"/>
      <w:bookmarkEnd w:id="173"/>
      <w:r>
        <w:rPr>
          <w:rFonts w:hint="eastAsia" w:ascii="Times New Roman" w:hAnsi="Times New Roman" w:cs="Times New Roman"/>
          <w:highlight w:val="none"/>
          <w:lang w:val="en-US" w:eastAsia="zh-CN"/>
        </w:rPr>
        <w:t>”</w:t>
      </w:r>
      <w:bookmarkEnd w:id="174"/>
      <w:bookmarkEnd w:id="175"/>
      <w:bookmarkEnd w:id="176"/>
    </w:p>
    <w:p w14:paraId="7E902635">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落实完善国土空间基础信息平台任务</w:t>
      </w:r>
    </w:p>
    <w:p w14:paraId="09C131E6">
      <w:pPr>
        <w:bidi w:val="0"/>
        <w:rPr>
          <w:rFonts w:hint="eastAsia"/>
          <w:lang w:val="en-US" w:eastAsia="zh-CN"/>
        </w:rPr>
      </w:pPr>
      <w:r>
        <w:rPr>
          <w:rFonts w:hint="eastAsia"/>
          <w:lang w:val="en-US" w:eastAsia="zh-CN"/>
        </w:rPr>
        <w:t>悦来镇在推进国土空间规划编制中，应及时将批准的规划成果向上级平台入库，作为详细规划编制和审批的基础和依据。经核对和审批的详细规划成果由上级自然资源主管部门整合叠加后，形成以一张</w:t>
      </w:r>
      <w:r>
        <w:rPr>
          <w:rFonts w:hint="eastAsia"/>
          <w:highlight w:val="none"/>
          <w:lang w:val="en-US" w:eastAsia="zh-CN"/>
        </w:rPr>
        <w:t>底图</w:t>
      </w:r>
      <w:r>
        <w:rPr>
          <w:rFonts w:hint="eastAsia"/>
          <w:lang w:val="en-US" w:eastAsia="zh-CN"/>
        </w:rPr>
        <w:t>为基础，可层层叠加打开的国土空间规划“一张图”，为统一国土空间用途管制、实施建设项目规划许可、强化规划实施监督提供支撑。</w:t>
      </w:r>
    </w:p>
    <w:p w14:paraId="39B92A2E">
      <w:pPr>
        <w:pStyle w:val="31"/>
        <w:spacing w:before="156" w:beforeLines="50" w:after="156" w:afterLines="50" w:line="600" w:lineRule="atLeast"/>
        <w:ind w:left="1002" w:hanging="1002"/>
        <w:rPr>
          <w:rFonts w:hint="eastAsia" w:ascii="Times New Roman" w:hAnsi="Times New Roman" w:cs="Times New Roman"/>
          <w:highlight w:val="none"/>
          <w:lang w:val="en-US" w:eastAsia="zh-CN"/>
        </w:rPr>
      </w:pPr>
      <w:bookmarkStart w:id="177" w:name="_Toc25117"/>
      <w:bookmarkStart w:id="178" w:name="_Toc18697"/>
      <w:bookmarkStart w:id="179" w:name="_Toc15527"/>
      <w:bookmarkStart w:id="180" w:name="_Toc124710590"/>
      <w:bookmarkStart w:id="181" w:name="_Toc23808"/>
      <w:bookmarkStart w:id="182" w:name="_Toc14462"/>
      <w:bookmarkStart w:id="183" w:name="_Toc28069"/>
      <w:bookmarkStart w:id="184" w:name="_Toc25878"/>
      <w:bookmarkStart w:id="185" w:name="_Toc135406836"/>
      <w:bookmarkStart w:id="186" w:name="_Toc1440"/>
      <w:bookmarkStart w:id="187" w:name="_Toc5539"/>
      <w:bookmarkStart w:id="188" w:name="_Toc13982"/>
      <w:bookmarkStart w:id="189" w:name="_Toc135402812"/>
      <w:bookmarkStart w:id="190" w:name="_Toc21446"/>
      <w:bookmarkStart w:id="191" w:name="_Toc26710"/>
      <w:bookmarkStart w:id="192" w:name="_Toc18"/>
      <w:bookmarkStart w:id="193" w:name="_Toc11513"/>
      <w:r>
        <w:rPr>
          <w:rFonts w:ascii="Times New Roman" w:hAnsi="Times New Roman" w:cs="Times New Roman"/>
          <w:highlight w:val="none"/>
        </w:rPr>
        <w:t>第</w:t>
      </w:r>
      <w:r>
        <w:rPr>
          <w:rFonts w:hint="eastAsia" w:ascii="Times New Roman" w:hAnsi="Times New Roman" w:cs="Times New Roman"/>
          <w:highlight w:val="none"/>
          <w:lang w:val="en-US" w:eastAsia="zh-CN"/>
        </w:rPr>
        <w:t>四</w:t>
      </w:r>
      <w:r>
        <w:rPr>
          <w:rFonts w:ascii="Times New Roman" w:hAnsi="Times New Roman" w:cs="Times New Roman"/>
          <w:highlight w:val="none"/>
        </w:rPr>
        <w:t>节</w:t>
      </w:r>
      <w:r>
        <w:rPr>
          <w:rFonts w:hint="eastAsia" w:ascii="Times New Roman" w:hAnsi="Times New Roman" w:cs="Times New Roman"/>
          <w:highlight w:val="none"/>
        </w:rPr>
        <w:t xml:space="preserve"> </w:t>
      </w:r>
      <w:r>
        <w:rPr>
          <w:rFonts w:hint="eastAsia" w:ascii="Times New Roman" w:hAnsi="Times New Roman" w:cs="Times New Roman"/>
          <w:highlight w:val="none"/>
          <w:lang w:val="en-US" w:eastAsia="zh-CN"/>
        </w:rPr>
        <w:t>实施规划全生命周期管理</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14:paraId="2E68C1EF">
      <w:pPr>
        <w:pStyle w:val="4"/>
        <w:numPr>
          <w:ilvl w:val="0"/>
          <w:numId w:val="1"/>
        </w:numPr>
        <w:spacing w:before="156" w:beforeLines="50" w:after="156" w:afterLines="50" w:line="600" w:lineRule="atLeast"/>
        <w:ind w:firstLine="0"/>
        <w:rPr>
          <w:rFonts w:hint="eastAsia" w:ascii="Times New Roman" w:hAnsi="Times New Roman" w:eastAsia="楷体_GB2312" w:cs="Times New Roman"/>
          <w:b/>
          <w:bCs w:val="0"/>
          <w:highlight w:val="none"/>
          <w:lang w:val="en-US" w:eastAsia="zh-CN"/>
        </w:rPr>
      </w:pPr>
      <w:r>
        <w:rPr>
          <w:rFonts w:hint="eastAsia" w:ascii="Times New Roman" w:hAnsi="Times New Roman" w:eastAsia="楷体_GB2312" w:cs="Times New Roman"/>
          <w:b/>
          <w:bCs w:val="0"/>
          <w:highlight w:val="none"/>
          <w:lang w:val="en-US" w:eastAsia="zh-CN"/>
        </w:rPr>
        <w:t>建立规划动态评估调整机制</w:t>
      </w:r>
    </w:p>
    <w:p w14:paraId="557E95D9">
      <w:pPr>
        <w:bidi w:val="0"/>
        <w:rPr>
          <w:rFonts w:hint="default"/>
        </w:rPr>
      </w:pPr>
      <w:bookmarkStart w:id="194" w:name="_Toc20046"/>
      <w:bookmarkStart w:id="195" w:name="_Toc31724"/>
      <w:bookmarkStart w:id="196" w:name="_Toc9116"/>
      <w:bookmarkStart w:id="197" w:name="_Toc17616"/>
      <w:bookmarkStart w:id="198" w:name="_Toc30278"/>
      <w:bookmarkStart w:id="199" w:name="_Toc135402813"/>
      <w:bookmarkStart w:id="200" w:name="_Toc19705"/>
      <w:bookmarkStart w:id="201" w:name="_Toc28494"/>
      <w:bookmarkStart w:id="202" w:name="_Toc13969"/>
      <w:bookmarkStart w:id="203" w:name="_Toc1663"/>
      <w:bookmarkStart w:id="204" w:name="_Toc124710592"/>
      <w:bookmarkStart w:id="205" w:name="_Toc19194"/>
      <w:bookmarkStart w:id="206" w:name="_Toc135406837"/>
      <w:bookmarkStart w:id="207" w:name="_Toc17888"/>
      <w:bookmarkStart w:id="208" w:name="_Toc5373"/>
      <w:r>
        <w:rPr>
          <w:rFonts w:hint="default"/>
        </w:rPr>
        <w:t>建立健全“一年一体检、五年一评估”规划体检评估机制。利用国土空间规划“一张图”实施监督系统，实现对规划执行情况实时监测、预警和定期评估。将规划实施管理列入政府工作政绩考核内容，定期考核，做到有管理目标、管理制度、管理队伍、管理经费、运作机制、监督措施。</w:t>
      </w:r>
    </w:p>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14:paraId="75782A53">
      <w:pPr>
        <w:pStyle w:val="2"/>
        <w:pageBreakBefore/>
        <w:spacing w:before="156" w:beforeLines="50" w:after="156" w:afterLines="50" w:line="600" w:lineRule="exact"/>
        <w:rPr>
          <w:rFonts w:ascii="Times New Roman" w:hAnsi="Times New Roman" w:eastAsia="方正小标宋简体"/>
        </w:rPr>
      </w:pPr>
      <w:bookmarkStart w:id="209" w:name="_Toc26155"/>
      <w:r>
        <w:rPr>
          <w:rFonts w:ascii="Times New Roman" w:hAnsi="Times New Roman" w:eastAsia="方正小标宋简体"/>
        </w:rPr>
        <w:t>第</w:t>
      </w:r>
      <w:r>
        <w:rPr>
          <w:rFonts w:hint="eastAsia" w:ascii="Times New Roman" w:hAnsi="Times New Roman" w:eastAsia="方正小标宋简体"/>
          <w:lang w:val="en-US" w:eastAsia="zh-CN"/>
        </w:rPr>
        <w:t>十</w:t>
      </w:r>
      <w:r>
        <w:rPr>
          <w:rFonts w:ascii="Times New Roman" w:hAnsi="Times New Roman" w:eastAsia="方正小标宋简体"/>
        </w:rPr>
        <w:t>章</w:t>
      </w:r>
      <w:r>
        <w:rPr>
          <w:rFonts w:hint="eastAsia" w:ascii="Times New Roman" w:hAnsi="Times New Roman" w:eastAsia="方正小标宋简体"/>
        </w:rPr>
        <w:t xml:space="preserve"> 村庄“通则式”规划管理规定</w:t>
      </w:r>
      <w:bookmarkEnd w:id="209"/>
    </w:p>
    <w:p w14:paraId="743AD0D7">
      <w:pPr>
        <w:widowControl/>
        <w:ind w:firstLine="640" w:firstLineChars="200"/>
        <w:jc w:val="left"/>
        <w:rPr>
          <w:rFonts w:ascii="Times New Roman" w:hAnsi="Times New Roman" w:cs="Times New Roman"/>
          <w:szCs w:val="32"/>
        </w:rPr>
      </w:pPr>
      <w:r>
        <w:rPr>
          <w:rFonts w:ascii="Times New Roman" w:hAnsi="Times New Roman" w:cs="Times New Roman"/>
          <w:szCs w:val="32"/>
        </w:rPr>
        <w:t>村庄</w:t>
      </w:r>
      <w:r>
        <w:rPr>
          <w:rFonts w:hint="eastAsia" w:ascii="Times New Roman" w:hAnsi="Times New Roman" w:cs="Times New Roman"/>
          <w:szCs w:val="32"/>
        </w:rPr>
        <w:t>“</w:t>
      </w:r>
      <w:r>
        <w:rPr>
          <w:rFonts w:ascii="Times New Roman" w:hAnsi="Times New Roman" w:cs="Times New Roman"/>
          <w:szCs w:val="32"/>
        </w:rPr>
        <w:t>通则式</w:t>
      </w:r>
      <w:r>
        <w:rPr>
          <w:rFonts w:hint="eastAsia" w:ascii="Times New Roman" w:hAnsi="Times New Roman" w:cs="Times New Roman"/>
          <w:szCs w:val="32"/>
        </w:rPr>
        <w:t>”</w:t>
      </w:r>
      <w:r>
        <w:rPr>
          <w:rFonts w:ascii="Times New Roman" w:hAnsi="Times New Roman" w:cs="Times New Roman"/>
          <w:szCs w:val="32"/>
        </w:rPr>
        <w:t>规划管理规定适用于城镇开发边界外暂不编制村庄规划的村庄，村庄建设项目的规划管理</w:t>
      </w:r>
      <w:r>
        <w:rPr>
          <w:rFonts w:hint="eastAsia" w:ascii="Times New Roman" w:hAnsi="Times New Roman" w:cs="Times New Roman"/>
          <w:szCs w:val="32"/>
        </w:rPr>
        <w:t>，</w:t>
      </w:r>
      <w:r>
        <w:rPr>
          <w:rFonts w:ascii="Times New Roman" w:hAnsi="Times New Roman" w:cs="Times New Roman"/>
          <w:szCs w:val="32"/>
        </w:rPr>
        <w:t>主要包括宅</w:t>
      </w:r>
      <w:r>
        <w:rPr>
          <w:rFonts w:hint="eastAsia" w:ascii="Times New Roman" w:hAnsi="Times New Roman" w:cs="Times New Roman"/>
          <w:szCs w:val="32"/>
        </w:rPr>
        <w:t>基</w:t>
      </w:r>
      <w:r>
        <w:rPr>
          <w:rFonts w:ascii="Times New Roman" w:hAnsi="Times New Roman" w:cs="Times New Roman"/>
          <w:szCs w:val="32"/>
        </w:rPr>
        <w:t>地、</w:t>
      </w:r>
      <w:r>
        <w:rPr>
          <w:rFonts w:hint="eastAsia" w:ascii="Times New Roman" w:hAnsi="Times New Roman" w:cs="Times New Roman"/>
          <w:szCs w:val="32"/>
        </w:rPr>
        <w:t>公共服务</w:t>
      </w:r>
      <w:r>
        <w:rPr>
          <w:rFonts w:ascii="Times New Roman" w:hAnsi="Times New Roman" w:cs="Times New Roman"/>
          <w:szCs w:val="32"/>
        </w:rPr>
        <w:t>设施用地、乡村产业用地</w:t>
      </w:r>
      <w:r>
        <w:rPr>
          <w:rFonts w:hint="eastAsia" w:ascii="Times New Roman" w:hAnsi="Times New Roman" w:cs="Times New Roman"/>
          <w:szCs w:val="32"/>
        </w:rPr>
        <w:t>、基础设施用地</w:t>
      </w:r>
      <w:r>
        <w:rPr>
          <w:rFonts w:ascii="Times New Roman" w:hAnsi="Times New Roman" w:cs="Times New Roman"/>
          <w:szCs w:val="32"/>
        </w:rPr>
        <w:t>等各类项目的新建、改建、扩建。</w:t>
      </w:r>
      <w:r>
        <w:rPr>
          <w:rFonts w:hint="eastAsia" w:ascii="Times New Roman" w:hAnsi="Times New Roman" w:cs="Times New Roman"/>
          <w:szCs w:val="32"/>
        </w:rPr>
        <w:t>已编制并</w:t>
      </w:r>
      <w:r>
        <w:rPr>
          <w:rFonts w:ascii="Times New Roman" w:hAnsi="Times New Roman" w:cs="Times New Roman"/>
          <w:szCs w:val="32"/>
        </w:rPr>
        <w:t>依法批准详细规划（村庄规划）</w:t>
      </w:r>
      <w:r>
        <w:rPr>
          <w:rFonts w:hint="eastAsia" w:ascii="Times New Roman" w:hAnsi="Times New Roman" w:cs="Times New Roman"/>
          <w:szCs w:val="32"/>
        </w:rPr>
        <w:t>的，以</w:t>
      </w:r>
      <w:r>
        <w:rPr>
          <w:rFonts w:ascii="Times New Roman" w:hAnsi="Times New Roman" w:cs="Times New Roman"/>
          <w:szCs w:val="32"/>
        </w:rPr>
        <w:t>详细规划（村庄规划）</w:t>
      </w:r>
      <w:r>
        <w:rPr>
          <w:rFonts w:hint="eastAsia" w:ascii="Times New Roman" w:hAnsi="Times New Roman" w:cs="Times New Roman"/>
          <w:szCs w:val="32"/>
        </w:rPr>
        <w:t>为依据。</w:t>
      </w:r>
    </w:p>
    <w:p w14:paraId="347F7418">
      <w:pPr>
        <w:spacing w:line="600" w:lineRule="atLeast"/>
        <w:rPr>
          <w:rFonts w:hint="eastAsia" w:ascii="Times New Roman" w:hAnsi="Times New Roman" w:eastAsia="仿宋_GB2312" w:cs="Times New Roman"/>
          <w:bCs w:val="0"/>
          <w:color w:val="auto"/>
          <w:kern w:val="2"/>
          <w:sz w:val="32"/>
          <w:szCs w:val="32"/>
          <w:lang w:val="en-US" w:eastAsia="zh-CN" w:bidi="ar-SA"/>
        </w:rPr>
      </w:pPr>
    </w:p>
    <w:p w14:paraId="2D390D63">
      <w:pPr>
        <w:spacing w:line="600" w:lineRule="atLeast"/>
        <w:rPr>
          <w:rFonts w:ascii="Times New Roman" w:hAnsi="Times New Roman" w:cs="Times New Roman"/>
        </w:rPr>
      </w:pPr>
    </w:p>
    <w:p w14:paraId="00C34F08">
      <w:pPr>
        <w:pStyle w:val="9"/>
        <w:spacing w:line="600" w:lineRule="atLeast"/>
        <w:rPr>
          <w:rFonts w:ascii="Times New Roman" w:hAnsi="Times New Roman"/>
        </w:rPr>
      </w:pPr>
    </w:p>
    <w:p w14:paraId="2AF953B8">
      <w:pPr>
        <w:spacing w:line="600" w:lineRule="atLeast"/>
        <w:rPr>
          <w:rFonts w:ascii="Times New Roman" w:hAnsi="Times New Roman" w:cs="Times New Roman"/>
        </w:rPr>
        <w:sectPr>
          <w:footerReference r:id="rId7" w:type="default"/>
          <w:pgSz w:w="11906" w:h="16838"/>
          <w:pgMar w:top="1440" w:right="1800" w:bottom="1440" w:left="1800" w:header="851" w:footer="850" w:gutter="0"/>
          <w:pgNumType w:fmt="decimal" w:start="1"/>
          <w:cols w:space="425" w:num="1"/>
          <w:docGrid w:type="lines" w:linePitch="312" w:charSpace="0"/>
        </w:sectPr>
      </w:pPr>
    </w:p>
    <w:p w14:paraId="11CF9742">
      <w:pPr>
        <w:pStyle w:val="18"/>
        <w:spacing w:line="600" w:lineRule="atLeast"/>
        <w:jc w:val="both"/>
        <w:rPr>
          <w:rFonts w:ascii="Times New Roman" w:hAnsi="Times New Roman"/>
          <w:bCs w:val="0"/>
        </w:rPr>
      </w:pPr>
    </w:p>
    <w:sectPr>
      <w:footerReference r:id="rId8" w:type="default"/>
      <w:pgSz w:w="16838" w:h="11906" w:orient="landscape"/>
      <w:pgMar w:top="1800" w:right="1440" w:bottom="1800" w:left="144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676273-D4E8-45EC-9CB7-FE8A765C86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4C008E4-7476-44F4-88D8-8674162F0B59}"/>
  </w:font>
  <w:font w:name="仿宋_GB2312">
    <w:panose1 w:val="02010609030101010101"/>
    <w:charset w:val="86"/>
    <w:family w:val="modern"/>
    <w:pitch w:val="default"/>
    <w:sig w:usb0="00000001" w:usb1="080E0000" w:usb2="00000000" w:usb3="00000000" w:csb0="00040000" w:csb1="00000000"/>
    <w:embedRegular r:id="rId3" w:fontKey="{BC22F9A3-6575-498F-A52B-98E681EA0B21}"/>
  </w:font>
  <w:font w:name="方正小标宋_GBK">
    <w:panose1 w:val="02000000000000000000"/>
    <w:charset w:val="86"/>
    <w:family w:val="auto"/>
    <w:pitch w:val="default"/>
    <w:sig w:usb0="A00002BF" w:usb1="38CF7CFA" w:usb2="00082016" w:usb3="00000000" w:csb0="00040001" w:csb1="00000000"/>
    <w:embedRegular r:id="rId4" w:fontKey="{C41F3C0A-F1CC-4B4D-B5AB-26890C5FCF73}"/>
  </w:font>
  <w:font w:name="楷体_GB2312">
    <w:panose1 w:val="02010609030101010101"/>
    <w:charset w:val="86"/>
    <w:family w:val="auto"/>
    <w:pitch w:val="default"/>
    <w:sig w:usb0="00000001" w:usb1="080E0000" w:usb2="00000000" w:usb3="00000000" w:csb0="00040000" w:csb1="00000000"/>
    <w:embedRegular r:id="rId5" w:fontKey="{AB6732D0-1A20-406F-9038-D2C6BD34361D}"/>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embedRegular r:id="rId6" w:fontKey="{E8059BF5-FCD7-4319-ABF4-15DCBB1EC704}"/>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embedRegular r:id="rId7" w:fontKey="{8B672CBB-34C2-44CE-A13B-CFAF430C1EF8}"/>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42B44F">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4BC12">
    <w:pPr>
      <w:pStyle w:val="11"/>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14384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D14384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F2E8F">
    <w:pPr>
      <w:pStyle w:val="11"/>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1C6899">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31C6899">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27D17">
    <w:pPr>
      <w:pStyle w:val="11"/>
      <w:ind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0C9A7B">
                          <w:pPr>
                            <w:pStyle w:val="11"/>
                          </w:pPr>
                          <w:r>
                            <w:fldChar w:fldCharType="begin"/>
                          </w:r>
                          <w:r>
                            <w:instrText xml:space="preserve"> PAGE  \* MERGEFORMAT </w:instrText>
                          </w:r>
                          <w:r>
                            <w:fldChar w:fldCharType="separate"/>
                          </w:r>
                          <w:r>
                            <w:t>125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E0C9A7B">
                    <w:pPr>
                      <w:pStyle w:val="11"/>
                    </w:pPr>
                    <w:r>
                      <w:fldChar w:fldCharType="begin"/>
                    </w:r>
                    <w:r>
                      <w:instrText xml:space="preserve"> PAGE  \* MERGEFORMAT </w:instrText>
                    </w:r>
                    <w:r>
                      <w:fldChar w:fldCharType="separate"/>
                    </w:r>
                    <w:r>
                      <w:t>125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8ABA4"/>
    <w:multiLevelType w:val="multilevel"/>
    <w:tmpl w:val="9A18ABA4"/>
    <w:lvl w:ilvl="0" w:tentative="0">
      <w:start w:val="1"/>
      <w:numFmt w:val="decimal"/>
      <w:suff w:val="space"/>
      <w:lvlText w:val="第%1条"/>
      <w:lvlJc w:val="left"/>
      <w:pPr>
        <w:tabs>
          <w:tab w:val="left" w:pos="0"/>
        </w:tabs>
        <w:ind w:left="130" w:firstLine="494"/>
      </w:pPr>
      <w:rPr>
        <w:rFonts w:hint="default" w:ascii="Times New Roman" w:hAnsi="Times New Roman" w:eastAsia="楷体" w:cs="Times New Roman"/>
        <w:b w:val="0"/>
        <w:bCs w:val="0"/>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1">
    <w:nsid w:val="AC555949"/>
    <w:multiLevelType w:val="singleLevel"/>
    <w:tmpl w:val="AC555949"/>
    <w:lvl w:ilvl="0" w:tentative="0">
      <w:start w:val="1"/>
      <w:numFmt w:val="decimal"/>
      <w:suff w:val="nothing"/>
      <w:lvlText w:val="%1、"/>
      <w:lvlJc w:val="left"/>
    </w:lvl>
  </w:abstractNum>
  <w:abstractNum w:abstractNumId="2">
    <w:nsid w:val="C73DDA2B"/>
    <w:multiLevelType w:val="singleLevel"/>
    <w:tmpl w:val="C73DDA2B"/>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3">
    <w:nsid w:val="07B105A1"/>
    <w:multiLevelType w:val="singleLevel"/>
    <w:tmpl w:val="07B105A1"/>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4">
    <w:nsid w:val="0FA64FF9"/>
    <w:multiLevelType w:val="singleLevel"/>
    <w:tmpl w:val="0FA64FF9"/>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abstractNum w:abstractNumId="5">
    <w:nsid w:val="1681101C"/>
    <w:multiLevelType w:val="multilevel"/>
    <w:tmpl w:val="1681101C"/>
    <w:lvl w:ilvl="0" w:tentative="0">
      <w:start w:val="1"/>
      <w:numFmt w:val="decimal"/>
      <w:lvlText w:val="%1."/>
      <w:lvlJc w:val="left"/>
      <w:pPr>
        <w:ind w:left="770" w:hanging="210"/>
      </w:pPr>
      <w:rPr>
        <w:rFonts w:hint="default"/>
      </w:rPr>
    </w:lvl>
    <w:lvl w:ilvl="1" w:tentative="0">
      <w:start w:val="1"/>
      <w:numFmt w:val="lowerLetter"/>
      <w:lvlText w:val="%2)"/>
      <w:lvlJc w:val="left"/>
      <w:pPr>
        <w:ind w:left="1440" w:hanging="440"/>
      </w:pPr>
    </w:lvl>
    <w:lvl w:ilvl="2" w:tentative="0">
      <w:start w:val="1"/>
      <w:numFmt w:val="lowerRoman"/>
      <w:lvlText w:val="%3."/>
      <w:lvlJc w:val="right"/>
      <w:pPr>
        <w:ind w:left="1880" w:hanging="440"/>
      </w:pPr>
    </w:lvl>
    <w:lvl w:ilvl="3" w:tentative="0">
      <w:start w:val="1"/>
      <w:numFmt w:val="decimal"/>
      <w:lvlText w:val="%4."/>
      <w:lvlJc w:val="left"/>
      <w:pPr>
        <w:ind w:left="2320" w:hanging="440"/>
      </w:pPr>
    </w:lvl>
    <w:lvl w:ilvl="4" w:tentative="0">
      <w:start w:val="1"/>
      <w:numFmt w:val="lowerLetter"/>
      <w:lvlText w:val="%5)"/>
      <w:lvlJc w:val="left"/>
      <w:pPr>
        <w:ind w:left="2760" w:hanging="440"/>
      </w:pPr>
    </w:lvl>
    <w:lvl w:ilvl="5" w:tentative="0">
      <w:start w:val="1"/>
      <w:numFmt w:val="lowerRoman"/>
      <w:lvlText w:val="%6."/>
      <w:lvlJc w:val="right"/>
      <w:pPr>
        <w:ind w:left="3200" w:hanging="440"/>
      </w:pPr>
    </w:lvl>
    <w:lvl w:ilvl="6" w:tentative="0">
      <w:start w:val="1"/>
      <w:numFmt w:val="decimal"/>
      <w:lvlText w:val="%7."/>
      <w:lvlJc w:val="left"/>
      <w:pPr>
        <w:ind w:left="3640" w:hanging="440"/>
      </w:pPr>
    </w:lvl>
    <w:lvl w:ilvl="7" w:tentative="0">
      <w:start w:val="1"/>
      <w:numFmt w:val="lowerLetter"/>
      <w:lvlText w:val="%8)"/>
      <w:lvlJc w:val="left"/>
      <w:pPr>
        <w:ind w:left="4080" w:hanging="440"/>
      </w:pPr>
    </w:lvl>
    <w:lvl w:ilvl="8" w:tentative="0">
      <w:start w:val="1"/>
      <w:numFmt w:val="lowerRoman"/>
      <w:lvlText w:val="%9."/>
      <w:lvlJc w:val="right"/>
      <w:pPr>
        <w:ind w:left="4520" w:hanging="440"/>
      </w:pPr>
    </w:lvl>
  </w:abstractNum>
  <w:abstractNum w:abstractNumId="6">
    <w:nsid w:val="1B070869"/>
    <w:multiLevelType w:val="singleLevel"/>
    <w:tmpl w:val="1B070869"/>
    <w:lvl w:ilvl="0" w:tentative="0">
      <w:start w:val="1"/>
      <w:numFmt w:val="decimal"/>
      <w:lvlText w:val="%1."/>
      <w:lvlJc w:val="left"/>
      <w:pPr>
        <w:tabs>
          <w:tab w:val="left" w:pos="312"/>
        </w:tabs>
      </w:pPr>
    </w:lvl>
  </w:abstractNum>
  <w:abstractNum w:abstractNumId="7">
    <w:nsid w:val="5E174E0E"/>
    <w:multiLevelType w:val="singleLevel"/>
    <w:tmpl w:val="5E174E0E"/>
    <w:lvl w:ilvl="0" w:tentative="0">
      <w:start w:val="1"/>
      <w:numFmt w:val="decimal"/>
      <w:suff w:val="nothing"/>
      <w:lvlText w:val="(%1)"/>
      <w:lvlJc w:val="left"/>
      <w:pPr>
        <w:ind w:left="425" w:hanging="385"/>
      </w:pPr>
      <w:rPr>
        <w:rFonts w:hint="default" w:ascii="仿宋_GB2312" w:hAnsi="仿宋_GB2312" w:eastAsia="仿宋_GB2312"/>
        <w:sz w:val="32"/>
        <w:szCs w:val="32"/>
      </w:rPr>
    </w:lvl>
  </w:abstractNum>
  <w:num w:numId="1">
    <w:abstractNumId w:val="0"/>
  </w:num>
  <w:num w:numId="2">
    <w:abstractNumId w:val="5"/>
  </w:num>
  <w:num w:numId="3">
    <w:abstractNumId w:val="4"/>
  </w:num>
  <w:num w:numId="4">
    <w:abstractNumId w:val="7"/>
  </w:num>
  <w:num w:numId="5">
    <w:abstractNumId w:val="3"/>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NiYjY4YTljOWEwZTA4N2RkMmJiYTQ2ZjI3ZDIwZDAifQ=="/>
  </w:docVars>
  <w:rsids>
    <w:rsidRoot w:val="00172A27"/>
    <w:rsid w:val="00011E9A"/>
    <w:rsid w:val="00022811"/>
    <w:rsid w:val="0002325F"/>
    <w:rsid w:val="000242BC"/>
    <w:rsid w:val="00026E41"/>
    <w:rsid w:val="00035DA5"/>
    <w:rsid w:val="00044F3D"/>
    <w:rsid w:val="00045AAB"/>
    <w:rsid w:val="00046F8C"/>
    <w:rsid w:val="00064F98"/>
    <w:rsid w:val="00067869"/>
    <w:rsid w:val="000724E9"/>
    <w:rsid w:val="00074128"/>
    <w:rsid w:val="00074C57"/>
    <w:rsid w:val="0007542C"/>
    <w:rsid w:val="00080A65"/>
    <w:rsid w:val="00097136"/>
    <w:rsid w:val="000A6A7F"/>
    <w:rsid w:val="000B3275"/>
    <w:rsid w:val="000B51F1"/>
    <w:rsid w:val="000B6198"/>
    <w:rsid w:val="000C0872"/>
    <w:rsid w:val="000C3920"/>
    <w:rsid w:val="000D33F9"/>
    <w:rsid w:val="000E4B15"/>
    <w:rsid w:val="000F09F6"/>
    <w:rsid w:val="000F16D4"/>
    <w:rsid w:val="000F765C"/>
    <w:rsid w:val="00116E29"/>
    <w:rsid w:val="00117139"/>
    <w:rsid w:val="001224EF"/>
    <w:rsid w:val="001268DC"/>
    <w:rsid w:val="001278E2"/>
    <w:rsid w:val="0013091A"/>
    <w:rsid w:val="001326DA"/>
    <w:rsid w:val="00141426"/>
    <w:rsid w:val="00142052"/>
    <w:rsid w:val="001424A4"/>
    <w:rsid w:val="0014645C"/>
    <w:rsid w:val="001522CD"/>
    <w:rsid w:val="00164AB4"/>
    <w:rsid w:val="00165924"/>
    <w:rsid w:val="00166CEB"/>
    <w:rsid w:val="00170364"/>
    <w:rsid w:val="00171B8A"/>
    <w:rsid w:val="00172A27"/>
    <w:rsid w:val="00174ABF"/>
    <w:rsid w:val="00175124"/>
    <w:rsid w:val="00175331"/>
    <w:rsid w:val="00184F39"/>
    <w:rsid w:val="001853D5"/>
    <w:rsid w:val="00187838"/>
    <w:rsid w:val="001916CA"/>
    <w:rsid w:val="001960D3"/>
    <w:rsid w:val="00196C8F"/>
    <w:rsid w:val="00197FC0"/>
    <w:rsid w:val="001A0702"/>
    <w:rsid w:val="001A620F"/>
    <w:rsid w:val="001B528C"/>
    <w:rsid w:val="001C154A"/>
    <w:rsid w:val="001D01E4"/>
    <w:rsid w:val="001D29A6"/>
    <w:rsid w:val="001D76B4"/>
    <w:rsid w:val="001D78B9"/>
    <w:rsid w:val="001E5947"/>
    <w:rsid w:val="001E7B69"/>
    <w:rsid w:val="001F209C"/>
    <w:rsid w:val="00203656"/>
    <w:rsid w:val="002177BB"/>
    <w:rsid w:val="002354B4"/>
    <w:rsid w:val="00235C58"/>
    <w:rsid w:val="002410B1"/>
    <w:rsid w:val="00243C2C"/>
    <w:rsid w:val="002475D2"/>
    <w:rsid w:val="002608F0"/>
    <w:rsid w:val="00274335"/>
    <w:rsid w:val="00277F8E"/>
    <w:rsid w:val="00285465"/>
    <w:rsid w:val="002A658D"/>
    <w:rsid w:val="002B1750"/>
    <w:rsid w:val="002B3517"/>
    <w:rsid w:val="002B646C"/>
    <w:rsid w:val="002C21D1"/>
    <w:rsid w:val="002C7E05"/>
    <w:rsid w:val="002D2E8C"/>
    <w:rsid w:val="002D4981"/>
    <w:rsid w:val="002D795D"/>
    <w:rsid w:val="002E4304"/>
    <w:rsid w:val="002F1194"/>
    <w:rsid w:val="002F2869"/>
    <w:rsid w:val="003006BD"/>
    <w:rsid w:val="00305A94"/>
    <w:rsid w:val="0030646F"/>
    <w:rsid w:val="00311DD1"/>
    <w:rsid w:val="00316739"/>
    <w:rsid w:val="0032785B"/>
    <w:rsid w:val="00331943"/>
    <w:rsid w:val="00336FC0"/>
    <w:rsid w:val="0034315C"/>
    <w:rsid w:val="00346217"/>
    <w:rsid w:val="00357BBC"/>
    <w:rsid w:val="00361EAF"/>
    <w:rsid w:val="00362F33"/>
    <w:rsid w:val="00364362"/>
    <w:rsid w:val="0036500B"/>
    <w:rsid w:val="0036774E"/>
    <w:rsid w:val="00380C62"/>
    <w:rsid w:val="00392266"/>
    <w:rsid w:val="003938EE"/>
    <w:rsid w:val="0039620C"/>
    <w:rsid w:val="003974CF"/>
    <w:rsid w:val="003A0B31"/>
    <w:rsid w:val="003A7813"/>
    <w:rsid w:val="003A7C23"/>
    <w:rsid w:val="003C0157"/>
    <w:rsid w:val="003C026D"/>
    <w:rsid w:val="003C1EEB"/>
    <w:rsid w:val="003C571F"/>
    <w:rsid w:val="003D7F42"/>
    <w:rsid w:val="003E0105"/>
    <w:rsid w:val="003F18D2"/>
    <w:rsid w:val="003F1F2A"/>
    <w:rsid w:val="00405C02"/>
    <w:rsid w:val="00410306"/>
    <w:rsid w:val="00417EC3"/>
    <w:rsid w:val="00424783"/>
    <w:rsid w:val="00426521"/>
    <w:rsid w:val="004438B8"/>
    <w:rsid w:val="00451B06"/>
    <w:rsid w:val="004544D1"/>
    <w:rsid w:val="00457E95"/>
    <w:rsid w:val="00463158"/>
    <w:rsid w:val="00466AA1"/>
    <w:rsid w:val="00467113"/>
    <w:rsid w:val="00471E68"/>
    <w:rsid w:val="0048104C"/>
    <w:rsid w:val="00481DB8"/>
    <w:rsid w:val="00483E4C"/>
    <w:rsid w:val="00485BC5"/>
    <w:rsid w:val="00485E9F"/>
    <w:rsid w:val="00490350"/>
    <w:rsid w:val="0049590E"/>
    <w:rsid w:val="004A4DB8"/>
    <w:rsid w:val="004A6DAF"/>
    <w:rsid w:val="004A754E"/>
    <w:rsid w:val="004B236B"/>
    <w:rsid w:val="004B5028"/>
    <w:rsid w:val="004B570A"/>
    <w:rsid w:val="004C3395"/>
    <w:rsid w:val="004E2187"/>
    <w:rsid w:val="004E6C00"/>
    <w:rsid w:val="004E71C6"/>
    <w:rsid w:val="004F09A2"/>
    <w:rsid w:val="004F4930"/>
    <w:rsid w:val="005003F5"/>
    <w:rsid w:val="005172AB"/>
    <w:rsid w:val="005173F6"/>
    <w:rsid w:val="005178B3"/>
    <w:rsid w:val="00520768"/>
    <w:rsid w:val="00524CC5"/>
    <w:rsid w:val="00550293"/>
    <w:rsid w:val="005630D7"/>
    <w:rsid w:val="00566918"/>
    <w:rsid w:val="005844C7"/>
    <w:rsid w:val="005971D3"/>
    <w:rsid w:val="005A06AA"/>
    <w:rsid w:val="005A43FB"/>
    <w:rsid w:val="005A7AC5"/>
    <w:rsid w:val="005B3AA6"/>
    <w:rsid w:val="005B55A5"/>
    <w:rsid w:val="005C6534"/>
    <w:rsid w:val="005D065B"/>
    <w:rsid w:val="005D0DC1"/>
    <w:rsid w:val="005E765D"/>
    <w:rsid w:val="005F1425"/>
    <w:rsid w:val="005F462E"/>
    <w:rsid w:val="00601237"/>
    <w:rsid w:val="00613AC7"/>
    <w:rsid w:val="006145CF"/>
    <w:rsid w:val="00615CC6"/>
    <w:rsid w:val="00616EA1"/>
    <w:rsid w:val="00636C6F"/>
    <w:rsid w:val="006421A0"/>
    <w:rsid w:val="006542D9"/>
    <w:rsid w:val="00656F3D"/>
    <w:rsid w:val="0066715A"/>
    <w:rsid w:val="00673D05"/>
    <w:rsid w:val="00675E0A"/>
    <w:rsid w:val="00676AD5"/>
    <w:rsid w:val="00683F12"/>
    <w:rsid w:val="00684B75"/>
    <w:rsid w:val="00686B16"/>
    <w:rsid w:val="00692235"/>
    <w:rsid w:val="0069227C"/>
    <w:rsid w:val="00692E45"/>
    <w:rsid w:val="006A0824"/>
    <w:rsid w:val="006A0E9A"/>
    <w:rsid w:val="006A4AC4"/>
    <w:rsid w:val="006B481E"/>
    <w:rsid w:val="006C2503"/>
    <w:rsid w:val="006C3B5B"/>
    <w:rsid w:val="006C575B"/>
    <w:rsid w:val="006D0D2B"/>
    <w:rsid w:val="006E20B4"/>
    <w:rsid w:val="006E5667"/>
    <w:rsid w:val="006E71C7"/>
    <w:rsid w:val="00705F37"/>
    <w:rsid w:val="007065BC"/>
    <w:rsid w:val="00707BD3"/>
    <w:rsid w:val="00713A1E"/>
    <w:rsid w:val="00714338"/>
    <w:rsid w:val="00716F81"/>
    <w:rsid w:val="007177EB"/>
    <w:rsid w:val="00733A86"/>
    <w:rsid w:val="007358AF"/>
    <w:rsid w:val="00736F4D"/>
    <w:rsid w:val="0074138D"/>
    <w:rsid w:val="00746A46"/>
    <w:rsid w:val="00746F12"/>
    <w:rsid w:val="007511F9"/>
    <w:rsid w:val="00755CB9"/>
    <w:rsid w:val="00756767"/>
    <w:rsid w:val="00761899"/>
    <w:rsid w:val="00766E73"/>
    <w:rsid w:val="00782C03"/>
    <w:rsid w:val="0079266A"/>
    <w:rsid w:val="007953B9"/>
    <w:rsid w:val="007959DB"/>
    <w:rsid w:val="00796661"/>
    <w:rsid w:val="007969E6"/>
    <w:rsid w:val="007A4D9D"/>
    <w:rsid w:val="007B24E6"/>
    <w:rsid w:val="007B64C0"/>
    <w:rsid w:val="007B7274"/>
    <w:rsid w:val="007C42B7"/>
    <w:rsid w:val="007D08DD"/>
    <w:rsid w:val="007D3BFC"/>
    <w:rsid w:val="007E1E55"/>
    <w:rsid w:val="007E270D"/>
    <w:rsid w:val="007E3DB3"/>
    <w:rsid w:val="007E7F5C"/>
    <w:rsid w:val="007F1A95"/>
    <w:rsid w:val="00806E1A"/>
    <w:rsid w:val="00834BF6"/>
    <w:rsid w:val="008472F3"/>
    <w:rsid w:val="008534F0"/>
    <w:rsid w:val="00855CE4"/>
    <w:rsid w:val="008616CE"/>
    <w:rsid w:val="00861EDF"/>
    <w:rsid w:val="008644C1"/>
    <w:rsid w:val="00864758"/>
    <w:rsid w:val="00872F54"/>
    <w:rsid w:val="008756E7"/>
    <w:rsid w:val="00887C9A"/>
    <w:rsid w:val="008911BB"/>
    <w:rsid w:val="008911F4"/>
    <w:rsid w:val="00894F3B"/>
    <w:rsid w:val="008A0CE0"/>
    <w:rsid w:val="008C71BE"/>
    <w:rsid w:val="008D56F9"/>
    <w:rsid w:val="008D5B05"/>
    <w:rsid w:val="008D6778"/>
    <w:rsid w:val="008E1694"/>
    <w:rsid w:val="008E7B4D"/>
    <w:rsid w:val="008E7C8A"/>
    <w:rsid w:val="008F4FCB"/>
    <w:rsid w:val="008F5784"/>
    <w:rsid w:val="008F772B"/>
    <w:rsid w:val="008F79EB"/>
    <w:rsid w:val="00901AD6"/>
    <w:rsid w:val="0091068B"/>
    <w:rsid w:val="009162DA"/>
    <w:rsid w:val="00921918"/>
    <w:rsid w:val="00934209"/>
    <w:rsid w:val="00935F98"/>
    <w:rsid w:val="00936962"/>
    <w:rsid w:val="00937DF4"/>
    <w:rsid w:val="00945670"/>
    <w:rsid w:val="00954E7C"/>
    <w:rsid w:val="00955D61"/>
    <w:rsid w:val="00964E41"/>
    <w:rsid w:val="00971BBA"/>
    <w:rsid w:val="00976957"/>
    <w:rsid w:val="009776CE"/>
    <w:rsid w:val="0098127F"/>
    <w:rsid w:val="009821EE"/>
    <w:rsid w:val="00986308"/>
    <w:rsid w:val="00987142"/>
    <w:rsid w:val="00990A95"/>
    <w:rsid w:val="00993C73"/>
    <w:rsid w:val="009B32AB"/>
    <w:rsid w:val="009C5521"/>
    <w:rsid w:val="009C77CE"/>
    <w:rsid w:val="009D76A9"/>
    <w:rsid w:val="009E0A29"/>
    <w:rsid w:val="009E3742"/>
    <w:rsid w:val="009F1621"/>
    <w:rsid w:val="009F3628"/>
    <w:rsid w:val="00A02EE4"/>
    <w:rsid w:val="00A07FC4"/>
    <w:rsid w:val="00A13390"/>
    <w:rsid w:val="00A22D25"/>
    <w:rsid w:val="00A24773"/>
    <w:rsid w:val="00A26181"/>
    <w:rsid w:val="00A262A3"/>
    <w:rsid w:val="00A26E56"/>
    <w:rsid w:val="00A3175F"/>
    <w:rsid w:val="00A36579"/>
    <w:rsid w:val="00A40E5E"/>
    <w:rsid w:val="00A44C42"/>
    <w:rsid w:val="00A478F3"/>
    <w:rsid w:val="00A47C38"/>
    <w:rsid w:val="00A55FC9"/>
    <w:rsid w:val="00A74B15"/>
    <w:rsid w:val="00A75169"/>
    <w:rsid w:val="00A80346"/>
    <w:rsid w:val="00A95C9B"/>
    <w:rsid w:val="00A96379"/>
    <w:rsid w:val="00AA1DB6"/>
    <w:rsid w:val="00AA344C"/>
    <w:rsid w:val="00AA56EB"/>
    <w:rsid w:val="00AA6BD9"/>
    <w:rsid w:val="00AB1EAB"/>
    <w:rsid w:val="00AB67A2"/>
    <w:rsid w:val="00AC1684"/>
    <w:rsid w:val="00AC21AC"/>
    <w:rsid w:val="00AC2364"/>
    <w:rsid w:val="00AC2A34"/>
    <w:rsid w:val="00AD2879"/>
    <w:rsid w:val="00AD2BD9"/>
    <w:rsid w:val="00AE29C0"/>
    <w:rsid w:val="00AF0AAB"/>
    <w:rsid w:val="00AF719F"/>
    <w:rsid w:val="00B04F6F"/>
    <w:rsid w:val="00B24A22"/>
    <w:rsid w:val="00B25B3F"/>
    <w:rsid w:val="00B35303"/>
    <w:rsid w:val="00B416B8"/>
    <w:rsid w:val="00B42219"/>
    <w:rsid w:val="00B50D04"/>
    <w:rsid w:val="00B55755"/>
    <w:rsid w:val="00B5762C"/>
    <w:rsid w:val="00B656D2"/>
    <w:rsid w:val="00B700DE"/>
    <w:rsid w:val="00B7317B"/>
    <w:rsid w:val="00B934C8"/>
    <w:rsid w:val="00B966C3"/>
    <w:rsid w:val="00BB17C3"/>
    <w:rsid w:val="00BB6603"/>
    <w:rsid w:val="00BB7F3B"/>
    <w:rsid w:val="00BC13DC"/>
    <w:rsid w:val="00BC6E2F"/>
    <w:rsid w:val="00BF6B86"/>
    <w:rsid w:val="00C00888"/>
    <w:rsid w:val="00C01224"/>
    <w:rsid w:val="00C0184F"/>
    <w:rsid w:val="00C01E99"/>
    <w:rsid w:val="00C06343"/>
    <w:rsid w:val="00C11D02"/>
    <w:rsid w:val="00C138C9"/>
    <w:rsid w:val="00C15798"/>
    <w:rsid w:val="00C17FA1"/>
    <w:rsid w:val="00C216CE"/>
    <w:rsid w:val="00C23522"/>
    <w:rsid w:val="00C24091"/>
    <w:rsid w:val="00C251EB"/>
    <w:rsid w:val="00C267F7"/>
    <w:rsid w:val="00C27417"/>
    <w:rsid w:val="00C31C4F"/>
    <w:rsid w:val="00C41C0B"/>
    <w:rsid w:val="00C539B0"/>
    <w:rsid w:val="00C716C8"/>
    <w:rsid w:val="00C727FA"/>
    <w:rsid w:val="00C854A6"/>
    <w:rsid w:val="00C860F7"/>
    <w:rsid w:val="00C91410"/>
    <w:rsid w:val="00C947B9"/>
    <w:rsid w:val="00C97BAD"/>
    <w:rsid w:val="00CA30DD"/>
    <w:rsid w:val="00CA43B4"/>
    <w:rsid w:val="00CB14F3"/>
    <w:rsid w:val="00CB1AD4"/>
    <w:rsid w:val="00CB2569"/>
    <w:rsid w:val="00CC0EBD"/>
    <w:rsid w:val="00CE4E2B"/>
    <w:rsid w:val="00CE577F"/>
    <w:rsid w:val="00CE6467"/>
    <w:rsid w:val="00CF39A7"/>
    <w:rsid w:val="00CF77FD"/>
    <w:rsid w:val="00D0201C"/>
    <w:rsid w:val="00D03BBF"/>
    <w:rsid w:val="00D04B2D"/>
    <w:rsid w:val="00D17A09"/>
    <w:rsid w:val="00D22F43"/>
    <w:rsid w:val="00D35BAB"/>
    <w:rsid w:val="00D35C54"/>
    <w:rsid w:val="00D35DD6"/>
    <w:rsid w:val="00D40448"/>
    <w:rsid w:val="00D46FB2"/>
    <w:rsid w:val="00D473DC"/>
    <w:rsid w:val="00D50933"/>
    <w:rsid w:val="00D57E5D"/>
    <w:rsid w:val="00D74775"/>
    <w:rsid w:val="00D86540"/>
    <w:rsid w:val="00DA0C9C"/>
    <w:rsid w:val="00DA1B6C"/>
    <w:rsid w:val="00DA4B2B"/>
    <w:rsid w:val="00DB1218"/>
    <w:rsid w:val="00DB5D69"/>
    <w:rsid w:val="00DC24F3"/>
    <w:rsid w:val="00DC435B"/>
    <w:rsid w:val="00DC4793"/>
    <w:rsid w:val="00DD2308"/>
    <w:rsid w:val="00DD6929"/>
    <w:rsid w:val="00DD74F2"/>
    <w:rsid w:val="00DE23FA"/>
    <w:rsid w:val="00DE69FE"/>
    <w:rsid w:val="00DE794E"/>
    <w:rsid w:val="00DF4EF3"/>
    <w:rsid w:val="00DF58CA"/>
    <w:rsid w:val="00E00A41"/>
    <w:rsid w:val="00E06546"/>
    <w:rsid w:val="00E27D8F"/>
    <w:rsid w:val="00E325BD"/>
    <w:rsid w:val="00E34DE1"/>
    <w:rsid w:val="00E4282B"/>
    <w:rsid w:val="00E4606E"/>
    <w:rsid w:val="00E54832"/>
    <w:rsid w:val="00E55D2C"/>
    <w:rsid w:val="00E60DE0"/>
    <w:rsid w:val="00E61244"/>
    <w:rsid w:val="00E706A1"/>
    <w:rsid w:val="00E723A4"/>
    <w:rsid w:val="00E82F32"/>
    <w:rsid w:val="00E93752"/>
    <w:rsid w:val="00E94B0F"/>
    <w:rsid w:val="00EA12E6"/>
    <w:rsid w:val="00EA517B"/>
    <w:rsid w:val="00EA6D86"/>
    <w:rsid w:val="00EB1E03"/>
    <w:rsid w:val="00EB7282"/>
    <w:rsid w:val="00EC267D"/>
    <w:rsid w:val="00ED3BD8"/>
    <w:rsid w:val="00ED54CB"/>
    <w:rsid w:val="00EE1D2C"/>
    <w:rsid w:val="00EE6C35"/>
    <w:rsid w:val="00EE7173"/>
    <w:rsid w:val="00EF16C5"/>
    <w:rsid w:val="00EF4481"/>
    <w:rsid w:val="00EF4B95"/>
    <w:rsid w:val="00EF58EF"/>
    <w:rsid w:val="00F028DC"/>
    <w:rsid w:val="00F04487"/>
    <w:rsid w:val="00F07304"/>
    <w:rsid w:val="00F12A71"/>
    <w:rsid w:val="00F132E5"/>
    <w:rsid w:val="00F14E75"/>
    <w:rsid w:val="00F21C1A"/>
    <w:rsid w:val="00F27868"/>
    <w:rsid w:val="00F32732"/>
    <w:rsid w:val="00F340FF"/>
    <w:rsid w:val="00F345E6"/>
    <w:rsid w:val="00F54180"/>
    <w:rsid w:val="00F541FA"/>
    <w:rsid w:val="00F55824"/>
    <w:rsid w:val="00F57116"/>
    <w:rsid w:val="00F70438"/>
    <w:rsid w:val="00F77DC0"/>
    <w:rsid w:val="00F77E28"/>
    <w:rsid w:val="00F81147"/>
    <w:rsid w:val="00F81DA6"/>
    <w:rsid w:val="00F83598"/>
    <w:rsid w:val="00F86238"/>
    <w:rsid w:val="00F9241D"/>
    <w:rsid w:val="00F97C6A"/>
    <w:rsid w:val="00FA0026"/>
    <w:rsid w:val="00FA72AB"/>
    <w:rsid w:val="00FB092F"/>
    <w:rsid w:val="00FB2662"/>
    <w:rsid w:val="00FB49B1"/>
    <w:rsid w:val="00FB6977"/>
    <w:rsid w:val="00FC3F4C"/>
    <w:rsid w:val="00FC429F"/>
    <w:rsid w:val="00FC4E32"/>
    <w:rsid w:val="00FD0259"/>
    <w:rsid w:val="00FD3344"/>
    <w:rsid w:val="00FD4D49"/>
    <w:rsid w:val="00FD59C2"/>
    <w:rsid w:val="00FE1D58"/>
    <w:rsid w:val="00FE1EFE"/>
    <w:rsid w:val="00FE2499"/>
    <w:rsid w:val="00FF2318"/>
    <w:rsid w:val="0107025A"/>
    <w:rsid w:val="01401F5A"/>
    <w:rsid w:val="015139F9"/>
    <w:rsid w:val="01F2169B"/>
    <w:rsid w:val="020260B0"/>
    <w:rsid w:val="02110C2D"/>
    <w:rsid w:val="0249648F"/>
    <w:rsid w:val="03146D4B"/>
    <w:rsid w:val="032F52EB"/>
    <w:rsid w:val="035C6DF3"/>
    <w:rsid w:val="03640D30"/>
    <w:rsid w:val="036A4C1A"/>
    <w:rsid w:val="03E00C28"/>
    <w:rsid w:val="041A32A2"/>
    <w:rsid w:val="043F0511"/>
    <w:rsid w:val="045B30CB"/>
    <w:rsid w:val="04D67CD9"/>
    <w:rsid w:val="05140FD0"/>
    <w:rsid w:val="053C029A"/>
    <w:rsid w:val="05890281"/>
    <w:rsid w:val="059155AD"/>
    <w:rsid w:val="062374CB"/>
    <w:rsid w:val="0624009C"/>
    <w:rsid w:val="067526A6"/>
    <w:rsid w:val="06AD5AAB"/>
    <w:rsid w:val="0727265E"/>
    <w:rsid w:val="074C043D"/>
    <w:rsid w:val="07C36EC3"/>
    <w:rsid w:val="08236132"/>
    <w:rsid w:val="08470D55"/>
    <w:rsid w:val="086539A5"/>
    <w:rsid w:val="088C16F3"/>
    <w:rsid w:val="089C02C6"/>
    <w:rsid w:val="08B72F55"/>
    <w:rsid w:val="08CE42EF"/>
    <w:rsid w:val="08E507BE"/>
    <w:rsid w:val="092C2970"/>
    <w:rsid w:val="09413040"/>
    <w:rsid w:val="0A245017"/>
    <w:rsid w:val="0ACE7208"/>
    <w:rsid w:val="0B026F26"/>
    <w:rsid w:val="0B816908"/>
    <w:rsid w:val="0BF165C5"/>
    <w:rsid w:val="0C275095"/>
    <w:rsid w:val="0C3A2C0B"/>
    <w:rsid w:val="0C541B62"/>
    <w:rsid w:val="0C67198E"/>
    <w:rsid w:val="0C7B4053"/>
    <w:rsid w:val="0C7C4E69"/>
    <w:rsid w:val="0CB85511"/>
    <w:rsid w:val="0D44532A"/>
    <w:rsid w:val="0D6C43CC"/>
    <w:rsid w:val="0D6E7A9E"/>
    <w:rsid w:val="0DF938EB"/>
    <w:rsid w:val="0DFD0B71"/>
    <w:rsid w:val="0F5D079A"/>
    <w:rsid w:val="0F625791"/>
    <w:rsid w:val="0FEE00D7"/>
    <w:rsid w:val="10E708E9"/>
    <w:rsid w:val="117B1192"/>
    <w:rsid w:val="11C238F2"/>
    <w:rsid w:val="120D5E88"/>
    <w:rsid w:val="12360D51"/>
    <w:rsid w:val="12400CFC"/>
    <w:rsid w:val="1268628E"/>
    <w:rsid w:val="126930AB"/>
    <w:rsid w:val="128E4191"/>
    <w:rsid w:val="12A130A0"/>
    <w:rsid w:val="12B337CB"/>
    <w:rsid w:val="12BA4E64"/>
    <w:rsid w:val="12BC2A7E"/>
    <w:rsid w:val="13756FC8"/>
    <w:rsid w:val="13DA0078"/>
    <w:rsid w:val="14173503"/>
    <w:rsid w:val="14415BC5"/>
    <w:rsid w:val="147E1869"/>
    <w:rsid w:val="14A26710"/>
    <w:rsid w:val="14CD0FEC"/>
    <w:rsid w:val="14DE1D5E"/>
    <w:rsid w:val="14E1249F"/>
    <w:rsid w:val="161A34EB"/>
    <w:rsid w:val="169052DA"/>
    <w:rsid w:val="16B2176C"/>
    <w:rsid w:val="16BE2C90"/>
    <w:rsid w:val="17026ACC"/>
    <w:rsid w:val="17CE03DA"/>
    <w:rsid w:val="17E012F4"/>
    <w:rsid w:val="18334F14"/>
    <w:rsid w:val="184857F3"/>
    <w:rsid w:val="18822FBB"/>
    <w:rsid w:val="18860D17"/>
    <w:rsid w:val="188D04E1"/>
    <w:rsid w:val="18906688"/>
    <w:rsid w:val="1899380C"/>
    <w:rsid w:val="18A62B93"/>
    <w:rsid w:val="18C34EF4"/>
    <w:rsid w:val="196E5607"/>
    <w:rsid w:val="197C317A"/>
    <w:rsid w:val="198A087E"/>
    <w:rsid w:val="19D350E9"/>
    <w:rsid w:val="1AD41696"/>
    <w:rsid w:val="1B222947"/>
    <w:rsid w:val="1B6640D6"/>
    <w:rsid w:val="1BD003B5"/>
    <w:rsid w:val="1C7A25D2"/>
    <w:rsid w:val="1CA91749"/>
    <w:rsid w:val="1D531708"/>
    <w:rsid w:val="1D537F96"/>
    <w:rsid w:val="1E7B2FCD"/>
    <w:rsid w:val="1EEA2B61"/>
    <w:rsid w:val="1EF014D4"/>
    <w:rsid w:val="1F1C4F11"/>
    <w:rsid w:val="1FAB0A8F"/>
    <w:rsid w:val="1FAD19A6"/>
    <w:rsid w:val="20077C0F"/>
    <w:rsid w:val="20114504"/>
    <w:rsid w:val="20115535"/>
    <w:rsid w:val="20546C12"/>
    <w:rsid w:val="20DD529E"/>
    <w:rsid w:val="20E95A2F"/>
    <w:rsid w:val="213C5F3E"/>
    <w:rsid w:val="218A3453"/>
    <w:rsid w:val="21F955DA"/>
    <w:rsid w:val="22342FBD"/>
    <w:rsid w:val="22CF3562"/>
    <w:rsid w:val="23115EB4"/>
    <w:rsid w:val="2371772D"/>
    <w:rsid w:val="2393159E"/>
    <w:rsid w:val="23E007B1"/>
    <w:rsid w:val="23FB2CA4"/>
    <w:rsid w:val="241B24A9"/>
    <w:rsid w:val="244F40DF"/>
    <w:rsid w:val="24536F3E"/>
    <w:rsid w:val="247B0AAC"/>
    <w:rsid w:val="24AB6842"/>
    <w:rsid w:val="24AD7DDA"/>
    <w:rsid w:val="24CB1C6F"/>
    <w:rsid w:val="251329BA"/>
    <w:rsid w:val="252B3637"/>
    <w:rsid w:val="254E083A"/>
    <w:rsid w:val="255E090F"/>
    <w:rsid w:val="259C6439"/>
    <w:rsid w:val="25E74CCF"/>
    <w:rsid w:val="262739E9"/>
    <w:rsid w:val="263D01C6"/>
    <w:rsid w:val="265D24E4"/>
    <w:rsid w:val="267A4B30"/>
    <w:rsid w:val="26B66033"/>
    <w:rsid w:val="26EA0450"/>
    <w:rsid w:val="273E5AC6"/>
    <w:rsid w:val="274679E1"/>
    <w:rsid w:val="278D31CE"/>
    <w:rsid w:val="281C0D86"/>
    <w:rsid w:val="28220F61"/>
    <w:rsid w:val="28631CBB"/>
    <w:rsid w:val="290264D9"/>
    <w:rsid w:val="29424EDD"/>
    <w:rsid w:val="2953641F"/>
    <w:rsid w:val="29687F04"/>
    <w:rsid w:val="2A135BBF"/>
    <w:rsid w:val="2A874054"/>
    <w:rsid w:val="2AA1306A"/>
    <w:rsid w:val="2B6B1FAD"/>
    <w:rsid w:val="2B7A135F"/>
    <w:rsid w:val="2BB73F1A"/>
    <w:rsid w:val="2BC85586"/>
    <w:rsid w:val="2BDF1B71"/>
    <w:rsid w:val="2C76572E"/>
    <w:rsid w:val="2CA35723"/>
    <w:rsid w:val="2CDA0C05"/>
    <w:rsid w:val="2CE8500C"/>
    <w:rsid w:val="2D0C2D05"/>
    <w:rsid w:val="2D9C04B5"/>
    <w:rsid w:val="2DB430BE"/>
    <w:rsid w:val="2DEC3F52"/>
    <w:rsid w:val="2E7258E1"/>
    <w:rsid w:val="2E7853A8"/>
    <w:rsid w:val="2F462FDA"/>
    <w:rsid w:val="2F555618"/>
    <w:rsid w:val="315608DA"/>
    <w:rsid w:val="31A43A20"/>
    <w:rsid w:val="31DA4820"/>
    <w:rsid w:val="321B685E"/>
    <w:rsid w:val="32415747"/>
    <w:rsid w:val="333F670C"/>
    <w:rsid w:val="334528CA"/>
    <w:rsid w:val="33956111"/>
    <w:rsid w:val="3396088A"/>
    <w:rsid w:val="33997F1D"/>
    <w:rsid w:val="33CA788B"/>
    <w:rsid w:val="348F7193"/>
    <w:rsid w:val="34A128EF"/>
    <w:rsid w:val="35BE2267"/>
    <w:rsid w:val="35D366A7"/>
    <w:rsid w:val="35E47CE7"/>
    <w:rsid w:val="360B3258"/>
    <w:rsid w:val="364556FB"/>
    <w:rsid w:val="36C56482"/>
    <w:rsid w:val="36C944D0"/>
    <w:rsid w:val="37565913"/>
    <w:rsid w:val="383D1E98"/>
    <w:rsid w:val="3843533F"/>
    <w:rsid w:val="3880446E"/>
    <w:rsid w:val="38904C67"/>
    <w:rsid w:val="39274C35"/>
    <w:rsid w:val="39590B93"/>
    <w:rsid w:val="39B276A4"/>
    <w:rsid w:val="39BA6046"/>
    <w:rsid w:val="3A053765"/>
    <w:rsid w:val="3A061352"/>
    <w:rsid w:val="3A5977A8"/>
    <w:rsid w:val="3A68434C"/>
    <w:rsid w:val="3ADD3771"/>
    <w:rsid w:val="3B057795"/>
    <w:rsid w:val="3B6B6BEB"/>
    <w:rsid w:val="3C58589D"/>
    <w:rsid w:val="3C7872C9"/>
    <w:rsid w:val="3DCD397C"/>
    <w:rsid w:val="3E332138"/>
    <w:rsid w:val="3E6C73CA"/>
    <w:rsid w:val="3F0C10F2"/>
    <w:rsid w:val="3F23468E"/>
    <w:rsid w:val="3F4507D0"/>
    <w:rsid w:val="3F7B6278"/>
    <w:rsid w:val="3FE9427E"/>
    <w:rsid w:val="3FFF2A05"/>
    <w:rsid w:val="40730CFD"/>
    <w:rsid w:val="40A27DFE"/>
    <w:rsid w:val="411F5616"/>
    <w:rsid w:val="41282EDE"/>
    <w:rsid w:val="4151045A"/>
    <w:rsid w:val="41C54681"/>
    <w:rsid w:val="41F0592A"/>
    <w:rsid w:val="423746D8"/>
    <w:rsid w:val="42520483"/>
    <w:rsid w:val="42DB10B4"/>
    <w:rsid w:val="42ED413E"/>
    <w:rsid w:val="42ED6A43"/>
    <w:rsid w:val="433B7776"/>
    <w:rsid w:val="4365015D"/>
    <w:rsid w:val="438C6625"/>
    <w:rsid w:val="43E87076"/>
    <w:rsid w:val="44C90A24"/>
    <w:rsid w:val="452C6D23"/>
    <w:rsid w:val="45CD4C31"/>
    <w:rsid w:val="45D509F1"/>
    <w:rsid w:val="45EA316F"/>
    <w:rsid w:val="465637CE"/>
    <w:rsid w:val="467F71D0"/>
    <w:rsid w:val="47041F15"/>
    <w:rsid w:val="47450767"/>
    <w:rsid w:val="474F6F89"/>
    <w:rsid w:val="47724C1F"/>
    <w:rsid w:val="47FA0CF6"/>
    <w:rsid w:val="47FD0D6F"/>
    <w:rsid w:val="48AB53EB"/>
    <w:rsid w:val="49390EDF"/>
    <w:rsid w:val="49E413D0"/>
    <w:rsid w:val="49E56546"/>
    <w:rsid w:val="4A303516"/>
    <w:rsid w:val="4AB54704"/>
    <w:rsid w:val="4B117ED6"/>
    <w:rsid w:val="4BB307D2"/>
    <w:rsid w:val="4BC54F51"/>
    <w:rsid w:val="4BEB04B1"/>
    <w:rsid w:val="4C46417B"/>
    <w:rsid w:val="4C4D5B73"/>
    <w:rsid w:val="4C7D2A1C"/>
    <w:rsid w:val="4D365425"/>
    <w:rsid w:val="4D9F3C11"/>
    <w:rsid w:val="4DC860BB"/>
    <w:rsid w:val="4DF00FC8"/>
    <w:rsid w:val="4E28748E"/>
    <w:rsid w:val="4E3E08CF"/>
    <w:rsid w:val="4E6536AD"/>
    <w:rsid w:val="4E7259B5"/>
    <w:rsid w:val="4ED80FF1"/>
    <w:rsid w:val="4FE84142"/>
    <w:rsid w:val="500B6EEB"/>
    <w:rsid w:val="50240132"/>
    <w:rsid w:val="50537473"/>
    <w:rsid w:val="50B03687"/>
    <w:rsid w:val="50C77614"/>
    <w:rsid w:val="50D54D2F"/>
    <w:rsid w:val="50FD52B5"/>
    <w:rsid w:val="512327DD"/>
    <w:rsid w:val="512C0833"/>
    <w:rsid w:val="51771FC2"/>
    <w:rsid w:val="519E33D0"/>
    <w:rsid w:val="51D2072E"/>
    <w:rsid w:val="528D6887"/>
    <w:rsid w:val="529066EF"/>
    <w:rsid w:val="5294522F"/>
    <w:rsid w:val="529E7731"/>
    <w:rsid w:val="52B529D5"/>
    <w:rsid w:val="52BC7EF2"/>
    <w:rsid w:val="52FC2BE6"/>
    <w:rsid w:val="532E4A44"/>
    <w:rsid w:val="536611E1"/>
    <w:rsid w:val="53C477A1"/>
    <w:rsid w:val="53D2539D"/>
    <w:rsid w:val="53D944ED"/>
    <w:rsid w:val="53EA180B"/>
    <w:rsid w:val="53EA40A2"/>
    <w:rsid w:val="53FA27E0"/>
    <w:rsid w:val="547B32D1"/>
    <w:rsid w:val="54882DC5"/>
    <w:rsid w:val="550403F8"/>
    <w:rsid w:val="557777E7"/>
    <w:rsid w:val="558B6B8C"/>
    <w:rsid w:val="55E049E5"/>
    <w:rsid w:val="55F52488"/>
    <w:rsid w:val="563926A3"/>
    <w:rsid w:val="563F7A7F"/>
    <w:rsid w:val="56603E60"/>
    <w:rsid w:val="56762305"/>
    <w:rsid w:val="56A24105"/>
    <w:rsid w:val="574E24DA"/>
    <w:rsid w:val="575378BD"/>
    <w:rsid w:val="57AE3CE9"/>
    <w:rsid w:val="57FD5D43"/>
    <w:rsid w:val="580544D9"/>
    <w:rsid w:val="580D21F3"/>
    <w:rsid w:val="58625BF4"/>
    <w:rsid w:val="58735883"/>
    <w:rsid w:val="58FC1545"/>
    <w:rsid w:val="59006A91"/>
    <w:rsid w:val="594311C0"/>
    <w:rsid w:val="59DD3103"/>
    <w:rsid w:val="59E25C05"/>
    <w:rsid w:val="5A274981"/>
    <w:rsid w:val="5A513C3C"/>
    <w:rsid w:val="5A5735F9"/>
    <w:rsid w:val="5A73341C"/>
    <w:rsid w:val="5A7C5DE6"/>
    <w:rsid w:val="5A897643"/>
    <w:rsid w:val="5B154C2B"/>
    <w:rsid w:val="5BF80A78"/>
    <w:rsid w:val="5C3E23E2"/>
    <w:rsid w:val="5C9F3435"/>
    <w:rsid w:val="5CED210B"/>
    <w:rsid w:val="5D2107A8"/>
    <w:rsid w:val="5D964776"/>
    <w:rsid w:val="5DD269C1"/>
    <w:rsid w:val="5DDE1A54"/>
    <w:rsid w:val="5F094FE8"/>
    <w:rsid w:val="5F4B4EC7"/>
    <w:rsid w:val="5F534172"/>
    <w:rsid w:val="5F967D7B"/>
    <w:rsid w:val="5FCC621C"/>
    <w:rsid w:val="60407C62"/>
    <w:rsid w:val="605F1ABC"/>
    <w:rsid w:val="607D6974"/>
    <w:rsid w:val="61360451"/>
    <w:rsid w:val="61937EBF"/>
    <w:rsid w:val="61A86F23"/>
    <w:rsid w:val="61E609F1"/>
    <w:rsid w:val="62383621"/>
    <w:rsid w:val="624F1CD0"/>
    <w:rsid w:val="62D05F18"/>
    <w:rsid w:val="6322158D"/>
    <w:rsid w:val="637D06F9"/>
    <w:rsid w:val="63E91153"/>
    <w:rsid w:val="63EB73BE"/>
    <w:rsid w:val="63F70035"/>
    <w:rsid w:val="6410109F"/>
    <w:rsid w:val="645609E1"/>
    <w:rsid w:val="64756F44"/>
    <w:rsid w:val="64D232DD"/>
    <w:rsid w:val="64DC102A"/>
    <w:rsid w:val="64F95E99"/>
    <w:rsid w:val="6651313F"/>
    <w:rsid w:val="66F95B50"/>
    <w:rsid w:val="67972AE2"/>
    <w:rsid w:val="67A267C2"/>
    <w:rsid w:val="67A73E31"/>
    <w:rsid w:val="67AA194C"/>
    <w:rsid w:val="67B6628C"/>
    <w:rsid w:val="67D77C40"/>
    <w:rsid w:val="68427227"/>
    <w:rsid w:val="68993147"/>
    <w:rsid w:val="68B55453"/>
    <w:rsid w:val="68D01D07"/>
    <w:rsid w:val="69080CE4"/>
    <w:rsid w:val="69406945"/>
    <w:rsid w:val="69777119"/>
    <w:rsid w:val="69851FC3"/>
    <w:rsid w:val="69CA11C6"/>
    <w:rsid w:val="69D1310C"/>
    <w:rsid w:val="6A125BE3"/>
    <w:rsid w:val="6ABD4014"/>
    <w:rsid w:val="6ADE0245"/>
    <w:rsid w:val="6B081EDF"/>
    <w:rsid w:val="6B397478"/>
    <w:rsid w:val="6B74457F"/>
    <w:rsid w:val="6BB614AD"/>
    <w:rsid w:val="6C114321"/>
    <w:rsid w:val="6C401E1D"/>
    <w:rsid w:val="6CC462B9"/>
    <w:rsid w:val="6D1B1796"/>
    <w:rsid w:val="6D3766C5"/>
    <w:rsid w:val="6D8B6DD7"/>
    <w:rsid w:val="6DC33BC8"/>
    <w:rsid w:val="6E1868BC"/>
    <w:rsid w:val="6E3304E6"/>
    <w:rsid w:val="6E4D751A"/>
    <w:rsid w:val="6E982039"/>
    <w:rsid w:val="6EA27A4F"/>
    <w:rsid w:val="6EAD5CD0"/>
    <w:rsid w:val="6EE8602E"/>
    <w:rsid w:val="6F2D283B"/>
    <w:rsid w:val="6F48530B"/>
    <w:rsid w:val="6FC777DE"/>
    <w:rsid w:val="6FE12910"/>
    <w:rsid w:val="706978A3"/>
    <w:rsid w:val="70BE1498"/>
    <w:rsid w:val="70C657E5"/>
    <w:rsid w:val="70DB5961"/>
    <w:rsid w:val="70E45919"/>
    <w:rsid w:val="71065C32"/>
    <w:rsid w:val="7164790A"/>
    <w:rsid w:val="71843B28"/>
    <w:rsid w:val="71B76C06"/>
    <w:rsid w:val="71BA7A6E"/>
    <w:rsid w:val="721129BF"/>
    <w:rsid w:val="723E2669"/>
    <w:rsid w:val="739D1BA7"/>
    <w:rsid w:val="73AC2590"/>
    <w:rsid w:val="73DB527D"/>
    <w:rsid w:val="73FA1248"/>
    <w:rsid w:val="74013F33"/>
    <w:rsid w:val="743F3C75"/>
    <w:rsid w:val="74510D7A"/>
    <w:rsid w:val="74A42F30"/>
    <w:rsid w:val="74B24E51"/>
    <w:rsid w:val="7510623E"/>
    <w:rsid w:val="75481FFE"/>
    <w:rsid w:val="758473D9"/>
    <w:rsid w:val="761868A1"/>
    <w:rsid w:val="763A347E"/>
    <w:rsid w:val="775B49E9"/>
    <w:rsid w:val="77A26DFE"/>
    <w:rsid w:val="78AD55C4"/>
    <w:rsid w:val="790642C6"/>
    <w:rsid w:val="792547B1"/>
    <w:rsid w:val="794C38BE"/>
    <w:rsid w:val="797A7C24"/>
    <w:rsid w:val="7A266805"/>
    <w:rsid w:val="7A7F2661"/>
    <w:rsid w:val="7B03028F"/>
    <w:rsid w:val="7B474E96"/>
    <w:rsid w:val="7B4B0C06"/>
    <w:rsid w:val="7B895360"/>
    <w:rsid w:val="7C243E0A"/>
    <w:rsid w:val="7CAD3446"/>
    <w:rsid w:val="7CF51E46"/>
    <w:rsid w:val="7CF61B2A"/>
    <w:rsid w:val="7D23428C"/>
    <w:rsid w:val="7D9A2EFA"/>
    <w:rsid w:val="7DA626F0"/>
    <w:rsid w:val="7DB23EAA"/>
    <w:rsid w:val="7DBD5C5A"/>
    <w:rsid w:val="7DC20351"/>
    <w:rsid w:val="7DD722F0"/>
    <w:rsid w:val="7E682643"/>
    <w:rsid w:val="7EE07768"/>
    <w:rsid w:val="7EF65275"/>
    <w:rsid w:val="7F0551ED"/>
    <w:rsid w:val="7F32585A"/>
    <w:rsid w:val="7F4236E5"/>
    <w:rsid w:val="7FDB0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640" w:firstLineChars="200"/>
      <w:jc w:val="both"/>
    </w:pPr>
    <w:rPr>
      <w:rFonts w:eastAsia="仿宋_GB2312"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50" w:beforeLines="50" w:after="50" w:afterLines="50" w:line="600" w:lineRule="exact"/>
      <w:jc w:val="center"/>
      <w:outlineLvl w:val="0"/>
    </w:pPr>
    <w:rPr>
      <w:rFonts w:eastAsia="方正小标宋_GBK" w:asciiTheme="minorAscii" w:hAnsiTheme="minorAscii"/>
      <w:kern w:val="44"/>
      <w:sz w:val="36"/>
    </w:rPr>
  </w:style>
  <w:style w:type="paragraph" w:styleId="3">
    <w:name w:val="heading 2"/>
    <w:basedOn w:val="1"/>
    <w:next w:val="1"/>
    <w:link w:val="25"/>
    <w:unhideWhenUsed/>
    <w:qFormat/>
    <w:uiPriority w:val="0"/>
    <w:pPr>
      <w:keepNext/>
      <w:keepLines/>
      <w:spacing w:before="260" w:after="260" w:line="413" w:lineRule="auto"/>
      <w:jc w:val="center"/>
      <w:outlineLvl w:val="1"/>
    </w:pPr>
    <w:rPr>
      <w:rFonts w:ascii="Arial" w:hAnsi="Arial" w:eastAsia="黑体"/>
    </w:rPr>
  </w:style>
  <w:style w:type="paragraph" w:styleId="4">
    <w:name w:val="heading 3"/>
    <w:basedOn w:val="1"/>
    <w:next w:val="1"/>
    <w:link w:val="26"/>
    <w:unhideWhenUsed/>
    <w:qFormat/>
    <w:uiPriority w:val="0"/>
    <w:pPr>
      <w:keepNext/>
      <w:keepLines/>
      <w:spacing w:before="50" w:beforeLines="50" w:after="50" w:afterLines="50"/>
      <w:ind w:firstLine="0" w:firstLineChars="0"/>
      <w:outlineLvl w:val="2"/>
    </w:pPr>
    <w:rPr>
      <w:rFonts w:eastAsia="楷体_GB2312"/>
    </w:rPr>
  </w:style>
  <w:style w:type="paragraph" w:styleId="5">
    <w:name w:val="heading 4"/>
    <w:basedOn w:val="1"/>
    <w:next w:val="1"/>
    <w:unhideWhenUsed/>
    <w:qFormat/>
    <w:uiPriority w:val="0"/>
    <w:pPr>
      <w:keepNext/>
      <w:keepLines/>
      <w:spacing w:line="600" w:lineRule="exact"/>
      <w:ind w:firstLine="640" w:firstLineChars="200"/>
      <w:outlineLvl w:val="3"/>
    </w:pPr>
    <w:rPr>
      <w:rFonts w:ascii="Times New Roman" w:hAnsi="Times New Roman" w:eastAsia="仿宋_GB2312" w:cs="Times New Roman"/>
      <w:sz w:val="32"/>
      <w:szCs w:val="32"/>
    </w:rPr>
  </w:style>
  <w:style w:type="paragraph" w:styleId="6">
    <w:name w:val="heading 6"/>
    <w:basedOn w:val="1"/>
    <w:next w:val="1"/>
    <w:link w:val="54"/>
    <w:semiHidden/>
    <w:unhideWhenUsed/>
    <w:qFormat/>
    <w:uiPriority w:val="0"/>
    <w:pPr>
      <w:keepNext/>
      <w:keepLines/>
      <w:spacing w:before="240" w:after="64" w:line="320" w:lineRule="atLeast"/>
      <w:outlineLvl w:val="5"/>
    </w:pPr>
    <w:rPr>
      <w:rFonts w:asciiTheme="majorHAnsi" w:hAnsiTheme="majorHAnsi" w:eastAsiaTheme="majorEastAsia" w:cstheme="majorBidi"/>
      <w:b/>
      <w:bCs/>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7">
    <w:name w:val="table of authorities"/>
    <w:basedOn w:val="1"/>
    <w:next w:val="1"/>
    <w:qFormat/>
    <w:uiPriority w:val="99"/>
    <w:pPr>
      <w:spacing w:line="360" w:lineRule="auto"/>
      <w:ind w:left="420" w:leftChars="200" w:firstLine="200" w:firstLineChars="200"/>
    </w:pPr>
    <w:rPr>
      <w:rFonts w:ascii="Times New Roman" w:hAnsi="Times New Roman" w:eastAsia="宋体"/>
      <w:sz w:val="28"/>
    </w:rPr>
  </w:style>
  <w:style w:type="paragraph" w:styleId="8">
    <w:name w:val="Normal Indent"/>
    <w:basedOn w:val="1"/>
    <w:qFormat/>
    <w:uiPriority w:val="0"/>
    <w:pPr>
      <w:spacing w:line="360" w:lineRule="auto"/>
      <w:ind w:firstLine="420" w:firstLineChars="200"/>
    </w:pPr>
    <w:rPr>
      <w:rFonts w:ascii="Calibri" w:hAnsi="Calibri" w:eastAsia="宋体" w:cs="Times New Roman"/>
      <w:sz w:val="28"/>
    </w:rPr>
  </w:style>
  <w:style w:type="paragraph" w:styleId="9">
    <w:name w:val="Body Text"/>
    <w:basedOn w:val="1"/>
    <w:next w:val="1"/>
    <w:unhideWhenUsed/>
    <w:qFormat/>
    <w:uiPriority w:val="99"/>
    <w:rPr>
      <w:rFonts w:ascii="等线" w:hAnsi="等线" w:eastAsia="宋体" w:cs="Times New Roman"/>
      <w:sz w:val="28"/>
    </w:rPr>
  </w:style>
  <w:style w:type="paragraph" w:styleId="10">
    <w:name w:val="Body Text Indent"/>
    <w:basedOn w:val="1"/>
    <w:qFormat/>
    <w:uiPriority w:val="0"/>
    <w:pPr>
      <w:spacing w:line="360" w:lineRule="auto"/>
      <w:ind w:firstLine="480" w:firstLineChars="150"/>
    </w:pPr>
    <w:rPr>
      <w:rFonts w:ascii="仿宋_GB2312" w:hAnsi="Times New Roman"/>
      <w:bCs/>
      <w:szCs w:val="32"/>
    </w:rPr>
  </w:style>
  <w:style w:type="paragraph" w:styleId="11">
    <w:name w:val="footer"/>
    <w:basedOn w:val="1"/>
    <w:unhideWhenUsed/>
    <w:qFormat/>
    <w:uiPriority w:val="0"/>
    <w:pPr>
      <w:tabs>
        <w:tab w:val="center" w:pos="4153"/>
        <w:tab w:val="right" w:pos="8306"/>
      </w:tabs>
      <w:snapToGrid w:val="0"/>
      <w:jc w:val="left"/>
    </w:pPr>
    <w:rPr>
      <w:sz w:val="18"/>
      <w:szCs w:val="18"/>
    </w:rPr>
  </w:style>
  <w:style w:type="paragraph" w:styleId="12">
    <w:name w:val="header"/>
    <w:basedOn w:val="1"/>
    <w:link w:val="38"/>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06"/>
      </w:tabs>
      <w:ind w:left="0" w:firstLine="0" w:firstLineChars="0"/>
    </w:pPr>
    <w:rPr>
      <w:rFonts w:ascii="Times New Roman" w:hAnsi="Times New Roman" w:eastAsia="黑体" w:cs="Times New Roman"/>
      <w:sz w:val="28"/>
      <w:szCs w:val="28"/>
    </w:rPr>
  </w:style>
  <w:style w:type="paragraph" w:styleId="14">
    <w:name w:val="Body Text Indent 3"/>
    <w:basedOn w:val="1"/>
    <w:link w:val="53"/>
    <w:autoRedefine/>
    <w:qFormat/>
    <w:uiPriority w:val="0"/>
    <w:pPr>
      <w:spacing w:after="120"/>
      <w:ind w:left="420" w:leftChars="200"/>
    </w:pPr>
    <w:rPr>
      <w:sz w:val="16"/>
      <w:szCs w:val="16"/>
    </w:rPr>
  </w:style>
  <w:style w:type="paragraph" w:styleId="15">
    <w:name w:val="toc 2"/>
    <w:basedOn w:val="1"/>
    <w:next w:val="1"/>
    <w:qFormat/>
    <w:uiPriority w:val="39"/>
    <w:pPr>
      <w:tabs>
        <w:tab w:val="right" w:leader="dot" w:pos="8306"/>
      </w:tabs>
      <w:ind w:firstLine="640" w:firstLineChars="200"/>
    </w:pPr>
    <w:rPr>
      <w:rFonts w:ascii="Times New Roman" w:hAnsi="Times New Roman" w:cs="Times New Roman"/>
      <w:sz w:val="28"/>
      <w:szCs w:val="28"/>
    </w:r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7">
    <w:name w:val="Body Text First Indent"/>
    <w:basedOn w:val="9"/>
    <w:qFormat/>
    <w:uiPriority w:val="0"/>
    <w:rPr>
      <w:rFonts w:eastAsia="仿宋_GB2312"/>
      <w:szCs w:val="20"/>
    </w:rPr>
  </w:style>
  <w:style w:type="paragraph" w:styleId="18">
    <w:name w:val="Body Text First Indent 2"/>
    <w:basedOn w:val="10"/>
    <w:autoRedefine/>
    <w:unhideWhenUsed/>
    <w:qFormat/>
    <w:uiPriority w:val="99"/>
    <w:pPr>
      <w:spacing w:line="240" w:lineRule="auto"/>
      <w:ind w:firstLine="0" w:firstLineChars="0"/>
      <w:jc w:val="center"/>
    </w:pPr>
    <w:rPr>
      <w:rFonts w:hAnsi="仿宋_GB2312" w:eastAsia="宋体" w:cs="Times New Roman"/>
      <w:sz w:val="21"/>
      <w:szCs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paragraph" w:customStyle="1" w:styleId="23">
    <w:name w:val="BodyText1I2"/>
    <w:basedOn w:val="24"/>
    <w:qFormat/>
    <w:uiPriority w:val="0"/>
    <w:pPr>
      <w:tabs>
        <w:tab w:val="left" w:pos="540"/>
      </w:tabs>
      <w:spacing w:line="360" w:lineRule="auto"/>
      <w:ind w:firstLine="420" w:firstLineChars="200"/>
      <w:jc w:val="left"/>
    </w:pPr>
    <w:rPr>
      <w:rFonts w:ascii="Times New Roman" w:hAnsi="Times New Roman" w:eastAsia="宋体"/>
      <w:color w:val="000000"/>
      <w:sz w:val="24"/>
    </w:rPr>
  </w:style>
  <w:style w:type="paragraph" w:customStyle="1" w:styleId="24">
    <w:name w:val="BodyTextIndent"/>
    <w:basedOn w:val="1"/>
    <w:qFormat/>
    <w:uiPriority w:val="0"/>
    <w:pPr>
      <w:spacing w:after="120"/>
      <w:ind w:left="420" w:leftChars="200"/>
      <w:textAlignment w:val="baseline"/>
    </w:pPr>
  </w:style>
  <w:style w:type="character" w:customStyle="1" w:styleId="25">
    <w:name w:val="标题 2 字符"/>
    <w:link w:val="3"/>
    <w:autoRedefine/>
    <w:qFormat/>
    <w:uiPriority w:val="0"/>
    <w:rPr>
      <w:rFonts w:ascii="Arial" w:hAnsi="Arial" w:eastAsia="黑体"/>
      <w:sz w:val="32"/>
    </w:rPr>
  </w:style>
  <w:style w:type="character" w:customStyle="1" w:styleId="26">
    <w:name w:val="标题 3 字符"/>
    <w:basedOn w:val="21"/>
    <w:link w:val="4"/>
    <w:autoRedefine/>
    <w:qFormat/>
    <w:uiPriority w:val="0"/>
    <w:rPr>
      <w:rFonts w:eastAsia="楷体_GB2312" w:asciiTheme="minorAscii" w:hAnsiTheme="minorAscii"/>
      <w:sz w:val="32"/>
    </w:rPr>
  </w:style>
  <w:style w:type="table" w:customStyle="1" w:styleId="27">
    <w:name w:val="Table Normal"/>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28">
    <w:name w:val="文本三级"/>
    <w:basedOn w:val="1"/>
    <w:qFormat/>
    <w:uiPriority w:val="0"/>
    <w:pPr>
      <w:spacing w:before="50" w:beforeLines="50" w:after="50" w:afterLines="50" w:line="560" w:lineRule="exact"/>
      <w:ind w:firstLine="200" w:firstLineChars="200"/>
      <w:outlineLvl w:val="3"/>
    </w:pPr>
    <w:rPr>
      <w:rFonts w:ascii="仿宋" w:hAnsi="仿宋" w:eastAsia="楷体"/>
      <w:szCs w:val="30"/>
    </w:rPr>
  </w:style>
  <w:style w:type="paragraph" w:customStyle="1" w:styleId="29">
    <w:name w:val="文本正文"/>
    <w:basedOn w:val="1"/>
    <w:link w:val="30"/>
    <w:autoRedefine/>
    <w:qFormat/>
    <w:uiPriority w:val="0"/>
    <w:pPr>
      <w:ind w:firstLine="560" w:firstLineChars="200"/>
    </w:pPr>
    <w:rPr>
      <w:rFonts w:ascii="Times New Roman" w:hAnsi="Times New Roman" w:cs="Times New Roman"/>
    </w:rPr>
  </w:style>
  <w:style w:type="character" w:customStyle="1" w:styleId="30">
    <w:name w:val="文本正文 Char"/>
    <w:basedOn w:val="21"/>
    <w:link w:val="29"/>
    <w:qFormat/>
    <w:uiPriority w:val="0"/>
    <w:rPr>
      <w:rFonts w:ascii="Times New Roman" w:hAnsi="Times New Roman" w:eastAsia="仿宋_GB2312" w:cs="Times New Roman"/>
      <w:sz w:val="32"/>
    </w:rPr>
  </w:style>
  <w:style w:type="paragraph" w:customStyle="1" w:styleId="31">
    <w:name w:val="文本二级标题"/>
    <w:basedOn w:val="3"/>
    <w:qFormat/>
    <w:uiPriority w:val="0"/>
    <w:pPr>
      <w:spacing w:before="50" w:beforeLines="50" w:after="50" w:afterLines="50" w:line="600" w:lineRule="exact"/>
      <w:ind w:hanging="658" w:hangingChars="313"/>
    </w:pPr>
    <w:rPr>
      <w:rFonts w:ascii="Times New Roman" w:hAnsi="Times New Roman"/>
    </w:rPr>
  </w:style>
  <w:style w:type="paragraph" w:customStyle="1" w:styleId="32">
    <w:name w:val="A正文"/>
    <w:basedOn w:val="1"/>
    <w:autoRedefine/>
    <w:qFormat/>
    <w:uiPriority w:val="0"/>
    <w:pPr>
      <w:spacing w:line="312" w:lineRule="auto"/>
      <w:ind w:firstLine="480" w:firstLineChars="200"/>
      <w:jc w:val="left"/>
    </w:pPr>
    <w:rPr>
      <w:rFonts w:ascii="Calibri" w:hAnsi="Calibri" w:eastAsia="宋体" w:cs="Times New Roman"/>
      <w:sz w:val="24"/>
      <w:lang w:val="zh-CN"/>
    </w:rPr>
  </w:style>
  <w:style w:type="paragraph" w:customStyle="1" w:styleId="33">
    <w:name w:val="标题4"/>
    <w:basedOn w:val="29"/>
    <w:qFormat/>
    <w:uiPriority w:val="0"/>
    <w:pPr>
      <w:ind w:firstLine="562"/>
    </w:pPr>
    <w:rPr>
      <w:rFonts w:eastAsia="楷体"/>
      <w:b/>
      <w:bCs/>
    </w:rPr>
  </w:style>
  <w:style w:type="paragraph" w:customStyle="1" w:styleId="34">
    <w:name w:val="Default"/>
    <w:qFormat/>
    <w:uiPriority w:val="0"/>
    <w:pPr>
      <w:widowControl w:val="0"/>
      <w:autoSpaceDE w:val="0"/>
      <w:autoSpaceDN w:val="0"/>
      <w:adjustRightInd w:val="0"/>
    </w:pPr>
    <w:rPr>
      <w:rFonts w:ascii="楷体" w:hAnsi="楷体" w:cs="楷体" w:eastAsiaTheme="minorEastAsia"/>
      <w:color w:val="000000"/>
      <w:sz w:val="24"/>
      <w:szCs w:val="24"/>
      <w:lang w:val="en-US" w:eastAsia="zh-CN" w:bidi="ar-SA"/>
    </w:rPr>
  </w:style>
  <w:style w:type="paragraph" w:customStyle="1" w:styleId="35">
    <w:name w:val="文本1"/>
    <w:basedOn w:val="2"/>
    <w:qFormat/>
    <w:uiPriority w:val="0"/>
    <w:pPr>
      <w:tabs>
        <w:tab w:val="left" w:pos="0"/>
      </w:tabs>
      <w:spacing w:before="240" w:after="240" w:line="560" w:lineRule="exact"/>
      <w:ind w:hanging="1480" w:hangingChars="705"/>
    </w:pPr>
    <w:rPr>
      <w:rFonts w:ascii="Times New Roman" w:hAnsi="Times New Roman" w:eastAsia="黑体" w:cs="Times New Roman"/>
      <w:szCs w:val="36"/>
    </w:rPr>
  </w:style>
  <w:style w:type="paragraph" w:customStyle="1" w:styleId="36">
    <w:name w:val="WPSOffice手动目录 1"/>
    <w:qFormat/>
    <w:uiPriority w:val="0"/>
    <w:rPr>
      <w:rFonts w:ascii="Times New Roman" w:hAnsi="Times New Roman" w:eastAsia="宋体" w:cs="Times New Roman"/>
      <w:lang w:val="en-US" w:eastAsia="zh-CN" w:bidi="ar-SA"/>
    </w:rPr>
  </w:style>
  <w:style w:type="paragraph" w:customStyle="1" w:styleId="3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38">
    <w:name w:val="页眉 字符"/>
    <w:basedOn w:val="21"/>
    <w:link w:val="12"/>
    <w:qFormat/>
    <w:uiPriority w:val="0"/>
    <w:rPr>
      <w:rFonts w:eastAsia="仿宋" w:asciiTheme="minorHAnsi" w:hAnsiTheme="minorHAnsi" w:cstheme="minorBidi"/>
      <w:kern w:val="2"/>
      <w:sz w:val="18"/>
      <w:szCs w:val="18"/>
    </w:rPr>
  </w:style>
  <w:style w:type="paragraph" w:styleId="39">
    <w:name w:val="List Paragraph"/>
    <w:basedOn w:val="1"/>
    <w:qFormat/>
    <w:uiPriority w:val="34"/>
    <w:pPr>
      <w:ind w:firstLine="420" w:firstLineChars="200"/>
    </w:pPr>
  </w:style>
  <w:style w:type="character" w:customStyle="1" w:styleId="40">
    <w:name w:val="font11"/>
    <w:basedOn w:val="21"/>
    <w:qFormat/>
    <w:uiPriority w:val="0"/>
    <w:rPr>
      <w:rFonts w:hint="eastAsia" w:ascii="宋体" w:hAnsi="宋体" w:eastAsia="宋体" w:cs="宋体"/>
      <w:color w:val="000000"/>
      <w:sz w:val="20"/>
      <w:szCs w:val="20"/>
      <w:u w:val="none"/>
    </w:rPr>
  </w:style>
  <w:style w:type="character" w:customStyle="1" w:styleId="41">
    <w:name w:val="font01"/>
    <w:basedOn w:val="21"/>
    <w:qFormat/>
    <w:uiPriority w:val="0"/>
    <w:rPr>
      <w:rFonts w:ascii="Arial" w:hAnsi="Arial" w:cs="Arial"/>
      <w:color w:val="000000"/>
      <w:sz w:val="20"/>
      <w:szCs w:val="20"/>
      <w:u w:val="none"/>
    </w:rPr>
  </w:style>
  <w:style w:type="character" w:customStyle="1" w:styleId="42">
    <w:name w:val="font41"/>
    <w:basedOn w:val="21"/>
    <w:qFormat/>
    <w:uiPriority w:val="0"/>
    <w:rPr>
      <w:rFonts w:hint="eastAsia" w:ascii="仿宋" w:hAnsi="仿宋" w:eastAsia="仿宋" w:cs="仿宋"/>
      <w:color w:val="000000"/>
      <w:sz w:val="22"/>
      <w:szCs w:val="22"/>
      <w:u w:val="none"/>
      <w:vertAlign w:val="superscript"/>
    </w:rPr>
  </w:style>
  <w:style w:type="paragraph" w:customStyle="1" w:styleId="43">
    <w:name w:val="节标题"/>
    <w:basedOn w:val="1"/>
    <w:autoRedefine/>
    <w:qFormat/>
    <w:uiPriority w:val="0"/>
    <w:pPr>
      <w:keepNext/>
      <w:keepLines/>
      <w:spacing w:before="100" w:beforeLines="100" w:after="100" w:afterLines="100" w:line="560" w:lineRule="exact"/>
      <w:ind w:hanging="1006" w:hangingChars="313"/>
      <w:jc w:val="center"/>
      <w:outlineLvl w:val="1"/>
    </w:pPr>
    <w:rPr>
      <w:rFonts w:ascii="Arial" w:hAnsi="Arial" w:eastAsia="黑体"/>
    </w:rPr>
  </w:style>
  <w:style w:type="character" w:customStyle="1" w:styleId="44">
    <w:name w:val="font21"/>
    <w:basedOn w:val="21"/>
    <w:autoRedefine/>
    <w:qFormat/>
    <w:uiPriority w:val="0"/>
    <w:rPr>
      <w:rFonts w:hint="default" w:ascii="Times New Roman" w:hAnsi="Times New Roman" w:cs="Times New Roman"/>
      <w:color w:val="000000"/>
      <w:sz w:val="22"/>
      <w:szCs w:val="22"/>
      <w:u w:val="none"/>
    </w:rPr>
  </w:style>
  <w:style w:type="paragraph" w:customStyle="1" w:styleId="45">
    <w:name w:val="Table Paragraph"/>
    <w:basedOn w:val="1"/>
    <w:autoRedefine/>
    <w:qFormat/>
    <w:uiPriority w:val="1"/>
    <w:pPr>
      <w:autoSpaceDE w:val="0"/>
      <w:autoSpaceDN w:val="0"/>
      <w:spacing w:before="45"/>
      <w:jc w:val="left"/>
    </w:pPr>
    <w:rPr>
      <w:rFonts w:ascii="宋体" w:hAnsi="宋体" w:eastAsia="宋体" w:cs="宋体"/>
      <w:kern w:val="0"/>
      <w:sz w:val="22"/>
    </w:rPr>
  </w:style>
  <w:style w:type="paragraph" w:customStyle="1" w:styleId="46">
    <w:name w:val="样式 样式 样式 样式 样式 首行缩进:  2 字符1 + 首行缩进:  2 字符 + 首行缩进:  2 字符 + 首行缩进: ..."/>
    <w:basedOn w:val="1"/>
    <w:autoRedefine/>
    <w:qFormat/>
    <w:uiPriority w:val="0"/>
    <w:pPr>
      <w:spacing w:line="420" w:lineRule="exact"/>
      <w:ind w:firstLine="200" w:firstLineChars="200"/>
    </w:pPr>
    <w:rPr>
      <w:rFonts w:ascii="Times New Roman" w:hAnsi="Times New Roman" w:cs="宋体"/>
      <w:sz w:val="24"/>
    </w:rPr>
  </w:style>
  <w:style w:type="paragraph" w:customStyle="1" w:styleId="47">
    <w:name w:val="333"/>
    <w:basedOn w:val="46"/>
    <w:autoRedefine/>
    <w:qFormat/>
    <w:uiPriority w:val="0"/>
    <w:pPr>
      <w:spacing w:line="360" w:lineRule="auto"/>
      <w:ind w:firstLine="480"/>
    </w:pPr>
  </w:style>
  <w:style w:type="character" w:customStyle="1" w:styleId="48">
    <w:name w:val="font51"/>
    <w:basedOn w:val="21"/>
    <w:autoRedefine/>
    <w:qFormat/>
    <w:uiPriority w:val="0"/>
    <w:rPr>
      <w:rFonts w:hint="default" w:ascii="Tahoma" w:hAnsi="Tahoma" w:eastAsia="Tahoma" w:cs="Tahoma"/>
      <w:color w:val="000000"/>
      <w:sz w:val="22"/>
      <w:szCs w:val="22"/>
      <w:u w:val="none"/>
    </w:rPr>
  </w:style>
  <w:style w:type="character" w:customStyle="1" w:styleId="49">
    <w:name w:val="font81"/>
    <w:basedOn w:val="21"/>
    <w:autoRedefine/>
    <w:qFormat/>
    <w:uiPriority w:val="0"/>
    <w:rPr>
      <w:rFonts w:ascii="宋体" w:hAnsi="宋体" w:eastAsia="宋体" w:cs="宋体"/>
      <w:color w:val="000000"/>
      <w:sz w:val="22"/>
      <w:szCs w:val="22"/>
      <w:u w:val="none"/>
    </w:rPr>
  </w:style>
  <w:style w:type="character" w:customStyle="1" w:styleId="50">
    <w:name w:val="font91"/>
    <w:basedOn w:val="21"/>
    <w:autoRedefine/>
    <w:qFormat/>
    <w:uiPriority w:val="0"/>
    <w:rPr>
      <w:rFonts w:hint="default" w:ascii="Tahoma" w:hAnsi="Tahoma" w:eastAsia="Tahoma" w:cs="Tahoma"/>
      <w:color w:val="000000"/>
      <w:sz w:val="22"/>
      <w:szCs w:val="22"/>
      <w:u w:val="none"/>
    </w:rPr>
  </w:style>
  <w:style w:type="character" w:customStyle="1" w:styleId="51">
    <w:name w:val="font61"/>
    <w:basedOn w:val="21"/>
    <w:autoRedefine/>
    <w:qFormat/>
    <w:uiPriority w:val="0"/>
    <w:rPr>
      <w:rFonts w:ascii="宋体" w:hAnsi="宋体" w:eastAsia="宋体" w:cs="宋体"/>
      <w:color w:val="000000"/>
      <w:sz w:val="22"/>
      <w:szCs w:val="22"/>
      <w:u w:val="none"/>
    </w:rPr>
  </w:style>
  <w:style w:type="character" w:customStyle="1" w:styleId="52">
    <w:name w:val="font71"/>
    <w:basedOn w:val="21"/>
    <w:autoRedefine/>
    <w:qFormat/>
    <w:uiPriority w:val="0"/>
    <w:rPr>
      <w:rFonts w:hint="eastAsia" w:ascii="宋体" w:hAnsi="宋体" w:eastAsia="宋体" w:cs="宋体"/>
      <w:color w:val="000000"/>
      <w:sz w:val="22"/>
      <w:szCs w:val="22"/>
      <w:u w:val="none"/>
    </w:rPr>
  </w:style>
  <w:style w:type="character" w:customStyle="1" w:styleId="53">
    <w:name w:val="正文文本缩进 3 字符"/>
    <w:basedOn w:val="21"/>
    <w:link w:val="14"/>
    <w:autoRedefine/>
    <w:qFormat/>
    <w:uiPriority w:val="0"/>
    <w:rPr>
      <w:rFonts w:eastAsia="仿宋_GB2312" w:asciiTheme="minorHAnsi" w:hAnsiTheme="minorHAnsi" w:cstheme="minorBidi"/>
      <w:kern w:val="2"/>
      <w:sz w:val="16"/>
      <w:szCs w:val="16"/>
    </w:rPr>
  </w:style>
  <w:style w:type="character" w:customStyle="1" w:styleId="54">
    <w:name w:val="标题 6 字符"/>
    <w:basedOn w:val="21"/>
    <w:link w:val="6"/>
    <w:qFormat/>
    <w:uiPriority w:val="0"/>
    <w:rPr>
      <w:rFonts w:asciiTheme="majorHAnsi" w:hAnsiTheme="majorHAnsi" w:eastAsiaTheme="majorEastAsia" w:cstheme="majorBidi"/>
      <w:b/>
      <w:bCs/>
      <w:kern w:val="2"/>
      <w:sz w:val="24"/>
      <w:szCs w:val="24"/>
    </w:rPr>
  </w:style>
  <w:style w:type="paragraph" w:customStyle="1" w:styleId="55">
    <w:name w:val="标题2_基于章节格式"/>
    <w:basedOn w:val="3"/>
    <w:next w:val="1"/>
    <w:qFormat/>
    <w:uiPriority w:val="0"/>
    <w:pPr>
      <w:tabs>
        <w:tab w:val="left" w:pos="0"/>
      </w:tabs>
      <w:adjustRightInd w:val="0"/>
      <w:spacing w:before="80" w:after="0" w:line="360" w:lineRule="auto"/>
      <w:ind w:left="454"/>
    </w:pPr>
    <w:rPr>
      <w:rFonts w:eastAsia="方正小标宋简体"/>
      <w:sz w:val="30"/>
    </w:rPr>
  </w:style>
  <w:style w:type="paragraph" w:customStyle="1" w:styleId="56">
    <w:name w:val="表格文字"/>
    <w:basedOn w:val="1"/>
    <w:qFormat/>
    <w:uiPriority w:val="0"/>
    <w:pPr>
      <w:widowControl/>
      <w:tabs>
        <w:tab w:val="left" w:pos="360"/>
      </w:tabs>
      <w:spacing w:line="360" w:lineRule="auto"/>
      <w:jc w:val="center"/>
    </w:pPr>
    <w:rPr>
      <w:rFonts w:cs="等线"/>
      <w:kern w:val="0"/>
      <w:sz w:val="21"/>
      <w:szCs w:val="21"/>
    </w:rPr>
  </w:style>
  <w:style w:type="paragraph" w:customStyle="1" w:styleId="57">
    <w:name w:val="_Style 1"/>
    <w:basedOn w:val="1"/>
    <w:qFormat/>
    <w:uiPriority w:val="0"/>
    <w:pPr>
      <w:ind w:firstLine="200" w:firstLineChars="200"/>
    </w:pPr>
    <w:rPr>
      <w:rFonts w:ascii="Calibri" w:hAnsi="Calibri"/>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70</Pages>
  <Words>11650</Words>
  <Characters>12215</Characters>
  <Lines>346</Lines>
  <Paragraphs>97</Paragraphs>
  <TotalTime>0</TotalTime>
  <ScaleCrop>false</ScaleCrop>
  <LinksUpToDate>false</LinksUpToDate>
  <CharactersWithSpaces>12500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2024-07-02T10:46:00Z</dcterms:created>
  <dc:creator>Administrator</dc:creator>
  <cp:lastModifiedBy>迷人的大昊昊</cp:lastModifiedBy>
  <cp:lastPrinted>2023-03-09T14:11:00Z</cp:lastPrinted>
  <dcterms:modified xsi:type="dcterms:W3CDTF">2026-09-03T07:57:35Z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61F8573572D5497AA9DBA44B6352FF84_13</vt:lpwstr>
  </property>
  <property fmtid="{D5CDD505-2E9C-101B-9397-08002B2CF9AE}" pid="4" name="KSOTemplateDocerSaveRecord">
    <vt:lpwstr>eyJoZGlkIjoiZGNiYjY4YTljOWEwZTA4N2RkMmJiYTQ2ZjI3ZDIwZDAiLCJ1c2VySWQiOiIzNTI3NTI0OTgifQ==</vt:lpwstr>
  </property>
</Properties>
</file>