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BA011">
      <w:pPr>
        <w:spacing w:line="600" w:lineRule="atLeast"/>
        <w:rPr>
          <w:rFonts w:ascii="Times New Roman" w:hAnsi="Times New Roman" w:cs="Times New Roman"/>
          <w:color w:val="auto"/>
          <w:sz w:val="52"/>
          <w:szCs w:val="52"/>
          <w:highlight w:val="none"/>
        </w:rPr>
      </w:pPr>
      <w:bookmarkStart w:id="0" w:name="_Toc32551"/>
      <w:bookmarkStart w:id="1" w:name="_Toc107904294"/>
      <w:bookmarkStart w:id="2" w:name="_Toc16858"/>
      <w:bookmarkStart w:id="3" w:name="_Toc4908"/>
    </w:p>
    <w:p w14:paraId="03CB4CD3">
      <w:pPr>
        <w:widowControl w:val="0"/>
        <w:spacing w:line="600" w:lineRule="exact"/>
        <w:jc w:val="both"/>
        <w:rPr>
          <w:rFonts w:ascii="Times New Roman" w:hAnsi="Times New Roman" w:eastAsia="宋体" w:cs="Times New Roman"/>
          <w:color w:val="auto"/>
          <w:kern w:val="2"/>
          <w:sz w:val="28"/>
          <w:szCs w:val="24"/>
          <w:highlight w:val="none"/>
          <w:lang w:val="en-US" w:eastAsia="zh-CN" w:bidi="ar-SA"/>
        </w:rPr>
      </w:pPr>
    </w:p>
    <w:p w14:paraId="5A09A504">
      <w:pPr>
        <w:rPr>
          <w:rFonts w:ascii="Times New Roman" w:hAnsi="Times New Roman" w:cs="Times New Roman"/>
          <w:color w:val="auto"/>
          <w:highlight w:val="none"/>
        </w:rPr>
      </w:pPr>
    </w:p>
    <w:p w14:paraId="6602C398">
      <w:pPr>
        <w:rPr>
          <w:rFonts w:ascii="Times New Roman" w:hAnsi="Times New Roman" w:cs="Times New Roman"/>
          <w:color w:val="auto"/>
          <w:highlight w:val="none"/>
        </w:rPr>
      </w:pPr>
    </w:p>
    <w:p w14:paraId="19D854EC">
      <w:pPr>
        <w:widowControl w:val="0"/>
        <w:spacing w:line="600" w:lineRule="exact"/>
        <w:jc w:val="both"/>
        <w:rPr>
          <w:rFonts w:ascii="Times New Roman" w:hAnsi="Times New Roman" w:eastAsia="宋体" w:cs="Times New Roman"/>
          <w:color w:val="auto"/>
          <w:kern w:val="2"/>
          <w:sz w:val="28"/>
          <w:szCs w:val="24"/>
          <w:highlight w:val="none"/>
          <w:lang w:val="en-US" w:eastAsia="zh-CN" w:bidi="ar-SA"/>
        </w:rPr>
      </w:pPr>
    </w:p>
    <w:p w14:paraId="6D5630B7">
      <w:pPr>
        <w:spacing w:line="240" w:lineRule="auto"/>
        <w:jc w:val="center"/>
        <w:rPr>
          <w:rFonts w:ascii="Times New Roman" w:hAnsi="Times New Roman" w:eastAsia="方正小标宋简体" w:cs="Times New Roman"/>
          <w:color w:val="auto"/>
          <w:sz w:val="44"/>
          <w:szCs w:val="44"/>
          <w:highlight w:val="none"/>
        </w:rPr>
      </w:pPr>
      <w:bookmarkStart w:id="4" w:name="_Toc29010"/>
      <w:bookmarkStart w:id="5" w:name="_Toc16400"/>
      <w:bookmarkStart w:id="6" w:name="_Toc1861"/>
      <w:bookmarkStart w:id="7" w:name="_Toc129692440"/>
      <w:bookmarkStart w:id="8" w:name="_Toc119402394"/>
      <w:bookmarkStart w:id="9" w:name="_Toc8090"/>
      <w:bookmarkStart w:id="10" w:name="_Toc9202"/>
      <w:bookmarkStart w:id="11" w:name="_Toc11434"/>
      <w:bookmarkStart w:id="12" w:name="_Toc21860"/>
      <w:bookmarkStart w:id="13" w:name="_Toc5912"/>
      <w:bookmarkStart w:id="14" w:name="_Toc18379"/>
      <w:bookmarkStart w:id="15" w:name="_Toc31804"/>
      <w:bookmarkStart w:id="16" w:name="_Toc10352"/>
      <w:bookmarkStart w:id="17" w:name="_Toc28443"/>
      <w:bookmarkStart w:id="18" w:name="_Toc20260"/>
      <w:bookmarkStart w:id="19" w:name="_Toc30103"/>
      <w:bookmarkStart w:id="20" w:name="_Toc11931"/>
      <w:bookmarkStart w:id="21" w:name="_Toc7354"/>
      <w:bookmarkStart w:id="22" w:name="_Toc21991"/>
      <w:r>
        <w:rPr>
          <w:rFonts w:ascii="Times New Roman" w:hAnsi="Times New Roman" w:eastAsia="方正小标宋简体" w:cs="Times New Roman"/>
          <w:color w:val="auto"/>
          <w:sz w:val="44"/>
          <w:szCs w:val="44"/>
          <w:highlight w:val="none"/>
        </w:rPr>
        <w:t>桦川</w:t>
      </w:r>
      <w:r>
        <w:rPr>
          <w:rFonts w:hint="eastAsia" w:ascii="Times New Roman" w:hAnsi="Times New Roman" w:eastAsia="方正小标宋简体" w:cs="Times New Roman"/>
          <w:color w:val="auto"/>
          <w:sz w:val="44"/>
          <w:szCs w:val="44"/>
          <w:highlight w:val="none"/>
          <w:lang w:eastAsia="zh-CN"/>
        </w:rPr>
        <w:t>县</w:t>
      </w:r>
      <w:r>
        <w:rPr>
          <w:rFonts w:ascii="Times New Roman" w:hAnsi="Times New Roman" w:eastAsia="方正小标宋简体" w:cs="Times New Roman"/>
          <w:color w:val="auto"/>
          <w:sz w:val="44"/>
          <w:szCs w:val="44"/>
          <w:highlight w:val="none"/>
        </w:rPr>
        <w:t>苏家店</w:t>
      </w:r>
      <w:r>
        <w:rPr>
          <w:rFonts w:hint="eastAsia" w:ascii="Times New Roman" w:hAnsi="Times New Roman" w:eastAsia="方正小标宋简体" w:cs="Times New Roman"/>
          <w:color w:val="auto"/>
          <w:sz w:val="44"/>
          <w:szCs w:val="44"/>
          <w:highlight w:val="none"/>
          <w:lang w:eastAsia="zh-CN"/>
        </w:rPr>
        <w:t>镇</w:t>
      </w:r>
      <w:r>
        <w:rPr>
          <w:rFonts w:ascii="Times New Roman" w:hAnsi="Times New Roman" w:eastAsia="方正小标宋简体" w:cs="Times New Roman"/>
          <w:color w:val="auto"/>
          <w:sz w:val="44"/>
          <w:szCs w:val="44"/>
          <w:highlight w:val="none"/>
        </w:rPr>
        <w:t>国土空间总体规划</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CBB6169">
      <w:pPr>
        <w:spacing w:line="240" w:lineRule="auto"/>
        <w:jc w:val="center"/>
        <w:rPr>
          <w:rFonts w:ascii="Times New Roman" w:hAnsi="Times New Roman" w:eastAsia="黑体" w:cs="Times New Roman"/>
          <w:color w:val="auto"/>
          <w:kern w:val="44"/>
          <w:sz w:val="44"/>
          <w:szCs w:val="44"/>
          <w:highlight w:val="none"/>
        </w:rPr>
      </w:pPr>
      <w:r>
        <w:rPr>
          <w:rFonts w:ascii="Times New Roman" w:hAnsi="Times New Roman" w:eastAsia="方正小标宋简体" w:cs="Times New Roman"/>
          <w:color w:val="auto"/>
          <w:sz w:val="44"/>
          <w:szCs w:val="44"/>
          <w:highlight w:val="none"/>
        </w:rPr>
        <w:t>（2021—2035年）</w:t>
      </w:r>
    </w:p>
    <w:p w14:paraId="6E50A2A5">
      <w:pPr>
        <w:spacing w:line="600" w:lineRule="atLeast"/>
        <w:jc w:val="center"/>
        <w:rPr>
          <w:rFonts w:ascii="Times New Roman" w:hAnsi="Times New Roman" w:eastAsia="方正小标宋简体" w:cs="Times New Roman"/>
          <w:color w:val="auto"/>
          <w:kern w:val="44"/>
          <w:sz w:val="44"/>
          <w:szCs w:val="44"/>
          <w:highlight w:val="none"/>
        </w:rPr>
      </w:pPr>
    </w:p>
    <w:p w14:paraId="28E6A7F6">
      <w:pPr>
        <w:spacing w:line="600" w:lineRule="atLeast"/>
        <w:jc w:val="center"/>
        <w:rPr>
          <w:rFonts w:ascii="Times New Roman" w:hAnsi="Times New Roman" w:eastAsia="方正小标宋简体" w:cs="Times New Roman"/>
          <w:color w:val="auto"/>
          <w:kern w:val="44"/>
          <w:sz w:val="44"/>
          <w:szCs w:val="44"/>
          <w:highlight w:val="none"/>
        </w:rPr>
      </w:pPr>
    </w:p>
    <w:p w14:paraId="0C7F9031">
      <w:pPr>
        <w:spacing w:line="600" w:lineRule="atLeast"/>
        <w:jc w:val="center"/>
        <w:rPr>
          <w:rFonts w:ascii="Times New Roman" w:hAnsi="Times New Roman" w:eastAsia="方正小标宋简体" w:cs="Times New Roman"/>
          <w:color w:val="auto"/>
          <w:kern w:val="44"/>
          <w:sz w:val="44"/>
          <w:szCs w:val="44"/>
          <w:highlight w:val="none"/>
        </w:rPr>
      </w:pPr>
    </w:p>
    <w:p w14:paraId="2683F739">
      <w:pPr>
        <w:spacing w:line="600" w:lineRule="atLeast"/>
        <w:jc w:val="center"/>
        <w:rPr>
          <w:rFonts w:ascii="Times New Roman" w:hAnsi="Times New Roman" w:eastAsia="方正小标宋简体" w:cs="Times New Roman"/>
          <w:color w:val="auto"/>
          <w:kern w:val="44"/>
          <w:sz w:val="44"/>
          <w:szCs w:val="44"/>
          <w:highlight w:val="none"/>
        </w:rPr>
      </w:pPr>
    </w:p>
    <w:p w14:paraId="2ADFD6A5">
      <w:pPr>
        <w:widowControl w:val="0"/>
        <w:spacing w:line="600" w:lineRule="atLeast"/>
        <w:ind w:left="0" w:leftChars="0" w:firstLine="0" w:firstLineChars="0"/>
        <w:jc w:val="center"/>
        <w:rPr>
          <w:rFonts w:ascii="Times New Roman" w:hAnsi="Times New Roman" w:eastAsia="黑体" w:cs="Times New Roman"/>
          <w:color w:val="auto"/>
          <w:kern w:val="44"/>
          <w:sz w:val="44"/>
          <w:szCs w:val="44"/>
          <w:highlight w:val="none"/>
          <w:lang w:val="en-US" w:eastAsia="zh-CN" w:bidi="ar-SA"/>
        </w:rPr>
      </w:pPr>
    </w:p>
    <w:p w14:paraId="6F98890F">
      <w:pPr>
        <w:rPr>
          <w:rFonts w:ascii="Times New Roman" w:hAnsi="Times New Roman" w:cs="Times New Roman"/>
          <w:color w:val="auto"/>
          <w:sz w:val="28"/>
          <w:highlight w:val="none"/>
        </w:rPr>
      </w:pPr>
    </w:p>
    <w:p w14:paraId="54F6AD58">
      <w:pPr>
        <w:widowControl w:val="0"/>
        <w:spacing w:line="600" w:lineRule="exact"/>
        <w:jc w:val="both"/>
        <w:rPr>
          <w:rFonts w:ascii="Times New Roman" w:hAnsi="Times New Roman" w:eastAsia="宋体" w:cs="Times New Roman"/>
          <w:color w:val="auto"/>
          <w:kern w:val="2"/>
          <w:sz w:val="28"/>
          <w:szCs w:val="24"/>
          <w:highlight w:val="none"/>
          <w:lang w:val="en-US" w:eastAsia="zh-CN" w:bidi="ar-SA"/>
        </w:rPr>
      </w:pPr>
    </w:p>
    <w:p w14:paraId="713A7E57">
      <w:pPr>
        <w:rPr>
          <w:rFonts w:ascii="Times New Roman" w:hAnsi="Times New Roman" w:cs="Times New Roman"/>
          <w:color w:val="auto"/>
          <w:highlight w:val="none"/>
        </w:rPr>
      </w:pPr>
    </w:p>
    <w:p w14:paraId="72685A38">
      <w:pPr>
        <w:spacing w:line="600" w:lineRule="atLeast"/>
        <w:rPr>
          <w:rFonts w:ascii="Times New Roman" w:hAnsi="Times New Roman" w:cs="Times New Roman"/>
          <w:color w:val="auto"/>
          <w:sz w:val="28"/>
          <w:highlight w:val="none"/>
        </w:rPr>
      </w:pPr>
    </w:p>
    <w:p w14:paraId="1A4549CB">
      <w:pPr>
        <w:widowControl w:val="0"/>
        <w:spacing w:line="600" w:lineRule="exact"/>
        <w:jc w:val="both"/>
        <w:rPr>
          <w:rFonts w:ascii="Times New Roman" w:hAnsi="Times New Roman" w:eastAsia="宋体" w:cs="Times New Roman"/>
          <w:color w:val="auto"/>
          <w:kern w:val="2"/>
          <w:sz w:val="28"/>
          <w:szCs w:val="24"/>
          <w:highlight w:val="none"/>
          <w:lang w:val="en-US" w:eastAsia="zh-CN" w:bidi="ar-SA"/>
        </w:rPr>
      </w:pPr>
    </w:p>
    <w:p w14:paraId="7FD4B030">
      <w:pPr>
        <w:jc w:val="center"/>
        <w:rPr>
          <w:rFonts w:ascii="Times New Roman" w:hAnsi="Times New Roman" w:eastAsia="方正小标宋简体" w:cs="Times New Roman"/>
          <w:color w:val="auto"/>
          <w:szCs w:val="32"/>
          <w:highlight w:val="none"/>
        </w:rPr>
      </w:pPr>
      <w:r>
        <w:rPr>
          <w:rFonts w:ascii="Times New Roman" w:hAnsi="Times New Roman" w:eastAsia="方正小标宋简体" w:cs="Times New Roman"/>
          <w:color w:val="auto"/>
          <w:szCs w:val="32"/>
          <w:highlight w:val="none"/>
        </w:rPr>
        <w:t>苏家店</w:t>
      </w:r>
      <w:r>
        <w:rPr>
          <w:rFonts w:hint="eastAsia" w:ascii="Times New Roman" w:hAnsi="Times New Roman" w:eastAsia="方正小标宋简体" w:cs="Times New Roman"/>
          <w:color w:val="auto"/>
          <w:szCs w:val="32"/>
          <w:highlight w:val="none"/>
          <w:lang w:eastAsia="zh-CN"/>
        </w:rPr>
        <w:t>镇</w:t>
      </w:r>
      <w:r>
        <w:rPr>
          <w:rFonts w:ascii="Times New Roman" w:hAnsi="Times New Roman" w:eastAsia="方正小标宋简体" w:cs="Times New Roman"/>
          <w:color w:val="auto"/>
          <w:szCs w:val="32"/>
          <w:highlight w:val="none"/>
        </w:rPr>
        <w:t>人民政府</w:t>
      </w:r>
    </w:p>
    <w:p w14:paraId="4EBB7435">
      <w:pPr>
        <w:jc w:val="center"/>
        <w:rPr>
          <w:rFonts w:ascii="Times New Roman" w:hAnsi="Times New Roman" w:eastAsia="方正小标宋简体" w:cs="Times New Roman"/>
          <w:color w:val="auto"/>
          <w:szCs w:val="32"/>
          <w:highlight w:val="none"/>
        </w:rPr>
      </w:pPr>
      <w:r>
        <w:rPr>
          <w:rFonts w:ascii="Times New Roman" w:hAnsi="Times New Roman" w:eastAsia="方正小标宋简体" w:cs="Times New Roman"/>
          <w:color w:val="auto"/>
          <w:szCs w:val="32"/>
          <w:highlight w:val="none"/>
        </w:rPr>
        <w:t>二〇二</w:t>
      </w:r>
      <w:r>
        <w:rPr>
          <w:rFonts w:hint="eastAsia" w:ascii="Times New Roman" w:hAnsi="Times New Roman" w:eastAsia="方正小标宋简体" w:cs="Times New Roman"/>
          <w:color w:val="auto"/>
          <w:szCs w:val="32"/>
          <w:highlight w:val="none"/>
          <w:lang w:val="en-US" w:eastAsia="zh-CN"/>
        </w:rPr>
        <w:t>五</w:t>
      </w:r>
      <w:r>
        <w:rPr>
          <w:rFonts w:ascii="Times New Roman" w:hAnsi="Times New Roman" w:eastAsia="方正小标宋简体" w:cs="Times New Roman"/>
          <w:color w:val="auto"/>
          <w:szCs w:val="32"/>
          <w:highlight w:val="none"/>
        </w:rPr>
        <w:t>年</w:t>
      </w:r>
      <w:r>
        <w:rPr>
          <w:rFonts w:hint="eastAsia" w:ascii="Times New Roman" w:hAnsi="Times New Roman" w:eastAsia="方正小标宋简体" w:cs="Times New Roman"/>
          <w:color w:val="auto"/>
          <w:szCs w:val="32"/>
          <w:highlight w:val="none"/>
          <w:lang w:val="en-US" w:eastAsia="zh-CN"/>
        </w:rPr>
        <w:t>五</w:t>
      </w:r>
      <w:r>
        <w:rPr>
          <w:rFonts w:ascii="Times New Roman" w:hAnsi="Times New Roman" w:eastAsia="方正小标宋简体" w:cs="Times New Roman"/>
          <w:color w:val="auto"/>
          <w:szCs w:val="32"/>
          <w:highlight w:val="none"/>
        </w:rPr>
        <w:t>月</w:t>
      </w:r>
    </w:p>
    <w:p w14:paraId="411039C9">
      <w:pPr>
        <w:tabs>
          <w:tab w:val="left" w:pos="0"/>
        </w:tabs>
        <w:spacing w:line="600" w:lineRule="atLeast"/>
        <w:ind w:left="2538" w:hanging="2538"/>
        <w:outlineLvl w:val="9"/>
        <w:rPr>
          <w:color w:val="auto"/>
          <w:highlight w:val="none"/>
        </w:rPr>
        <w:sectPr>
          <w:footerReference r:id="rId5" w:type="default"/>
          <w:pgSz w:w="11906" w:h="16838"/>
          <w:pgMar w:top="1440" w:right="1797" w:bottom="1440" w:left="1797" w:header="851" w:footer="992" w:gutter="0"/>
          <w:pgNumType w:fmt="upperRoman" w:start="1"/>
          <w:cols w:space="425" w:num="1"/>
          <w:docGrid w:type="lines" w:linePitch="312" w:charSpace="0"/>
        </w:sectPr>
      </w:pPr>
    </w:p>
    <w:bookmarkEnd w:id="0"/>
    <w:bookmarkEnd w:id="1"/>
    <w:bookmarkEnd w:id="2"/>
    <w:bookmarkEnd w:id="3"/>
    <w:p w14:paraId="6FA53843">
      <w:pPr>
        <w:spacing w:line="600" w:lineRule="atLeast"/>
        <w:jc w:val="center"/>
        <w:rPr>
          <w:rFonts w:ascii="Times New Roman" w:hAnsi="Times New Roman" w:eastAsia="黑体" w:cs="Times New Roman"/>
          <w:color w:val="auto"/>
          <w:sz w:val="36"/>
          <w:szCs w:val="36"/>
          <w:highlight w:val="none"/>
        </w:rPr>
        <w:sectPr>
          <w:footerReference r:id="rId6" w:type="default"/>
          <w:type w:val="continuous"/>
          <w:pgSz w:w="11906" w:h="16838"/>
          <w:pgMar w:top="1440" w:right="1797" w:bottom="1440" w:left="1797" w:header="851" w:footer="992" w:gutter="0"/>
          <w:pgNumType w:fmt="upperRoman" w:start="1"/>
          <w:cols w:space="425" w:num="1"/>
          <w:docGrid w:type="lines" w:linePitch="312" w:charSpace="0"/>
        </w:sectPr>
      </w:pPr>
    </w:p>
    <w:sdt>
      <w:sdtPr>
        <w:rPr>
          <w:rFonts w:ascii="Times New Roman" w:hAnsi="Times New Roman" w:eastAsia="宋体" w:cs="Times New Roman"/>
          <w:color w:val="auto"/>
          <w:kern w:val="2"/>
          <w:sz w:val="21"/>
          <w:szCs w:val="24"/>
          <w:highlight w:val="none"/>
          <w:lang w:val="en-US" w:eastAsia="zh-CN" w:bidi="ar-SA"/>
        </w:rPr>
        <w:id w:val="147470498"/>
        <w:docPartObj>
          <w:docPartGallery w:val="Table of Contents"/>
          <w:docPartUnique/>
        </w:docPartObj>
      </w:sdtPr>
      <w:sdtEndPr>
        <w:rPr>
          <w:rFonts w:ascii="Times New Roman" w:hAnsi="Times New Roman" w:eastAsia="宋体" w:cs="Times New Roman"/>
          <w:color w:val="auto"/>
          <w:kern w:val="2"/>
          <w:sz w:val="20"/>
          <w:szCs w:val="20"/>
          <w:highlight w:val="none"/>
          <w:lang w:val="en-US" w:eastAsia="zh-CN" w:bidi="ar-SA"/>
        </w:rPr>
      </w:sdtEndPr>
      <w:sdtContent>
        <w:p w14:paraId="6379B6EC">
          <w:pPr>
            <w:spacing w:beforeLines="50" w:afterLines="50" w:line="600" w:lineRule="atLeast"/>
            <w:jc w:val="center"/>
            <w:rPr>
              <w:rFonts w:ascii="Times New Roman" w:hAnsi="Times New Roman" w:eastAsia="仿宋_GB2312" w:cs="Times New Roman"/>
              <w:color w:val="auto"/>
              <w:kern w:val="2"/>
              <w:sz w:val="32"/>
              <w:szCs w:val="20"/>
              <w:highlight w:val="none"/>
              <w:lang w:val="en-US" w:eastAsia="zh-CN" w:bidi="ar-SA"/>
            </w:rPr>
          </w:pPr>
          <w:r>
            <w:rPr>
              <w:rFonts w:ascii="Times New Roman" w:hAnsi="Times New Roman" w:eastAsia="黑体" w:cs="Times New Roman"/>
              <w:color w:val="auto"/>
              <w:szCs w:val="32"/>
              <w:highlight w:val="none"/>
            </w:rPr>
            <w:t>目录</w:t>
          </w:r>
          <w:r>
            <w:rPr>
              <w:rFonts w:ascii="Times New Roman" w:hAnsi="Times New Roman" w:eastAsia="宋体" w:cs="Times New Roman"/>
              <w:color w:val="auto"/>
              <w:kern w:val="0"/>
              <w:sz w:val="20"/>
              <w:szCs w:val="20"/>
              <w:highlight w:val="none"/>
            </w:rPr>
            <w:fldChar w:fldCharType="begin"/>
          </w:r>
          <w:r>
            <w:rPr>
              <w:rFonts w:ascii="Times New Roman" w:hAnsi="Times New Roman" w:cs="Times New Roman"/>
              <w:color w:val="auto"/>
              <w:sz w:val="20"/>
              <w:szCs w:val="20"/>
              <w:highlight w:val="none"/>
            </w:rPr>
            <w:instrText xml:space="preserve">TOC \o "1-2" \h \u </w:instrText>
          </w:r>
          <w:r>
            <w:rPr>
              <w:rFonts w:ascii="Times New Roman" w:hAnsi="Times New Roman" w:eastAsia="宋体" w:cs="Times New Roman"/>
              <w:color w:val="auto"/>
              <w:kern w:val="0"/>
              <w:sz w:val="20"/>
              <w:szCs w:val="20"/>
              <w:highlight w:val="none"/>
            </w:rPr>
            <w:fldChar w:fldCharType="separate"/>
          </w:r>
        </w:p>
        <w:p w14:paraId="414FE895">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_Toc9251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24"/>
              <w:highlight w:val="none"/>
              <w:lang w:val="en-US" w:eastAsia="zh-CN" w:bidi="ar-SA"/>
            </w:rPr>
            <w:t>第一章 总则</w:t>
          </w:r>
          <w:r>
            <w:tab/>
          </w:r>
          <w:r>
            <w:fldChar w:fldCharType="begin"/>
          </w:r>
          <w:r>
            <w:instrText xml:space="preserve"> PAGEREF _Toc9251 \h </w:instrText>
          </w:r>
          <w:r>
            <w:fldChar w:fldCharType="separate"/>
          </w:r>
          <w:r>
            <w:t>3</w:t>
          </w:r>
          <w:r>
            <w:fldChar w:fldCharType="end"/>
          </w:r>
          <w:r>
            <w:rPr>
              <w:rFonts w:ascii="Times New Roman" w:hAnsi="Times New Roman" w:cs="Times New Roman"/>
              <w:color w:val="auto"/>
              <w:szCs w:val="20"/>
              <w:highlight w:val="none"/>
            </w:rPr>
            <w:fldChar w:fldCharType="end"/>
          </w:r>
        </w:p>
        <w:p w14:paraId="3D9B8CFB">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_Toc713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24"/>
              <w:highlight w:val="none"/>
              <w:lang w:val="en-US" w:eastAsia="zh-CN" w:bidi="ar-SA"/>
            </w:rPr>
            <w:t>第</w:t>
          </w:r>
          <w:r>
            <w:rPr>
              <w:rFonts w:hint="eastAsia" w:ascii="Times New Roman" w:hAnsi="Times New Roman" w:eastAsia="方正小标宋简体" w:cs="Times New Roman"/>
              <w:kern w:val="44"/>
              <w:szCs w:val="24"/>
              <w:highlight w:val="none"/>
              <w:lang w:val="en-US" w:eastAsia="zh-CN" w:bidi="ar-SA"/>
            </w:rPr>
            <w:t>二</w:t>
          </w:r>
          <w:r>
            <w:rPr>
              <w:rFonts w:ascii="Times New Roman" w:hAnsi="Times New Roman" w:eastAsia="方正小标宋简体" w:cs="Times New Roman"/>
              <w:kern w:val="44"/>
              <w:szCs w:val="24"/>
              <w:highlight w:val="none"/>
              <w:lang w:val="en-US" w:eastAsia="zh-CN" w:bidi="ar-SA"/>
            </w:rPr>
            <w:t>章 目标定位与空间策略</w:t>
          </w:r>
          <w:r>
            <w:tab/>
          </w:r>
          <w:r>
            <w:fldChar w:fldCharType="begin"/>
          </w:r>
          <w:r>
            <w:instrText xml:space="preserve"> PAGEREF _Toc713 \h </w:instrText>
          </w:r>
          <w:r>
            <w:fldChar w:fldCharType="separate"/>
          </w:r>
          <w:r>
            <w:t>8</w:t>
          </w:r>
          <w:r>
            <w:fldChar w:fldCharType="end"/>
          </w:r>
          <w:r>
            <w:rPr>
              <w:rFonts w:ascii="Times New Roman" w:hAnsi="Times New Roman" w:cs="Times New Roman"/>
              <w:color w:val="auto"/>
              <w:szCs w:val="20"/>
              <w:highlight w:val="none"/>
            </w:rPr>
            <w:fldChar w:fldCharType="end"/>
          </w:r>
        </w:p>
        <w:p w14:paraId="490EDA8B">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_Toc4962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第一节 规划定位</w:t>
          </w:r>
          <w:r>
            <w:tab/>
          </w:r>
          <w:r>
            <w:fldChar w:fldCharType="begin"/>
          </w:r>
          <w:r>
            <w:instrText xml:space="preserve"> PAGEREF _Toc4962 \h </w:instrText>
          </w:r>
          <w:r>
            <w:fldChar w:fldCharType="separate"/>
          </w:r>
          <w:r>
            <w:t>8</w:t>
          </w:r>
          <w:r>
            <w:fldChar w:fldCharType="end"/>
          </w:r>
          <w:r>
            <w:rPr>
              <w:rFonts w:ascii="Times New Roman" w:hAnsi="Times New Roman" w:cs="Times New Roman"/>
              <w:color w:val="auto"/>
              <w:szCs w:val="20"/>
              <w:highlight w:val="none"/>
            </w:rPr>
            <w:fldChar w:fldCharType="end"/>
          </w:r>
        </w:p>
        <w:p w14:paraId="7ACDF10E">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_Toc23782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第二节 规划目标</w:t>
          </w:r>
          <w:r>
            <w:tab/>
          </w:r>
          <w:r>
            <w:fldChar w:fldCharType="begin"/>
          </w:r>
          <w:r>
            <w:instrText xml:space="preserve"> PAGEREF _Toc23782 \h </w:instrText>
          </w:r>
          <w:r>
            <w:fldChar w:fldCharType="separate"/>
          </w:r>
          <w:r>
            <w:t>8</w:t>
          </w:r>
          <w:r>
            <w:fldChar w:fldCharType="end"/>
          </w:r>
          <w:r>
            <w:rPr>
              <w:rFonts w:ascii="Times New Roman" w:hAnsi="Times New Roman" w:cs="Times New Roman"/>
              <w:color w:val="auto"/>
              <w:szCs w:val="20"/>
              <w:highlight w:val="none"/>
            </w:rPr>
            <w:fldChar w:fldCharType="end"/>
          </w:r>
        </w:p>
        <w:p w14:paraId="3B344B4D">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_Toc19361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 xml:space="preserve">第三节 </w:t>
          </w:r>
          <w:r>
            <w:rPr>
              <w:rFonts w:ascii="Times New Roman" w:hAnsi="Times New Roman" w:eastAsia="黑体" w:cs="Times New Roman"/>
              <w:w w:val="95"/>
              <w:kern w:val="2"/>
              <w:szCs w:val="24"/>
              <w:highlight w:val="none"/>
              <w:lang w:val="en-US" w:eastAsia="zh-CN" w:bidi="ar-SA"/>
            </w:rPr>
            <w:t>空间</w:t>
          </w:r>
          <w:r>
            <w:rPr>
              <w:rFonts w:ascii="Times New Roman" w:hAnsi="Times New Roman" w:eastAsia="黑体" w:cs="Times New Roman"/>
              <w:kern w:val="2"/>
              <w:szCs w:val="24"/>
              <w:highlight w:val="none"/>
              <w:lang w:val="en-US" w:eastAsia="zh-CN" w:bidi="ar-SA"/>
            </w:rPr>
            <w:t>策略</w:t>
          </w:r>
          <w:r>
            <w:tab/>
          </w:r>
          <w:r>
            <w:fldChar w:fldCharType="begin"/>
          </w:r>
          <w:r>
            <w:instrText xml:space="preserve"> PAGEREF _Toc19361 \h </w:instrText>
          </w:r>
          <w:r>
            <w:fldChar w:fldCharType="separate"/>
          </w:r>
          <w:r>
            <w:t>8</w:t>
          </w:r>
          <w:r>
            <w:fldChar w:fldCharType="end"/>
          </w:r>
          <w:r>
            <w:rPr>
              <w:rFonts w:ascii="Times New Roman" w:hAnsi="Times New Roman" w:cs="Times New Roman"/>
              <w:color w:val="auto"/>
              <w:szCs w:val="20"/>
              <w:highlight w:val="none"/>
            </w:rPr>
            <w:fldChar w:fldCharType="end"/>
          </w:r>
        </w:p>
        <w:p w14:paraId="2BEAE9C8">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_Toc9738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36"/>
              <w:highlight w:val="none"/>
              <w:lang w:val="en-US" w:eastAsia="zh-CN" w:bidi="ar-SA"/>
            </w:rPr>
            <w:t>第</w:t>
          </w:r>
          <w:r>
            <w:rPr>
              <w:rFonts w:hint="eastAsia" w:ascii="Times New Roman" w:hAnsi="Times New Roman" w:eastAsia="方正小标宋简体" w:cs="Times New Roman"/>
              <w:kern w:val="44"/>
              <w:szCs w:val="36"/>
              <w:highlight w:val="none"/>
              <w:lang w:val="en-US" w:eastAsia="zh-CN" w:bidi="ar-SA"/>
            </w:rPr>
            <w:t>三</w:t>
          </w:r>
          <w:r>
            <w:rPr>
              <w:rFonts w:ascii="Times New Roman" w:hAnsi="Times New Roman" w:eastAsia="方正小标宋简体" w:cs="Times New Roman"/>
              <w:kern w:val="44"/>
              <w:szCs w:val="36"/>
              <w:highlight w:val="none"/>
              <w:lang w:val="en-US" w:eastAsia="zh-CN" w:bidi="ar-SA"/>
            </w:rPr>
            <w:t>章 构筑国土空间开发保护新格局</w:t>
          </w:r>
          <w:r>
            <w:tab/>
          </w:r>
          <w:r>
            <w:fldChar w:fldCharType="begin"/>
          </w:r>
          <w:r>
            <w:instrText xml:space="preserve"> PAGEREF _Toc9738 \h </w:instrText>
          </w:r>
          <w:r>
            <w:fldChar w:fldCharType="separate"/>
          </w:r>
          <w:r>
            <w:t>10</w:t>
          </w:r>
          <w:r>
            <w:fldChar w:fldCharType="end"/>
          </w:r>
          <w:r>
            <w:rPr>
              <w:rFonts w:ascii="Times New Roman" w:hAnsi="Times New Roman" w:cs="Times New Roman"/>
              <w:color w:val="auto"/>
              <w:szCs w:val="20"/>
              <w:highlight w:val="none"/>
            </w:rPr>
            <w:fldChar w:fldCharType="end"/>
          </w:r>
        </w:p>
        <w:p w14:paraId="75D4BD8E">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_Toc18866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第一节 区域协调</w:t>
          </w:r>
          <w:r>
            <w:tab/>
          </w:r>
          <w:r>
            <w:fldChar w:fldCharType="begin"/>
          </w:r>
          <w:r>
            <w:instrText xml:space="preserve"> PAGEREF _Toc18866 \h </w:instrText>
          </w:r>
          <w:r>
            <w:fldChar w:fldCharType="separate"/>
          </w:r>
          <w:r>
            <w:t>10</w:t>
          </w:r>
          <w:r>
            <w:fldChar w:fldCharType="end"/>
          </w:r>
          <w:r>
            <w:rPr>
              <w:rFonts w:ascii="Times New Roman" w:hAnsi="Times New Roman" w:cs="Times New Roman"/>
              <w:color w:val="auto"/>
              <w:szCs w:val="20"/>
              <w:highlight w:val="none"/>
            </w:rPr>
            <w:fldChar w:fldCharType="end"/>
          </w:r>
        </w:p>
        <w:p w14:paraId="229D1C61">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_Toc4609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w:t>
          </w:r>
          <w:r>
            <w:rPr>
              <w:rFonts w:hint="eastAsia" w:ascii="Times New Roman" w:hAnsi="Times New Roman" w:eastAsia="黑体" w:cs="Times New Roman"/>
              <w:kern w:val="2"/>
              <w:szCs w:val="24"/>
              <w:highlight w:val="none"/>
              <w:lang w:val="en-US" w:eastAsia="zh-CN" w:bidi="ar-SA"/>
            </w:rPr>
            <w:t>二</w:t>
          </w:r>
          <w:r>
            <w:rPr>
              <w:rFonts w:ascii="Times New Roman" w:hAnsi="Times New Roman" w:eastAsia="黑体" w:cs="Times New Roman"/>
              <w:kern w:val="2"/>
              <w:szCs w:val="24"/>
              <w:highlight w:val="none"/>
              <w:lang w:val="en-US" w:eastAsia="zh-CN" w:bidi="ar-SA"/>
            </w:rPr>
            <w:t>节 落实主体功能区战略</w:t>
          </w:r>
          <w:r>
            <w:tab/>
          </w:r>
          <w:r>
            <w:fldChar w:fldCharType="begin"/>
          </w:r>
          <w:r>
            <w:instrText xml:space="preserve"> PAGEREF _Toc4609 \h </w:instrText>
          </w:r>
          <w:r>
            <w:fldChar w:fldCharType="separate"/>
          </w:r>
          <w:r>
            <w:t>11</w:t>
          </w:r>
          <w:r>
            <w:fldChar w:fldCharType="end"/>
          </w:r>
          <w:r>
            <w:rPr>
              <w:rFonts w:ascii="Times New Roman" w:hAnsi="Times New Roman" w:cs="Times New Roman"/>
              <w:color w:val="auto"/>
              <w:szCs w:val="20"/>
              <w:highlight w:val="none"/>
            </w:rPr>
            <w:fldChar w:fldCharType="end"/>
          </w:r>
        </w:p>
        <w:p w14:paraId="2B96092F">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_Toc31593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w:t>
          </w:r>
          <w:r>
            <w:rPr>
              <w:rFonts w:hint="eastAsia" w:ascii="Times New Roman" w:hAnsi="Times New Roman" w:eastAsia="黑体" w:cs="Times New Roman"/>
              <w:kern w:val="2"/>
              <w:szCs w:val="24"/>
              <w:highlight w:val="none"/>
              <w:lang w:val="en-US" w:eastAsia="zh-CN" w:bidi="ar-SA"/>
            </w:rPr>
            <w:t>三</w:t>
          </w:r>
          <w:r>
            <w:rPr>
              <w:rFonts w:ascii="Times New Roman" w:hAnsi="Times New Roman" w:eastAsia="黑体" w:cs="Times New Roman"/>
              <w:kern w:val="2"/>
              <w:szCs w:val="24"/>
              <w:highlight w:val="none"/>
              <w:lang w:val="en-US" w:eastAsia="zh-CN" w:bidi="ar-SA"/>
            </w:rPr>
            <w:t>节 优化国土空间开发保护格局</w:t>
          </w:r>
          <w:r>
            <w:tab/>
          </w:r>
          <w:r>
            <w:fldChar w:fldCharType="begin"/>
          </w:r>
          <w:r>
            <w:instrText xml:space="preserve"> PAGEREF _Toc31593 \h </w:instrText>
          </w:r>
          <w:r>
            <w:fldChar w:fldCharType="separate"/>
          </w:r>
          <w:r>
            <w:t>11</w:t>
          </w:r>
          <w:r>
            <w:fldChar w:fldCharType="end"/>
          </w:r>
          <w:r>
            <w:rPr>
              <w:rFonts w:ascii="Times New Roman" w:hAnsi="Times New Roman" w:cs="Times New Roman"/>
              <w:color w:val="auto"/>
              <w:szCs w:val="20"/>
              <w:highlight w:val="none"/>
            </w:rPr>
            <w:fldChar w:fldCharType="end"/>
          </w:r>
        </w:p>
        <w:p w14:paraId="53101DD2">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_Toc9126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w:t>
          </w:r>
          <w:r>
            <w:rPr>
              <w:rFonts w:hint="eastAsia" w:ascii="Times New Roman" w:hAnsi="Times New Roman" w:eastAsia="黑体" w:cs="Times New Roman"/>
              <w:kern w:val="2"/>
              <w:szCs w:val="24"/>
              <w:highlight w:val="none"/>
              <w:lang w:val="en-US" w:eastAsia="zh-CN" w:bidi="ar-SA"/>
            </w:rPr>
            <w:t>四</w:t>
          </w:r>
          <w:r>
            <w:rPr>
              <w:rFonts w:ascii="Times New Roman" w:hAnsi="Times New Roman" w:eastAsia="黑体" w:cs="Times New Roman"/>
              <w:kern w:val="2"/>
              <w:szCs w:val="24"/>
              <w:highlight w:val="none"/>
              <w:lang w:val="en-US" w:eastAsia="zh-CN" w:bidi="ar-SA"/>
            </w:rPr>
            <w:t>节 规划分区</w:t>
          </w:r>
          <w:r>
            <w:tab/>
          </w:r>
          <w:r>
            <w:fldChar w:fldCharType="begin"/>
          </w:r>
          <w:r>
            <w:instrText xml:space="preserve"> PAGEREF _Toc9126 \h </w:instrText>
          </w:r>
          <w:r>
            <w:fldChar w:fldCharType="separate"/>
          </w:r>
          <w:r>
            <w:t>12</w:t>
          </w:r>
          <w:r>
            <w:fldChar w:fldCharType="end"/>
          </w:r>
          <w:r>
            <w:rPr>
              <w:rFonts w:ascii="Times New Roman" w:hAnsi="Times New Roman" w:cs="Times New Roman"/>
              <w:color w:val="auto"/>
              <w:szCs w:val="20"/>
              <w:highlight w:val="none"/>
            </w:rPr>
            <w:fldChar w:fldCharType="end"/>
          </w:r>
        </w:p>
        <w:p w14:paraId="378D2C44">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_Toc15170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w:t>
          </w:r>
          <w:r>
            <w:rPr>
              <w:rFonts w:hint="eastAsia" w:ascii="Times New Roman" w:hAnsi="Times New Roman" w:eastAsia="黑体" w:cs="Times New Roman"/>
              <w:kern w:val="2"/>
              <w:szCs w:val="24"/>
              <w:highlight w:val="none"/>
              <w:lang w:val="en-US" w:eastAsia="zh-CN" w:bidi="ar-SA"/>
            </w:rPr>
            <w:t>五</w:t>
          </w:r>
          <w:r>
            <w:rPr>
              <w:rFonts w:ascii="Times New Roman" w:hAnsi="Times New Roman" w:eastAsia="黑体" w:cs="Times New Roman"/>
              <w:kern w:val="2"/>
              <w:szCs w:val="24"/>
              <w:highlight w:val="none"/>
              <w:lang w:val="en-US" w:eastAsia="zh-CN" w:bidi="ar-SA"/>
            </w:rPr>
            <w:t>节 国土空间用地功能结构调整</w:t>
          </w:r>
          <w:r>
            <w:tab/>
          </w:r>
          <w:r>
            <w:fldChar w:fldCharType="begin"/>
          </w:r>
          <w:r>
            <w:instrText xml:space="preserve"> PAGEREF _Toc15170 \h </w:instrText>
          </w:r>
          <w:r>
            <w:fldChar w:fldCharType="separate"/>
          </w:r>
          <w:r>
            <w:t>13</w:t>
          </w:r>
          <w:r>
            <w:fldChar w:fldCharType="end"/>
          </w:r>
          <w:r>
            <w:rPr>
              <w:rFonts w:ascii="Times New Roman" w:hAnsi="Times New Roman" w:cs="Times New Roman"/>
              <w:color w:val="auto"/>
              <w:szCs w:val="20"/>
              <w:highlight w:val="none"/>
            </w:rPr>
            <w:fldChar w:fldCharType="end"/>
          </w:r>
        </w:p>
        <w:p w14:paraId="7A8B1B01">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_Toc19040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36"/>
              <w:highlight w:val="none"/>
              <w:lang w:val="en-US" w:eastAsia="zh-CN" w:bidi="ar-SA"/>
            </w:rPr>
            <w:t>第</w:t>
          </w:r>
          <w:r>
            <w:rPr>
              <w:rFonts w:hint="eastAsia" w:ascii="Times New Roman" w:hAnsi="Times New Roman" w:eastAsia="方正小标宋简体" w:cs="Times New Roman"/>
              <w:kern w:val="44"/>
              <w:szCs w:val="36"/>
              <w:highlight w:val="none"/>
              <w:lang w:val="en-US" w:eastAsia="zh-CN" w:bidi="ar-SA"/>
            </w:rPr>
            <w:t>四</w:t>
          </w:r>
          <w:r>
            <w:rPr>
              <w:rFonts w:ascii="Times New Roman" w:hAnsi="Times New Roman" w:eastAsia="方正小标宋简体" w:cs="Times New Roman"/>
              <w:kern w:val="44"/>
              <w:szCs w:val="36"/>
              <w:highlight w:val="none"/>
              <w:lang w:val="en-US" w:eastAsia="zh-CN" w:bidi="ar-SA"/>
            </w:rPr>
            <w:t xml:space="preserve">章 </w:t>
          </w:r>
          <w:r>
            <w:rPr>
              <w:rFonts w:hint="eastAsia" w:ascii="Times New Roman" w:hAnsi="Times New Roman" w:eastAsia="方正小标宋简体" w:cs="Times New Roman"/>
              <w:kern w:val="44"/>
              <w:szCs w:val="36"/>
              <w:highlight w:val="none"/>
              <w:lang w:val="en-US" w:eastAsia="zh-CN" w:bidi="ar-SA"/>
            </w:rPr>
            <w:t>空间布局优化</w:t>
          </w:r>
          <w:r>
            <w:tab/>
          </w:r>
          <w:r>
            <w:fldChar w:fldCharType="begin"/>
          </w:r>
          <w:r>
            <w:instrText xml:space="preserve"> PAGEREF _Toc19040 \h </w:instrText>
          </w:r>
          <w:r>
            <w:fldChar w:fldCharType="separate"/>
          </w:r>
          <w:r>
            <w:t>15</w:t>
          </w:r>
          <w:r>
            <w:fldChar w:fldCharType="end"/>
          </w:r>
          <w:r>
            <w:rPr>
              <w:rFonts w:ascii="Times New Roman" w:hAnsi="Times New Roman" w:cs="Times New Roman"/>
              <w:color w:val="auto"/>
              <w:szCs w:val="20"/>
              <w:highlight w:val="none"/>
            </w:rPr>
            <w:fldChar w:fldCharType="end"/>
          </w:r>
        </w:p>
        <w:p w14:paraId="1FCA2C97">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_Toc18020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 xml:space="preserve">第一节 </w:t>
          </w:r>
          <w:r>
            <w:rPr>
              <w:rFonts w:hint="eastAsia" w:ascii="Times New Roman" w:hAnsi="Times New Roman" w:eastAsia="黑体" w:cs="Times New Roman"/>
              <w:kern w:val="2"/>
              <w:szCs w:val="24"/>
              <w:highlight w:val="none"/>
              <w:lang w:val="en-US" w:eastAsia="zh-CN" w:bidi="ar-SA"/>
            </w:rPr>
            <w:t>构建现代农业空间</w:t>
          </w:r>
          <w:r>
            <w:tab/>
          </w:r>
          <w:r>
            <w:fldChar w:fldCharType="begin"/>
          </w:r>
          <w:r>
            <w:instrText xml:space="preserve"> PAGEREF _Toc18020 \h </w:instrText>
          </w:r>
          <w:r>
            <w:fldChar w:fldCharType="separate"/>
          </w:r>
          <w:r>
            <w:t>15</w:t>
          </w:r>
          <w:r>
            <w:fldChar w:fldCharType="end"/>
          </w:r>
          <w:r>
            <w:rPr>
              <w:rFonts w:ascii="Times New Roman" w:hAnsi="Times New Roman" w:cs="Times New Roman"/>
              <w:color w:val="auto"/>
              <w:szCs w:val="20"/>
              <w:highlight w:val="none"/>
            </w:rPr>
            <w:fldChar w:fldCharType="end"/>
          </w:r>
        </w:p>
        <w:p w14:paraId="40C258B2">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_Toc5297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w:t>
          </w:r>
          <w:r>
            <w:rPr>
              <w:rFonts w:hint="eastAsia" w:ascii="Times New Roman" w:hAnsi="Times New Roman" w:eastAsia="黑体" w:cs="Times New Roman"/>
              <w:kern w:val="2"/>
              <w:szCs w:val="24"/>
              <w:highlight w:val="none"/>
              <w:lang w:val="en-US" w:eastAsia="zh-CN" w:bidi="ar-SA"/>
            </w:rPr>
            <w:t>二</w:t>
          </w:r>
          <w:r>
            <w:rPr>
              <w:rFonts w:ascii="Times New Roman" w:hAnsi="Times New Roman" w:eastAsia="黑体" w:cs="Times New Roman"/>
              <w:kern w:val="2"/>
              <w:szCs w:val="24"/>
              <w:highlight w:val="none"/>
              <w:lang w:val="en-US" w:eastAsia="zh-CN" w:bidi="ar-SA"/>
            </w:rPr>
            <w:t>节 构建生态安全格局</w:t>
          </w:r>
          <w:r>
            <w:tab/>
          </w:r>
          <w:r>
            <w:fldChar w:fldCharType="begin"/>
          </w:r>
          <w:r>
            <w:instrText xml:space="preserve"> PAGEREF _Toc5297 \h </w:instrText>
          </w:r>
          <w:r>
            <w:fldChar w:fldCharType="separate"/>
          </w:r>
          <w:r>
            <w:t>18</w:t>
          </w:r>
          <w:r>
            <w:fldChar w:fldCharType="end"/>
          </w:r>
          <w:r>
            <w:rPr>
              <w:rFonts w:ascii="Times New Roman" w:hAnsi="Times New Roman" w:cs="Times New Roman"/>
              <w:color w:val="auto"/>
              <w:szCs w:val="20"/>
              <w:highlight w:val="none"/>
            </w:rPr>
            <w:fldChar w:fldCharType="end"/>
          </w:r>
        </w:p>
        <w:p w14:paraId="77E2E8FB">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_Toc26477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w:t>
          </w:r>
          <w:r>
            <w:rPr>
              <w:rFonts w:hint="eastAsia" w:ascii="Times New Roman" w:hAnsi="Times New Roman" w:eastAsia="黑体" w:cs="Times New Roman"/>
              <w:kern w:val="2"/>
              <w:szCs w:val="24"/>
              <w:highlight w:val="none"/>
              <w:lang w:val="en-US" w:eastAsia="zh-CN" w:bidi="ar-SA"/>
            </w:rPr>
            <w:t>三</w:t>
          </w:r>
          <w:r>
            <w:rPr>
              <w:rFonts w:ascii="Times New Roman" w:hAnsi="Times New Roman" w:eastAsia="黑体" w:cs="Times New Roman"/>
              <w:kern w:val="2"/>
              <w:szCs w:val="24"/>
              <w:highlight w:val="none"/>
              <w:lang w:val="en-US" w:eastAsia="zh-CN" w:bidi="ar-SA"/>
            </w:rPr>
            <w:t>节 优化城</w:t>
          </w:r>
          <w:r>
            <w:rPr>
              <w:rFonts w:hint="eastAsia" w:ascii="Times New Roman" w:hAnsi="Times New Roman" w:eastAsia="黑体" w:cs="Times New Roman"/>
              <w:kern w:val="2"/>
              <w:szCs w:val="24"/>
              <w:highlight w:val="none"/>
              <w:lang w:val="en-US" w:eastAsia="zh-CN" w:bidi="ar-SA"/>
            </w:rPr>
            <w:t>乡</w:t>
          </w:r>
          <w:r>
            <w:rPr>
              <w:rFonts w:ascii="Times New Roman" w:hAnsi="Times New Roman" w:eastAsia="黑体" w:cs="Times New Roman"/>
              <w:kern w:val="2"/>
              <w:szCs w:val="24"/>
              <w:highlight w:val="none"/>
              <w:lang w:val="en-US" w:eastAsia="zh-CN" w:bidi="ar-SA"/>
            </w:rPr>
            <w:t>发展空间</w:t>
          </w:r>
          <w:r>
            <w:tab/>
          </w:r>
          <w:r>
            <w:fldChar w:fldCharType="begin"/>
          </w:r>
          <w:r>
            <w:instrText xml:space="preserve"> PAGEREF _Toc26477 \h </w:instrText>
          </w:r>
          <w:r>
            <w:fldChar w:fldCharType="separate"/>
          </w:r>
          <w:r>
            <w:t>22</w:t>
          </w:r>
          <w:r>
            <w:fldChar w:fldCharType="end"/>
          </w:r>
          <w:r>
            <w:rPr>
              <w:rFonts w:ascii="Times New Roman" w:hAnsi="Times New Roman" w:cs="Times New Roman"/>
              <w:color w:val="auto"/>
              <w:szCs w:val="20"/>
              <w:highlight w:val="none"/>
            </w:rPr>
            <w:fldChar w:fldCharType="end"/>
          </w:r>
        </w:p>
        <w:p w14:paraId="3A970FDF">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_Toc26686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24"/>
              <w:highlight w:val="none"/>
              <w:lang w:val="en-US" w:eastAsia="zh-CN" w:bidi="ar-SA"/>
            </w:rPr>
            <w:t>第</w:t>
          </w:r>
          <w:r>
            <w:rPr>
              <w:rFonts w:hint="eastAsia" w:ascii="Times New Roman" w:hAnsi="Times New Roman" w:eastAsia="方正小标宋简体" w:cs="Times New Roman"/>
              <w:kern w:val="44"/>
              <w:szCs w:val="24"/>
              <w:highlight w:val="none"/>
              <w:lang w:val="en-US" w:eastAsia="zh-CN" w:bidi="ar-SA"/>
            </w:rPr>
            <w:t>五</w:t>
          </w:r>
          <w:r>
            <w:rPr>
              <w:rFonts w:ascii="Times New Roman" w:hAnsi="Times New Roman" w:eastAsia="方正小标宋简体" w:cs="Times New Roman"/>
              <w:kern w:val="44"/>
              <w:szCs w:val="24"/>
              <w:highlight w:val="none"/>
              <w:lang w:val="en-US" w:eastAsia="zh-CN" w:bidi="ar-SA"/>
            </w:rPr>
            <w:t xml:space="preserve">章 </w:t>
          </w:r>
          <w:r>
            <w:rPr>
              <w:rFonts w:hint="eastAsia" w:ascii="Times New Roman" w:hAnsi="Times New Roman" w:eastAsia="方正小标宋简体" w:cs="Times New Roman"/>
              <w:kern w:val="44"/>
              <w:szCs w:val="24"/>
              <w:highlight w:val="none"/>
              <w:lang w:val="en-US" w:eastAsia="zh-CN" w:bidi="ar-SA"/>
            </w:rPr>
            <w:t>镇</w:t>
          </w:r>
          <w:r>
            <w:rPr>
              <w:rFonts w:ascii="Times New Roman" w:hAnsi="Times New Roman" w:eastAsia="方正小标宋简体" w:cs="Times New Roman"/>
              <w:kern w:val="44"/>
              <w:szCs w:val="24"/>
              <w:highlight w:val="none"/>
              <w:lang w:val="en-US" w:eastAsia="zh-CN" w:bidi="ar-SA"/>
            </w:rPr>
            <w:t>政府驻地用地布局与结构</w:t>
          </w:r>
          <w:r>
            <w:tab/>
          </w:r>
          <w:r>
            <w:fldChar w:fldCharType="begin"/>
          </w:r>
          <w:r>
            <w:instrText xml:space="preserve"> PAGEREF _Toc26686 \h </w:instrText>
          </w:r>
          <w:r>
            <w:fldChar w:fldCharType="separate"/>
          </w:r>
          <w:r>
            <w:t>24</w:t>
          </w:r>
          <w:r>
            <w:fldChar w:fldCharType="end"/>
          </w:r>
          <w:r>
            <w:rPr>
              <w:rFonts w:ascii="Times New Roman" w:hAnsi="Times New Roman" w:cs="Times New Roman"/>
              <w:color w:val="auto"/>
              <w:szCs w:val="20"/>
              <w:highlight w:val="none"/>
            </w:rPr>
            <w:fldChar w:fldCharType="end"/>
          </w:r>
        </w:p>
        <w:p w14:paraId="575D1195">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_Toc9453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第一节 优化空间结构与用地布局</w:t>
          </w:r>
          <w:r>
            <w:tab/>
          </w:r>
          <w:r>
            <w:fldChar w:fldCharType="begin"/>
          </w:r>
          <w:r>
            <w:instrText xml:space="preserve"> PAGEREF _Toc9453 \h </w:instrText>
          </w:r>
          <w:r>
            <w:fldChar w:fldCharType="separate"/>
          </w:r>
          <w:r>
            <w:t>24</w:t>
          </w:r>
          <w:r>
            <w:fldChar w:fldCharType="end"/>
          </w:r>
          <w:r>
            <w:rPr>
              <w:rFonts w:ascii="Times New Roman" w:hAnsi="Times New Roman" w:cs="Times New Roman"/>
              <w:color w:val="auto"/>
              <w:szCs w:val="20"/>
              <w:highlight w:val="none"/>
            </w:rPr>
            <w:fldChar w:fldCharType="end"/>
          </w:r>
        </w:p>
        <w:p w14:paraId="3F9475A9">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_Toc29418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第二节 居住空间布局</w:t>
          </w:r>
          <w:r>
            <w:tab/>
          </w:r>
          <w:r>
            <w:fldChar w:fldCharType="begin"/>
          </w:r>
          <w:r>
            <w:instrText xml:space="preserve"> PAGEREF _Toc29418 \h </w:instrText>
          </w:r>
          <w:r>
            <w:fldChar w:fldCharType="separate"/>
          </w:r>
          <w:r>
            <w:t>24</w:t>
          </w:r>
          <w:r>
            <w:fldChar w:fldCharType="end"/>
          </w:r>
          <w:r>
            <w:rPr>
              <w:rFonts w:ascii="Times New Roman" w:hAnsi="Times New Roman" w:cs="Times New Roman"/>
              <w:color w:val="auto"/>
              <w:szCs w:val="20"/>
              <w:highlight w:val="none"/>
            </w:rPr>
            <w:fldChar w:fldCharType="end"/>
          </w:r>
        </w:p>
        <w:p w14:paraId="53A6552B">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_Toc30849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第三节 公共服务空间布局</w:t>
          </w:r>
          <w:r>
            <w:tab/>
          </w:r>
          <w:r>
            <w:fldChar w:fldCharType="begin"/>
          </w:r>
          <w:r>
            <w:instrText xml:space="preserve"> PAGEREF _Toc30849 \h </w:instrText>
          </w:r>
          <w:r>
            <w:fldChar w:fldCharType="separate"/>
          </w:r>
          <w:r>
            <w:t>25</w:t>
          </w:r>
          <w:r>
            <w:fldChar w:fldCharType="end"/>
          </w:r>
          <w:r>
            <w:rPr>
              <w:rFonts w:ascii="Times New Roman" w:hAnsi="Times New Roman" w:cs="Times New Roman"/>
              <w:color w:val="auto"/>
              <w:szCs w:val="20"/>
              <w:highlight w:val="none"/>
            </w:rPr>
            <w:fldChar w:fldCharType="end"/>
          </w:r>
        </w:p>
        <w:p w14:paraId="748832E8">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_Toc26113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第四节 绿地与开敞空间布局</w:t>
          </w:r>
          <w:r>
            <w:tab/>
          </w:r>
          <w:r>
            <w:fldChar w:fldCharType="begin"/>
          </w:r>
          <w:r>
            <w:instrText xml:space="preserve"> PAGEREF _Toc26113 \h </w:instrText>
          </w:r>
          <w:r>
            <w:fldChar w:fldCharType="separate"/>
          </w:r>
          <w:r>
            <w:t>27</w:t>
          </w:r>
          <w:r>
            <w:fldChar w:fldCharType="end"/>
          </w:r>
          <w:r>
            <w:rPr>
              <w:rFonts w:ascii="Times New Roman" w:hAnsi="Times New Roman" w:cs="Times New Roman"/>
              <w:color w:val="auto"/>
              <w:szCs w:val="20"/>
              <w:highlight w:val="none"/>
            </w:rPr>
            <w:fldChar w:fldCharType="end"/>
          </w:r>
        </w:p>
        <w:p w14:paraId="11AE002D">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_Toc31715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第五节 “四线”规划与战略留白</w:t>
          </w:r>
          <w:r>
            <w:tab/>
          </w:r>
          <w:r>
            <w:fldChar w:fldCharType="begin"/>
          </w:r>
          <w:r>
            <w:instrText xml:space="preserve"> PAGEREF _Toc31715 \h </w:instrText>
          </w:r>
          <w:r>
            <w:fldChar w:fldCharType="separate"/>
          </w:r>
          <w:r>
            <w:t>28</w:t>
          </w:r>
          <w:r>
            <w:fldChar w:fldCharType="end"/>
          </w:r>
          <w:r>
            <w:rPr>
              <w:rFonts w:ascii="Times New Roman" w:hAnsi="Times New Roman" w:cs="Times New Roman"/>
              <w:color w:val="auto"/>
              <w:szCs w:val="20"/>
              <w:highlight w:val="none"/>
            </w:rPr>
            <w:fldChar w:fldCharType="end"/>
          </w:r>
        </w:p>
        <w:p w14:paraId="1E03F638">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_Toc21382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24"/>
              <w:highlight w:val="none"/>
              <w:lang w:val="en-US" w:eastAsia="zh-CN" w:bidi="ar-SA"/>
            </w:rPr>
            <w:t>第</w:t>
          </w:r>
          <w:r>
            <w:rPr>
              <w:rFonts w:hint="eastAsia" w:ascii="Times New Roman" w:hAnsi="Times New Roman" w:eastAsia="方正小标宋简体" w:cs="Times New Roman"/>
              <w:kern w:val="44"/>
              <w:szCs w:val="24"/>
              <w:highlight w:val="none"/>
              <w:lang w:val="en-US" w:eastAsia="zh-CN" w:bidi="ar-SA"/>
            </w:rPr>
            <w:t>六</w:t>
          </w:r>
          <w:r>
            <w:rPr>
              <w:rFonts w:ascii="Times New Roman" w:hAnsi="Times New Roman" w:eastAsia="方正小标宋简体" w:cs="Times New Roman"/>
              <w:kern w:val="44"/>
              <w:szCs w:val="24"/>
              <w:highlight w:val="none"/>
              <w:lang w:val="en-US" w:eastAsia="zh-CN" w:bidi="ar-SA"/>
            </w:rPr>
            <w:t>章 完善基础保障体系建设</w:t>
          </w:r>
          <w:r>
            <w:tab/>
          </w:r>
          <w:r>
            <w:fldChar w:fldCharType="begin"/>
          </w:r>
          <w:r>
            <w:instrText xml:space="preserve"> PAGEREF _Toc21382 \h </w:instrText>
          </w:r>
          <w:r>
            <w:fldChar w:fldCharType="separate"/>
          </w:r>
          <w:r>
            <w:t>30</w:t>
          </w:r>
          <w:r>
            <w:fldChar w:fldCharType="end"/>
          </w:r>
          <w:r>
            <w:rPr>
              <w:rFonts w:ascii="Times New Roman" w:hAnsi="Times New Roman" w:cs="Times New Roman"/>
              <w:color w:val="auto"/>
              <w:szCs w:val="20"/>
              <w:highlight w:val="none"/>
            </w:rPr>
            <w:fldChar w:fldCharType="end"/>
          </w:r>
        </w:p>
        <w:p w14:paraId="5171C146">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_Toc9075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第一节 优化</w:t>
          </w:r>
          <w:r>
            <w:rPr>
              <w:rFonts w:hint="eastAsia" w:ascii="Times New Roman" w:hAnsi="Times New Roman" w:eastAsia="黑体" w:cs="Times New Roman"/>
              <w:kern w:val="2"/>
              <w:szCs w:val="24"/>
              <w:highlight w:val="none"/>
              <w:shd w:val="clear" w:color="auto" w:fill="FFFFFF"/>
              <w:lang w:val="en-US" w:eastAsia="zh-CN" w:bidi="ar-SA"/>
            </w:rPr>
            <w:t>镇</w:t>
          </w:r>
          <w:r>
            <w:rPr>
              <w:rFonts w:ascii="Times New Roman" w:hAnsi="Times New Roman" w:eastAsia="黑体" w:cs="Times New Roman"/>
              <w:kern w:val="2"/>
              <w:szCs w:val="24"/>
              <w:highlight w:val="none"/>
              <w:lang w:val="en-US" w:eastAsia="zh-CN" w:bidi="ar-SA"/>
            </w:rPr>
            <w:t>域综合交通组织</w:t>
          </w:r>
          <w:r>
            <w:tab/>
          </w:r>
          <w:r>
            <w:fldChar w:fldCharType="begin"/>
          </w:r>
          <w:r>
            <w:instrText xml:space="preserve"> PAGEREF _Toc9075 \h </w:instrText>
          </w:r>
          <w:r>
            <w:fldChar w:fldCharType="separate"/>
          </w:r>
          <w:r>
            <w:t>30</w:t>
          </w:r>
          <w:r>
            <w:fldChar w:fldCharType="end"/>
          </w:r>
          <w:r>
            <w:rPr>
              <w:rFonts w:ascii="Times New Roman" w:hAnsi="Times New Roman" w:cs="Times New Roman"/>
              <w:color w:val="auto"/>
              <w:szCs w:val="20"/>
              <w:highlight w:val="none"/>
            </w:rPr>
            <w:fldChar w:fldCharType="end"/>
          </w:r>
        </w:p>
        <w:p w14:paraId="79ED711F">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_Toc1821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 xml:space="preserve">第二节 </w:t>
          </w:r>
          <w:r>
            <w:rPr>
              <w:rFonts w:hint="eastAsia" w:ascii="Times New Roman" w:hAnsi="Times New Roman" w:eastAsia="黑体" w:cs="Times New Roman"/>
              <w:kern w:val="2"/>
              <w:szCs w:val="24"/>
              <w:highlight w:val="none"/>
              <w:lang w:val="en-US" w:eastAsia="zh-CN" w:bidi="ar-SA"/>
            </w:rPr>
            <w:t>镇</w:t>
          </w:r>
          <w:r>
            <w:rPr>
              <w:rFonts w:ascii="Times New Roman" w:hAnsi="Times New Roman" w:eastAsia="黑体" w:cs="Times New Roman"/>
              <w:kern w:val="2"/>
              <w:szCs w:val="24"/>
              <w:highlight w:val="none"/>
              <w:lang w:val="en-US" w:eastAsia="zh-CN" w:bidi="ar-SA"/>
            </w:rPr>
            <w:t>政府驻地道路交通组织</w:t>
          </w:r>
          <w:r>
            <w:tab/>
          </w:r>
          <w:r>
            <w:fldChar w:fldCharType="begin"/>
          </w:r>
          <w:r>
            <w:instrText xml:space="preserve"> PAGEREF _Toc1821 \h </w:instrText>
          </w:r>
          <w:r>
            <w:fldChar w:fldCharType="separate"/>
          </w:r>
          <w:r>
            <w:t>30</w:t>
          </w:r>
          <w:r>
            <w:fldChar w:fldCharType="end"/>
          </w:r>
          <w:r>
            <w:rPr>
              <w:rFonts w:ascii="Times New Roman" w:hAnsi="Times New Roman" w:cs="Times New Roman"/>
              <w:color w:val="auto"/>
              <w:szCs w:val="20"/>
              <w:highlight w:val="none"/>
            </w:rPr>
            <w:fldChar w:fldCharType="end"/>
          </w:r>
        </w:p>
        <w:p w14:paraId="28A3496C">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_Toc6653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第三节 提高公服设施均等化水平</w:t>
          </w:r>
          <w:r>
            <w:tab/>
          </w:r>
          <w:r>
            <w:fldChar w:fldCharType="begin"/>
          </w:r>
          <w:r>
            <w:instrText xml:space="preserve"> PAGEREF _Toc6653 \h </w:instrText>
          </w:r>
          <w:r>
            <w:fldChar w:fldCharType="separate"/>
          </w:r>
          <w:r>
            <w:t>32</w:t>
          </w:r>
          <w:r>
            <w:fldChar w:fldCharType="end"/>
          </w:r>
          <w:r>
            <w:rPr>
              <w:rFonts w:ascii="Times New Roman" w:hAnsi="Times New Roman" w:cs="Times New Roman"/>
              <w:color w:val="auto"/>
              <w:szCs w:val="20"/>
              <w:highlight w:val="none"/>
            </w:rPr>
            <w:fldChar w:fldCharType="end"/>
          </w:r>
        </w:p>
        <w:p w14:paraId="680D136C">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_Toc16176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第四节 优化</w:t>
          </w:r>
          <w:r>
            <w:rPr>
              <w:rFonts w:hint="eastAsia" w:ascii="Times New Roman" w:hAnsi="Times New Roman" w:eastAsia="黑体" w:cs="Times New Roman"/>
              <w:kern w:val="2"/>
              <w:szCs w:val="24"/>
              <w:highlight w:val="none"/>
              <w:shd w:val="clear" w:color="auto" w:fill="FFFFFF"/>
              <w:lang w:val="en-US" w:eastAsia="zh-CN" w:bidi="ar-SA"/>
            </w:rPr>
            <w:t>镇</w:t>
          </w:r>
          <w:r>
            <w:rPr>
              <w:rFonts w:ascii="Times New Roman" w:hAnsi="Times New Roman" w:eastAsia="黑体" w:cs="Times New Roman"/>
              <w:kern w:val="2"/>
              <w:szCs w:val="24"/>
              <w:highlight w:val="none"/>
              <w:shd w:val="clear" w:color="auto" w:fill="FFFFFF"/>
              <w:lang w:val="en-US" w:eastAsia="zh-CN" w:bidi="ar-SA"/>
            </w:rPr>
            <w:t>域</w:t>
          </w:r>
          <w:r>
            <w:rPr>
              <w:rFonts w:ascii="Times New Roman" w:hAnsi="Times New Roman" w:eastAsia="黑体" w:cs="Times New Roman"/>
              <w:kern w:val="2"/>
              <w:szCs w:val="24"/>
              <w:highlight w:val="none"/>
              <w:lang w:val="en-US" w:eastAsia="zh-CN" w:bidi="ar-SA"/>
            </w:rPr>
            <w:t>基础设施空间布局</w:t>
          </w:r>
          <w:r>
            <w:tab/>
          </w:r>
          <w:r>
            <w:fldChar w:fldCharType="begin"/>
          </w:r>
          <w:r>
            <w:instrText xml:space="preserve"> PAGEREF _Toc16176 \h </w:instrText>
          </w:r>
          <w:r>
            <w:fldChar w:fldCharType="separate"/>
          </w:r>
          <w:r>
            <w:t>35</w:t>
          </w:r>
          <w:r>
            <w:fldChar w:fldCharType="end"/>
          </w:r>
          <w:r>
            <w:rPr>
              <w:rFonts w:ascii="Times New Roman" w:hAnsi="Times New Roman" w:cs="Times New Roman"/>
              <w:color w:val="auto"/>
              <w:szCs w:val="20"/>
              <w:highlight w:val="none"/>
            </w:rPr>
            <w:fldChar w:fldCharType="end"/>
          </w:r>
        </w:p>
        <w:p w14:paraId="550F1A49">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_Toc12241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第五节 完善</w:t>
          </w:r>
          <w:r>
            <w:rPr>
              <w:rFonts w:hint="eastAsia" w:ascii="Times New Roman" w:hAnsi="Times New Roman" w:eastAsia="黑体" w:cs="Times New Roman"/>
              <w:kern w:val="2"/>
              <w:szCs w:val="24"/>
              <w:highlight w:val="none"/>
              <w:lang w:val="en-US" w:eastAsia="zh-CN" w:bidi="ar-SA"/>
            </w:rPr>
            <w:t>镇</w:t>
          </w:r>
          <w:r>
            <w:rPr>
              <w:rFonts w:ascii="Times New Roman" w:hAnsi="Times New Roman" w:eastAsia="黑体" w:cs="Times New Roman"/>
              <w:kern w:val="2"/>
              <w:szCs w:val="24"/>
              <w:highlight w:val="none"/>
              <w:lang w:val="en-US" w:eastAsia="zh-CN" w:bidi="ar-SA"/>
            </w:rPr>
            <w:t>政府驻地</w:t>
          </w:r>
          <w:r>
            <w:rPr>
              <w:rFonts w:hint="eastAsia" w:ascii="Times New Roman" w:hAnsi="Times New Roman" w:eastAsia="黑体" w:cs="Times New Roman"/>
              <w:kern w:val="2"/>
              <w:szCs w:val="24"/>
              <w:highlight w:val="none"/>
              <w:lang w:val="en-US" w:eastAsia="zh-CN" w:bidi="ar-SA"/>
            </w:rPr>
            <w:t>市</w:t>
          </w:r>
          <w:r>
            <w:rPr>
              <w:rFonts w:ascii="Times New Roman" w:hAnsi="Times New Roman" w:eastAsia="黑体" w:cs="Times New Roman"/>
              <w:kern w:val="2"/>
              <w:szCs w:val="24"/>
              <w:highlight w:val="none"/>
              <w:lang w:val="en-US" w:eastAsia="zh-CN" w:bidi="ar-SA"/>
            </w:rPr>
            <w:t>政基础设施</w:t>
          </w:r>
          <w:r>
            <w:tab/>
          </w:r>
          <w:r>
            <w:fldChar w:fldCharType="begin"/>
          </w:r>
          <w:r>
            <w:instrText xml:space="preserve"> PAGEREF _Toc12241 \h </w:instrText>
          </w:r>
          <w:r>
            <w:fldChar w:fldCharType="separate"/>
          </w:r>
          <w:r>
            <w:t>40</w:t>
          </w:r>
          <w:r>
            <w:fldChar w:fldCharType="end"/>
          </w:r>
          <w:r>
            <w:rPr>
              <w:rFonts w:ascii="Times New Roman" w:hAnsi="Times New Roman" w:cs="Times New Roman"/>
              <w:color w:val="auto"/>
              <w:szCs w:val="20"/>
              <w:highlight w:val="none"/>
            </w:rPr>
            <w:fldChar w:fldCharType="end"/>
          </w:r>
        </w:p>
        <w:p w14:paraId="3D72A4B5">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_Toc4150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第六节 健全综合防灾体系</w:t>
          </w:r>
          <w:r>
            <w:tab/>
          </w:r>
          <w:r>
            <w:fldChar w:fldCharType="begin"/>
          </w:r>
          <w:r>
            <w:instrText xml:space="preserve"> PAGEREF _Toc4150 \h </w:instrText>
          </w:r>
          <w:r>
            <w:fldChar w:fldCharType="separate"/>
          </w:r>
          <w:r>
            <w:t>44</w:t>
          </w:r>
          <w:r>
            <w:fldChar w:fldCharType="end"/>
          </w:r>
          <w:r>
            <w:rPr>
              <w:rFonts w:ascii="Times New Roman" w:hAnsi="Times New Roman" w:cs="Times New Roman"/>
              <w:color w:val="auto"/>
              <w:szCs w:val="20"/>
              <w:highlight w:val="none"/>
            </w:rPr>
            <w:fldChar w:fldCharType="end"/>
          </w:r>
        </w:p>
        <w:p w14:paraId="74328844">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_Toc8030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第七节 加强水利基础设施建设</w:t>
          </w:r>
          <w:r>
            <w:tab/>
          </w:r>
          <w:r>
            <w:fldChar w:fldCharType="begin"/>
          </w:r>
          <w:r>
            <w:instrText xml:space="preserve"> PAGEREF _Toc8030 \h </w:instrText>
          </w:r>
          <w:r>
            <w:fldChar w:fldCharType="separate"/>
          </w:r>
          <w:r>
            <w:t>50</w:t>
          </w:r>
          <w:r>
            <w:fldChar w:fldCharType="end"/>
          </w:r>
          <w:r>
            <w:rPr>
              <w:rFonts w:ascii="Times New Roman" w:hAnsi="Times New Roman" w:cs="Times New Roman"/>
              <w:color w:val="auto"/>
              <w:szCs w:val="20"/>
              <w:highlight w:val="none"/>
            </w:rPr>
            <w:fldChar w:fldCharType="end"/>
          </w:r>
        </w:p>
        <w:p w14:paraId="46B3EAF0">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_Toc19277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24"/>
              <w:highlight w:val="none"/>
              <w:lang w:val="en-US" w:eastAsia="zh-CN" w:bidi="ar-SA"/>
            </w:rPr>
            <w:t>第</w:t>
          </w:r>
          <w:r>
            <w:rPr>
              <w:rFonts w:hint="eastAsia" w:ascii="Times New Roman" w:hAnsi="Times New Roman" w:eastAsia="方正小标宋简体" w:cs="Times New Roman"/>
              <w:kern w:val="44"/>
              <w:szCs w:val="24"/>
              <w:highlight w:val="none"/>
              <w:lang w:val="en-US" w:eastAsia="zh-CN" w:bidi="ar-SA"/>
            </w:rPr>
            <w:t>七</w:t>
          </w:r>
          <w:r>
            <w:rPr>
              <w:rFonts w:ascii="Times New Roman" w:hAnsi="Times New Roman" w:eastAsia="方正小标宋简体" w:cs="Times New Roman"/>
              <w:kern w:val="44"/>
              <w:szCs w:val="24"/>
              <w:highlight w:val="none"/>
              <w:lang w:val="en-US" w:eastAsia="zh-CN" w:bidi="ar-SA"/>
            </w:rPr>
            <w:t>章 历史文化与特色风貌</w:t>
          </w:r>
          <w:r>
            <w:tab/>
          </w:r>
          <w:r>
            <w:fldChar w:fldCharType="begin"/>
          </w:r>
          <w:r>
            <w:instrText xml:space="preserve"> PAGEREF _Toc19277 \h </w:instrText>
          </w:r>
          <w:r>
            <w:fldChar w:fldCharType="separate"/>
          </w:r>
          <w:r>
            <w:t>51</w:t>
          </w:r>
          <w:r>
            <w:fldChar w:fldCharType="end"/>
          </w:r>
          <w:r>
            <w:rPr>
              <w:rFonts w:ascii="Times New Roman" w:hAnsi="Times New Roman" w:cs="Times New Roman"/>
              <w:color w:val="auto"/>
              <w:szCs w:val="20"/>
              <w:highlight w:val="none"/>
            </w:rPr>
            <w:fldChar w:fldCharType="end"/>
          </w:r>
        </w:p>
        <w:p w14:paraId="788D8CC6">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_Toc15351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第一节 历史文化保护</w:t>
          </w:r>
          <w:r>
            <w:tab/>
          </w:r>
          <w:r>
            <w:fldChar w:fldCharType="begin"/>
          </w:r>
          <w:r>
            <w:instrText xml:space="preserve"> PAGEREF _Toc15351 \h </w:instrText>
          </w:r>
          <w:r>
            <w:fldChar w:fldCharType="separate"/>
          </w:r>
          <w:r>
            <w:t>51</w:t>
          </w:r>
          <w:r>
            <w:fldChar w:fldCharType="end"/>
          </w:r>
          <w:r>
            <w:rPr>
              <w:rFonts w:ascii="Times New Roman" w:hAnsi="Times New Roman" w:cs="Times New Roman"/>
              <w:color w:val="auto"/>
              <w:szCs w:val="20"/>
              <w:highlight w:val="none"/>
            </w:rPr>
            <w:fldChar w:fldCharType="end"/>
          </w:r>
        </w:p>
        <w:p w14:paraId="0F68A08C">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_Toc19077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第二节 城</w:t>
          </w:r>
          <w:r>
            <w:rPr>
              <w:rFonts w:hint="eastAsia" w:ascii="Times New Roman" w:hAnsi="Times New Roman" w:eastAsia="黑体" w:cs="Times New Roman"/>
              <w:kern w:val="2"/>
              <w:szCs w:val="24"/>
              <w:highlight w:val="none"/>
              <w:lang w:val="en-US" w:eastAsia="zh-CN" w:bidi="ar-SA"/>
            </w:rPr>
            <w:t>乡</w:t>
          </w:r>
          <w:r>
            <w:rPr>
              <w:rFonts w:ascii="Times New Roman" w:hAnsi="Times New Roman" w:eastAsia="黑体" w:cs="Times New Roman"/>
              <w:kern w:val="2"/>
              <w:szCs w:val="24"/>
              <w:highlight w:val="none"/>
              <w:lang w:val="en-US" w:eastAsia="zh-CN" w:bidi="ar-SA"/>
            </w:rPr>
            <w:t>风貌指引</w:t>
          </w:r>
          <w:r>
            <w:tab/>
          </w:r>
          <w:r>
            <w:fldChar w:fldCharType="begin"/>
          </w:r>
          <w:r>
            <w:instrText xml:space="preserve"> PAGEREF _Toc19077 \h </w:instrText>
          </w:r>
          <w:r>
            <w:fldChar w:fldCharType="separate"/>
          </w:r>
          <w:r>
            <w:t>52</w:t>
          </w:r>
          <w:r>
            <w:fldChar w:fldCharType="end"/>
          </w:r>
          <w:r>
            <w:rPr>
              <w:rFonts w:ascii="Times New Roman" w:hAnsi="Times New Roman" w:cs="Times New Roman"/>
              <w:color w:val="auto"/>
              <w:szCs w:val="20"/>
              <w:highlight w:val="none"/>
            </w:rPr>
            <w:fldChar w:fldCharType="end"/>
          </w:r>
        </w:p>
        <w:p w14:paraId="181FC351">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_Toc874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24"/>
              <w:highlight w:val="none"/>
              <w:lang w:val="en-US" w:eastAsia="zh-CN" w:bidi="ar-SA"/>
            </w:rPr>
            <w:t>第</w:t>
          </w:r>
          <w:r>
            <w:rPr>
              <w:rFonts w:hint="eastAsia" w:ascii="Times New Roman" w:hAnsi="Times New Roman" w:eastAsia="方正小标宋简体" w:cs="Times New Roman"/>
              <w:kern w:val="44"/>
              <w:szCs w:val="24"/>
              <w:highlight w:val="none"/>
              <w:lang w:val="en-US" w:eastAsia="zh-CN" w:bidi="ar-SA"/>
            </w:rPr>
            <w:t>八</w:t>
          </w:r>
          <w:r>
            <w:rPr>
              <w:rFonts w:ascii="Times New Roman" w:hAnsi="Times New Roman" w:eastAsia="方正小标宋简体" w:cs="Times New Roman"/>
              <w:kern w:val="44"/>
              <w:szCs w:val="24"/>
              <w:highlight w:val="none"/>
              <w:lang w:val="en-US" w:eastAsia="zh-CN" w:bidi="ar-SA"/>
            </w:rPr>
            <w:t>章 生态修复和国土综合整治</w:t>
          </w:r>
          <w:r>
            <w:tab/>
          </w:r>
          <w:r>
            <w:fldChar w:fldCharType="begin"/>
          </w:r>
          <w:r>
            <w:instrText xml:space="preserve"> PAGEREF _Toc874 \h </w:instrText>
          </w:r>
          <w:r>
            <w:fldChar w:fldCharType="separate"/>
          </w:r>
          <w:r>
            <w:t>54</w:t>
          </w:r>
          <w:r>
            <w:fldChar w:fldCharType="end"/>
          </w:r>
          <w:r>
            <w:rPr>
              <w:rFonts w:ascii="Times New Roman" w:hAnsi="Times New Roman" w:cs="Times New Roman"/>
              <w:color w:val="auto"/>
              <w:szCs w:val="20"/>
              <w:highlight w:val="none"/>
            </w:rPr>
            <w:fldChar w:fldCharType="end"/>
          </w:r>
        </w:p>
        <w:p w14:paraId="38A7E787">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_Toc22660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第一节 推进山水林田</w:t>
          </w:r>
          <w:r>
            <w:rPr>
              <w:rFonts w:hint="eastAsia" w:ascii="Times New Roman" w:hAnsi="Times New Roman" w:eastAsia="黑体" w:cs="Times New Roman"/>
              <w:kern w:val="2"/>
              <w:szCs w:val="24"/>
              <w:highlight w:val="none"/>
              <w:lang w:val="en-US" w:eastAsia="zh-CN" w:bidi="ar-SA"/>
            </w:rPr>
            <w:t>湖</w:t>
          </w:r>
          <w:r>
            <w:rPr>
              <w:rFonts w:ascii="Times New Roman" w:hAnsi="Times New Roman" w:eastAsia="黑体" w:cs="Times New Roman"/>
              <w:kern w:val="2"/>
              <w:szCs w:val="24"/>
              <w:highlight w:val="none"/>
              <w:lang w:val="en-US" w:eastAsia="zh-CN" w:bidi="ar-SA"/>
            </w:rPr>
            <w:t>草系统修复</w:t>
          </w:r>
          <w:r>
            <w:tab/>
          </w:r>
          <w:r>
            <w:fldChar w:fldCharType="begin"/>
          </w:r>
          <w:r>
            <w:instrText xml:space="preserve"> PAGEREF _Toc22660 \h </w:instrText>
          </w:r>
          <w:r>
            <w:fldChar w:fldCharType="separate"/>
          </w:r>
          <w:r>
            <w:t>54</w:t>
          </w:r>
          <w:r>
            <w:fldChar w:fldCharType="end"/>
          </w:r>
          <w:r>
            <w:rPr>
              <w:rFonts w:ascii="Times New Roman" w:hAnsi="Times New Roman" w:cs="Times New Roman"/>
              <w:color w:val="auto"/>
              <w:szCs w:val="20"/>
              <w:highlight w:val="none"/>
            </w:rPr>
            <w:fldChar w:fldCharType="end"/>
          </w:r>
        </w:p>
        <w:p w14:paraId="19814AAD">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_Toc4486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第二节</w:t>
          </w:r>
          <w:r>
            <w:rPr>
              <w:rFonts w:hint="eastAsia" w:ascii="Times New Roman" w:hAnsi="Times New Roman" w:eastAsia="黑体" w:cs="Times New Roman"/>
              <w:kern w:val="2"/>
              <w:szCs w:val="24"/>
              <w:highlight w:val="none"/>
              <w:lang w:val="en-US" w:eastAsia="zh-CN" w:bidi="ar-SA"/>
            </w:rPr>
            <w:t xml:space="preserve"> 全域土地综合整治</w:t>
          </w:r>
          <w:r>
            <w:tab/>
          </w:r>
          <w:r>
            <w:fldChar w:fldCharType="begin"/>
          </w:r>
          <w:r>
            <w:instrText xml:space="preserve"> PAGEREF _Toc4486 \h </w:instrText>
          </w:r>
          <w:r>
            <w:fldChar w:fldCharType="separate"/>
          </w:r>
          <w:r>
            <w:t>54</w:t>
          </w:r>
          <w:r>
            <w:fldChar w:fldCharType="end"/>
          </w:r>
          <w:r>
            <w:rPr>
              <w:rFonts w:ascii="Times New Roman" w:hAnsi="Times New Roman" w:cs="Times New Roman"/>
              <w:color w:val="auto"/>
              <w:szCs w:val="20"/>
              <w:highlight w:val="none"/>
            </w:rPr>
            <w:fldChar w:fldCharType="end"/>
          </w:r>
        </w:p>
        <w:p w14:paraId="2569EB5A">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_Toc22140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24"/>
              <w:highlight w:val="none"/>
              <w:lang w:val="en-US" w:eastAsia="zh-CN" w:bidi="ar-SA"/>
            </w:rPr>
            <w:t>第</w:t>
          </w:r>
          <w:r>
            <w:rPr>
              <w:rFonts w:hint="eastAsia" w:ascii="Times New Roman" w:hAnsi="Times New Roman" w:eastAsia="方正小标宋简体" w:cs="Times New Roman"/>
              <w:kern w:val="44"/>
              <w:szCs w:val="24"/>
              <w:highlight w:val="none"/>
              <w:lang w:val="en-US" w:eastAsia="zh-CN" w:bidi="ar-SA"/>
            </w:rPr>
            <w:t>九</w:t>
          </w:r>
          <w:r>
            <w:rPr>
              <w:rFonts w:ascii="Times New Roman" w:hAnsi="Times New Roman" w:eastAsia="方正小标宋简体" w:cs="Times New Roman"/>
              <w:kern w:val="44"/>
              <w:szCs w:val="24"/>
              <w:highlight w:val="none"/>
              <w:lang w:val="en-US" w:eastAsia="zh-CN" w:bidi="ar-SA"/>
            </w:rPr>
            <w:t>章 规划传导与实施</w:t>
          </w:r>
          <w:r>
            <w:tab/>
          </w:r>
          <w:r>
            <w:fldChar w:fldCharType="begin"/>
          </w:r>
          <w:r>
            <w:instrText xml:space="preserve"> PAGEREF _Toc22140 \h </w:instrText>
          </w:r>
          <w:r>
            <w:fldChar w:fldCharType="separate"/>
          </w:r>
          <w:r>
            <w:t>58</w:t>
          </w:r>
          <w:r>
            <w:fldChar w:fldCharType="end"/>
          </w:r>
          <w:r>
            <w:rPr>
              <w:rFonts w:ascii="Times New Roman" w:hAnsi="Times New Roman" w:cs="Times New Roman"/>
              <w:color w:val="auto"/>
              <w:szCs w:val="20"/>
              <w:highlight w:val="none"/>
            </w:rPr>
            <w:fldChar w:fldCharType="end"/>
          </w:r>
        </w:p>
        <w:p w14:paraId="3E6EC026">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_Toc11479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w:t>
          </w:r>
          <w:r>
            <w:rPr>
              <w:rFonts w:hint="eastAsia" w:ascii="Times New Roman" w:hAnsi="Times New Roman" w:eastAsia="黑体" w:cs="Times New Roman"/>
              <w:kern w:val="2"/>
              <w:szCs w:val="24"/>
              <w:highlight w:val="none"/>
              <w:lang w:val="en-US" w:eastAsia="zh-CN" w:bidi="ar-SA"/>
            </w:rPr>
            <w:t>一</w:t>
          </w:r>
          <w:r>
            <w:rPr>
              <w:rFonts w:ascii="Times New Roman" w:hAnsi="Times New Roman" w:eastAsia="黑体" w:cs="Times New Roman"/>
              <w:kern w:val="2"/>
              <w:szCs w:val="24"/>
              <w:highlight w:val="none"/>
              <w:lang w:val="en-US" w:eastAsia="zh-CN" w:bidi="ar-SA"/>
            </w:rPr>
            <w:t>节 全域规划传导与管控</w:t>
          </w:r>
          <w:r>
            <w:tab/>
          </w:r>
          <w:r>
            <w:fldChar w:fldCharType="begin"/>
          </w:r>
          <w:r>
            <w:instrText xml:space="preserve"> PAGEREF _Toc11479 \h </w:instrText>
          </w:r>
          <w:r>
            <w:fldChar w:fldCharType="separate"/>
          </w:r>
          <w:r>
            <w:t>58</w:t>
          </w:r>
          <w:r>
            <w:fldChar w:fldCharType="end"/>
          </w:r>
          <w:r>
            <w:rPr>
              <w:rFonts w:ascii="Times New Roman" w:hAnsi="Times New Roman" w:cs="Times New Roman"/>
              <w:color w:val="auto"/>
              <w:szCs w:val="20"/>
              <w:highlight w:val="none"/>
            </w:rPr>
            <w:fldChar w:fldCharType="end"/>
          </w:r>
        </w:p>
        <w:p w14:paraId="011549E8">
          <w:pPr>
            <w:pStyle w:val="11"/>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_Toc6782 </w:instrText>
          </w:r>
          <w:r>
            <w:rPr>
              <w:rFonts w:ascii="Times New Roman" w:hAnsi="Times New Roman" w:cs="Times New Roman"/>
              <w:szCs w:val="20"/>
              <w:highlight w:val="none"/>
            </w:rPr>
            <w:fldChar w:fldCharType="separate"/>
          </w:r>
          <w:r>
            <w:rPr>
              <w:rFonts w:ascii="Times New Roman" w:hAnsi="Times New Roman" w:eastAsia="黑体" w:cs="Times New Roman"/>
              <w:kern w:val="2"/>
              <w:szCs w:val="24"/>
              <w:highlight w:val="none"/>
              <w:lang w:val="en-US" w:eastAsia="zh-CN" w:bidi="ar-SA"/>
            </w:rPr>
            <w:t>第</w:t>
          </w:r>
          <w:r>
            <w:rPr>
              <w:rFonts w:hint="eastAsia" w:ascii="Times New Roman" w:hAnsi="Times New Roman" w:eastAsia="黑体" w:cs="Times New Roman"/>
              <w:kern w:val="2"/>
              <w:szCs w:val="24"/>
              <w:highlight w:val="none"/>
              <w:lang w:val="en-US" w:eastAsia="zh-CN" w:bidi="ar-SA"/>
            </w:rPr>
            <w:t>二</w:t>
          </w:r>
          <w:r>
            <w:rPr>
              <w:rFonts w:ascii="Times New Roman" w:hAnsi="Times New Roman" w:eastAsia="黑体" w:cs="Times New Roman"/>
              <w:kern w:val="2"/>
              <w:szCs w:val="24"/>
              <w:highlight w:val="none"/>
              <w:lang w:val="en-US" w:eastAsia="zh-CN" w:bidi="ar-SA"/>
            </w:rPr>
            <w:t>节 近期重点建设项目及实施保障</w:t>
          </w:r>
          <w:r>
            <w:tab/>
          </w:r>
          <w:r>
            <w:fldChar w:fldCharType="begin"/>
          </w:r>
          <w:r>
            <w:instrText xml:space="preserve"> PAGEREF _Toc6782 \h </w:instrText>
          </w:r>
          <w:r>
            <w:fldChar w:fldCharType="separate"/>
          </w:r>
          <w:r>
            <w:t>59</w:t>
          </w:r>
          <w:r>
            <w:fldChar w:fldCharType="end"/>
          </w:r>
          <w:r>
            <w:rPr>
              <w:rFonts w:ascii="Times New Roman" w:hAnsi="Times New Roman" w:cs="Times New Roman"/>
              <w:color w:val="auto"/>
              <w:szCs w:val="20"/>
              <w:highlight w:val="none"/>
            </w:rPr>
            <w:fldChar w:fldCharType="end"/>
          </w:r>
        </w:p>
        <w:p w14:paraId="3E51C1AC">
          <w:pPr>
            <w:pStyle w:val="10"/>
            <w:tabs>
              <w:tab w:val="right" w:leader="dot" w:pos="8312"/>
            </w:tabs>
          </w:pPr>
          <w:r>
            <w:rPr>
              <w:rFonts w:ascii="Times New Roman" w:hAnsi="Times New Roman" w:cs="Times New Roman"/>
              <w:color w:val="auto"/>
              <w:szCs w:val="20"/>
              <w:highlight w:val="none"/>
            </w:rPr>
            <w:fldChar w:fldCharType="begin"/>
          </w:r>
          <w:r>
            <w:rPr>
              <w:rFonts w:ascii="Times New Roman" w:hAnsi="Times New Roman" w:cs="Times New Roman"/>
              <w:szCs w:val="20"/>
              <w:highlight w:val="none"/>
            </w:rPr>
            <w:instrText xml:space="preserve"> HYPERLINK \l _Toc7698 </w:instrText>
          </w:r>
          <w:r>
            <w:rPr>
              <w:rFonts w:ascii="Times New Roman" w:hAnsi="Times New Roman" w:cs="Times New Roman"/>
              <w:szCs w:val="20"/>
              <w:highlight w:val="none"/>
            </w:rPr>
            <w:fldChar w:fldCharType="separate"/>
          </w:r>
          <w:r>
            <w:rPr>
              <w:rFonts w:ascii="Times New Roman" w:hAnsi="Times New Roman" w:eastAsia="方正小标宋简体" w:cs="Times New Roman"/>
              <w:kern w:val="44"/>
              <w:szCs w:val="24"/>
              <w:highlight w:val="none"/>
              <w:lang w:val="en-US" w:eastAsia="zh-CN" w:bidi="ar-SA"/>
            </w:rPr>
            <w:t>第</w:t>
          </w:r>
          <w:r>
            <w:rPr>
              <w:rFonts w:hint="eastAsia" w:ascii="Times New Roman" w:hAnsi="Times New Roman" w:eastAsia="方正小标宋简体" w:cs="Times New Roman"/>
              <w:kern w:val="44"/>
              <w:szCs w:val="24"/>
              <w:highlight w:val="none"/>
              <w:lang w:val="en-US" w:eastAsia="zh-CN" w:bidi="ar-SA"/>
            </w:rPr>
            <w:t>十</w:t>
          </w:r>
          <w:r>
            <w:rPr>
              <w:rFonts w:ascii="Times New Roman" w:hAnsi="Times New Roman" w:eastAsia="方正小标宋简体" w:cs="Times New Roman"/>
              <w:kern w:val="44"/>
              <w:szCs w:val="24"/>
              <w:highlight w:val="none"/>
              <w:lang w:val="en-US" w:eastAsia="zh-CN" w:bidi="ar-SA"/>
            </w:rPr>
            <w:t>章 村庄“通则式”规划管理规定</w:t>
          </w:r>
          <w:r>
            <w:tab/>
          </w:r>
          <w:r>
            <w:fldChar w:fldCharType="begin"/>
          </w:r>
          <w:r>
            <w:instrText xml:space="preserve"> PAGEREF _Toc7698 \h </w:instrText>
          </w:r>
          <w:r>
            <w:fldChar w:fldCharType="separate"/>
          </w:r>
          <w:r>
            <w:t>60</w:t>
          </w:r>
          <w:r>
            <w:fldChar w:fldCharType="end"/>
          </w:r>
          <w:r>
            <w:rPr>
              <w:rFonts w:ascii="Times New Roman" w:hAnsi="Times New Roman" w:cs="Times New Roman"/>
              <w:color w:val="auto"/>
              <w:szCs w:val="20"/>
              <w:highlight w:val="none"/>
            </w:rPr>
            <w:fldChar w:fldCharType="end"/>
          </w:r>
        </w:p>
        <w:p w14:paraId="09CE46B4">
          <w:pPr>
            <w:spacing w:beforeLines="50" w:afterLines="50" w:line="600" w:lineRule="atLeast"/>
            <w:jc w:val="center"/>
            <w:rPr>
              <w:rFonts w:ascii="Times New Roman" w:hAnsi="Times New Roman" w:cs="Times New Roman"/>
              <w:color w:val="auto"/>
              <w:sz w:val="20"/>
              <w:szCs w:val="20"/>
              <w:highlight w:val="none"/>
            </w:rPr>
          </w:pPr>
          <w:r>
            <w:rPr>
              <w:rFonts w:ascii="Times New Roman" w:hAnsi="Times New Roman" w:cs="Times New Roman"/>
              <w:color w:val="auto"/>
              <w:szCs w:val="20"/>
              <w:highlight w:val="none"/>
            </w:rPr>
            <w:fldChar w:fldCharType="end"/>
          </w:r>
          <w:bookmarkStart w:id="228" w:name="_GoBack"/>
          <w:bookmarkEnd w:id="228"/>
        </w:p>
      </w:sdtContent>
    </w:sdt>
    <w:p w14:paraId="1B017C7E">
      <w:pPr>
        <w:spacing w:line="600" w:lineRule="atLeast"/>
        <w:rPr>
          <w:rFonts w:ascii="Times New Roman" w:hAnsi="Times New Roman" w:eastAsia="方正小标宋简体" w:cs="Times New Roman"/>
          <w:color w:val="auto"/>
          <w:kern w:val="2"/>
          <w:szCs w:val="36"/>
          <w:highlight w:val="none"/>
        </w:rPr>
        <w:sectPr>
          <w:footerReference r:id="rId7" w:type="default"/>
          <w:pgSz w:w="11906" w:h="16838"/>
          <w:pgMar w:top="1440" w:right="1797" w:bottom="1440" w:left="1797" w:header="851" w:footer="850" w:gutter="0"/>
          <w:pgNumType w:fmt="lowerRoman" w:start="1"/>
          <w:cols w:space="425" w:num="1"/>
          <w:docGrid w:type="lines" w:linePitch="312" w:charSpace="0"/>
        </w:sectPr>
      </w:pPr>
    </w:p>
    <w:p w14:paraId="6C206E25">
      <w:pPr>
        <w:keepNext/>
        <w:keepLines w:val="0"/>
        <w:widowControl w:val="0"/>
        <w:spacing w:before="340" w:beforeLines="50" w:after="330" w:afterLines="50" w:line="600" w:lineRule="exact"/>
        <w:jc w:val="center"/>
        <w:outlineLvl w:val="0"/>
        <w:rPr>
          <w:rFonts w:ascii="Times New Roman" w:hAnsi="Times New Roman" w:eastAsia="方正小标宋简体" w:cs="Times New Roman"/>
          <w:color w:val="auto"/>
          <w:kern w:val="44"/>
          <w:sz w:val="36"/>
          <w:szCs w:val="24"/>
          <w:highlight w:val="none"/>
          <w:lang w:val="en-US" w:eastAsia="zh-CN" w:bidi="ar-SA"/>
        </w:rPr>
      </w:pPr>
      <w:bookmarkStart w:id="23" w:name="_Toc9251"/>
      <w:r>
        <w:rPr>
          <w:rFonts w:ascii="Times New Roman" w:hAnsi="Times New Roman" w:eastAsia="方正小标宋简体" w:cs="Times New Roman"/>
          <w:color w:val="auto"/>
          <w:kern w:val="44"/>
          <w:sz w:val="36"/>
          <w:szCs w:val="24"/>
          <w:highlight w:val="none"/>
          <w:lang w:val="en-US" w:eastAsia="zh-CN" w:bidi="ar-SA"/>
        </w:rPr>
        <w:t>第一章 总则</w:t>
      </w:r>
      <w:bookmarkEnd w:id="23"/>
    </w:p>
    <w:p w14:paraId="5E1B74E0">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24" w:name="_Toc23548"/>
      <w:bookmarkStart w:id="25" w:name="_Toc11751"/>
      <w:r>
        <w:rPr>
          <w:rFonts w:ascii="Calibri" w:hAnsi="Calibri" w:eastAsia="楷体_GB2312" w:cs="Times New Roman"/>
          <w:b/>
          <w:color w:val="auto"/>
          <w:kern w:val="2"/>
          <w:sz w:val="32"/>
          <w:szCs w:val="24"/>
          <w:highlight w:val="none"/>
          <w:lang w:val="en-US" w:eastAsia="zh-CN" w:bidi="ar-SA"/>
        </w:rPr>
        <w:t>规划目的</w:t>
      </w:r>
      <w:bookmarkEnd w:id="24"/>
      <w:bookmarkEnd w:id="25"/>
    </w:p>
    <w:p w14:paraId="41FF5D1D">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为贯彻</w:t>
      </w:r>
      <w:r>
        <w:rPr>
          <w:rFonts w:ascii="Times New Roman" w:hAnsi="Times New Roman" w:eastAsia="仿宋_GB2312" w:cs="Times New Roman"/>
          <w:color w:val="auto"/>
          <w:kern w:val="2"/>
          <w:sz w:val="32"/>
          <w:szCs w:val="32"/>
          <w:highlight w:val="none"/>
          <w:shd w:val="clear" w:color="auto" w:fill="FFFFFF"/>
          <w:lang w:val="en-US" w:eastAsia="zh-CN" w:bidi="ar-SA"/>
        </w:rPr>
        <w:t>《中共中央</w:t>
      </w:r>
      <w:r>
        <w:rPr>
          <w:rFonts w:hint="eastAsia" w:ascii="仿宋_GB2312" w:hAnsi="仿宋_GB2312" w:eastAsia="仿宋_GB2312" w:cs="仿宋_GB2312"/>
          <w:color w:val="auto"/>
          <w:kern w:val="2"/>
          <w:sz w:val="32"/>
          <w:szCs w:val="32"/>
          <w:highlight w:val="none"/>
          <w:lang w:val="en-US" w:eastAsia="zh-CN" w:bidi="ar-SA"/>
        </w:rPr>
        <w:t>、</w:t>
      </w:r>
      <w:r>
        <w:rPr>
          <w:rFonts w:ascii="Times New Roman" w:hAnsi="Times New Roman" w:eastAsia="仿宋_GB2312" w:cs="Times New Roman"/>
          <w:color w:val="auto"/>
          <w:kern w:val="2"/>
          <w:sz w:val="32"/>
          <w:szCs w:val="32"/>
          <w:highlight w:val="none"/>
          <w:shd w:val="clear" w:color="auto" w:fill="FFFFFF"/>
          <w:lang w:val="en-US" w:eastAsia="zh-CN" w:bidi="ar-SA"/>
        </w:rPr>
        <w:t>国务院</w:t>
      </w:r>
      <w:r>
        <w:rPr>
          <w:rFonts w:ascii="Times New Roman" w:hAnsi="Times New Roman" w:eastAsia="仿宋_GB2312" w:cs="Times New Roman"/>
          <w:color w:val="auto"/>
          <w:kern w:val="2"/>
          <w:sz w:val="32"/>
          <w:szCs w:val="32"/>
          <w:highlight w:val="none"/>
          <w:lang w:val="en-US" w:eastAsia="zh-CN" w:bidi="ar-SA"/>
        </w:rPr>
        <w:t>关于建立国土空间规划体系并监督实施的若干意见》（中发〔2019〕18号），</w:t>
      </w:r>
      <w:r>
        <w:rPr>
          <w:rFonts w:ascii="Times New Roman" w:hAnsi="Times New Roman" w:eastAsia="仿宋_GB2312" w:cs="Times New Roman"/>
          <w:color w:val="auto"/>
          <w:kern w:val="2"/>
          <w:sz w:val="32"/>
          <w:szCs w:val="24"/>
          <w:highlight w:val="none"/>
          <w:lang w:val="en-US" w:eastAsia="zh-CN" w:bidi="ar-SA"/>
        </w:rPr>
        <w:t>落实《自然资源部关于全面开展国土空间规划工作的通知》（自然资发〔2019〕87号）和</w:t>
      </w:r>
      <w:r>
        <w:rPr>
          <w:rFonts w:ascii="Times New Roman" w:hAnsi="Times New Roman" w:eastAsia="仿宋_GB2312" w:cs="Times New Roman"/>
          <w:color w:val="auto"/>
          <w:kern w:val="2"/>
          <w:sz w:val="32"/>
          <w:szCs w:val="28"/>
          <w:highlight w:val="none"/>
          <w:lang w:val="en-US" w:eastAsia="zh-CN" w:bidi="ar-SA"/>
        </w:rPr>
        <w:t>《中共黑龙江</w:t>
      </w:r>
      <w:r>
        <w:rPr>
          <w:rFonts w:hint="eastAsia" w:ascii="Times New Roman" w:hAnsi="Times New Roman" w:eastAsia="仿宋_GB2312" w:cs="Times New Roman"/>
          <w:color w:val="auto"/>
          <w:kern w:val="2"/>
          <w:sz w:val="32"/>
          <w:szCs w:val="28"/>
          <w:highlight w:val="none"/>
          <w:lang w:val="en-US" w:eastAsia="zh-CN" w:bidi="ar-SA"/>
        </w:rPr>
        <w:t>省</w:t>
      </w:r>
      <w:r>
        <w:rPr>
          <w:rFonts w:ascii="Times New Roman" w:hAnsi="Times New Roman" w:eastAsia="仿宋_GB2312" w:cs="Times New Roman"/>
          <w:color w:val="auto"/>
          <w:kern w:val="2"/>
          <w:sz w:val="32"/>
          <w:szCs w:val="28"/>
          <w:highlight w:val="none"/>
          <w:lang w:val="en-US" w:eastAsia="zh-CN" w:bidi="ar-SA"/>
        </w:rPr>
        <w:t>委黑龙江</w:t>
      </w:r>
      <w:r>
        <w:rPr>
          <w:rFonts w:hint="eastAsia" w:ascii="Times New Roman" w:hAnsi="Times New Roman" w:eastAsia="仿宋_GB2312" w:cs="Times New Roman"/>
          <w:color w:val="auto"/>
          <w:kern w:val="2"/>
          <w:sz w:val="32"/>
          <w:szCs w:val="28"/>
          <w:highlight w:val="none"/>
          <w:lang w:val="en-US" w:eastAsia="zh-CN" w:bidi="ar-SA"/>
        </w:rPr>
        <w:t>省</w:t>
      </w:r>
      <w:r>
        <w:rPr>
          <w:rFonts w:ascii="Times New Roman" w:hAnsi="Times New Roman" w:eastAsia="仿宋_GB2312" w:cs="Times New Roman"/>
          <w:color w:val="auto"/>
          <w:kern w:val="2"/>
          <w:sz w:val="32"/>
          <w:szCs w:val="28"/>
          <w:highlight w:val="none"/>
          <w:lang w:val="en-US" w:eastAsia="zh-CN" w:bidi="ar-SA"/>
        </w:rPr>
        <w:t>人民政府关于建立全</w:t>
      </w:r>
      <w:r>
        <w:rPr>
          <w:rFonts w:hint="eastAsia" w:ascii="Times New Roman" w:hAnsi="Times New Roman" w:eastAsia="仿宋_GB2312" w:cs="Times New Roman"/>
          <w:color w:val="auto"/>
          <w:kern w:val="2"/>
          <w:sz w:val="32"/>
          <w:szCs w:val="28"/>
          <w:highlight w:val="none"/>
          <w:lang w:val="en-US" w:eastAsia="zh-CN" w:bidi="ar-SA"/>
        </w:rPr>
        <w:t>省</w:t>
      </w:r>
      <w:r>
        <w:rPr>
          <w:rFonts w:ascii="Times New Roman" w:hAnsi="Times New Roman" w:eastAsia="仿宋_GB2312" w:cs="Times New Roman"/>
          <w:color w:val="auto"/>
          <w:kern w:val="2"/>
          <w:sz w:val="32"/>
          <w:szCs w:val="28"/>
          <w:highlight w:val="none"/>
          <w:lang w:val="en-US" w:eastAsia="zh-CN" w:bidi="ar-SA"/>
        </w:rPr>
        <w:t>国土空间规划体系并监督实施的意见》</w:t>
      </w:r>
      <w:r>
        <w:rPr>
          <w:rFonts w:ascii="Times New Roman" w:hAnsi="Times New Roman" w:eastAsia="仿宋_GB2312" w:cs="Times New Roman"/>
          <w:color w:val="auto"/>
          <w:kern w:val="2"/>
          <w:sz w:val="32"/>
          <w:szCs w:val="24"/>
          <w:highlight w:val="none"/>
          <w:lang w:val="en-US" w:eastAsia="zh-CN" w:bidi="ar-SA"/>
        </w:rPr>
        <w:t>的相关要求，建立和完善桦川</w:t>
      </w:r>
      <w:r>
        <w:rPr>
          <w:rFonts w:hint="eastAsia" w:ascii="Times New Roman" w:hAnsi="Times New Roman" w:eastAsia="仿宋_GB2312" w:cs="Times New Roman"/>
          <w:color w:val="auto"/>
          <w:kern w:val="2"/>
          <w:sz w:val="32"/>
          <w:szCs w:val="24"/>
          <w:highlight w:val="none"/>
          <w:lang w:val="en-US" w:eastAsia="zh-CN" w:bidi="ar-SA"/>
        </w:rPr>
        <w:t>县</w:t>
      </w:r>
      <w:r>
        <w:rPr>
          <w:rFonts w:ascii="Times New Roman" w:hAnsi="Times New Roman" w:eastAsia="仿宋_GB2312" w:cs="Times New Roman"/>
          <w:color w:val="auto"/>
          <w:kern w:val="2"/>
          <w:sz w:val="32"/>
          <w:szCs w:val="24"/>
          <w:highlight w:val="none"/>
          <w:lang w:val="en-US" w:eastAsia="zh-CN" w:bidi="ar-SA"/>
        </w:rPr>
        <w:t>国土空间规划体系，提升苏家店</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空间治理能力，实现高质量发展和高标准建设，</w:t>
      </w:r>
      <w:r>
        <w:rPr>
          <w:rFonts w:ascii="Times New Roman" w:hAnsi="Times New Roman" w:eastAsia="仿宋_GB2312" w:cs="Times New Roman"/>
          <w:color w:val="auto"/>
          <w:kern w:val="2"/>
          <w:sz w:val="32"/>
          <w:szCs w:val="32"/>
          <w:highlight w:val="none"/>
          <w:lang w:val="en-US" w:eastAsia="zh-CN" w:bidi="ar-SA"/>
        </w:rPr>
        <w:t>编制《桦川</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苏家店</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国土空间总体规划（2021-2035年）》</w:t>
      </w:r>
      <w:r>
        <w:rPr>
          <w:rFonts w:ascii="Times New Roman" w:hAnsi="Times New Roman" w:eastAsia="仿宋_GB2312" w:cs="Times New Roman"/>
          <w:color w:val="auto"/>
          <w:kern w:val="2"/>
          <w:sz w:val="32"/>
          <w:szCs w:val="24"/>
          <w:highlight w:val="none"/>
          <w:lang w:val="en-US" w:eastAsia="zh-CN" w:bidi="ar-SA"/>
        </w:rPr>
        <w:t>（以下简称《规划》）</w:t>
      </w:r>
      <w:r>
        <w:rPr>
          <w:rFonts w:ascii="Times New Roman" w:hAnsi="Times New Roman" w:eastAsia="仿宋_GB2312" w:cs="Times New Roman"/>
          <w:color w:val="auto"/>
          <w:kern w:val="2"/>
          <w:sz w:val="32"/>
          <w:szCs w:val="32"/>
          <w:highlight w:val="none"/>
          <w:lang w:val="en-US" w:eastAsia="zh-CN" w:bidi="ar-SA"/>
        </w:rPr>
        <w:t>。</w:t>
      </w:r>
    </w:p>
    <w:p w14:paraId="503AA5E8">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规划定位</w:t>
      </w:r>
    </w:p>
    <w:p w14:paraId="24796D8B">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《规划》是对佳木斯</w:t>
      </w:r>
      <w:r>
        <w:rPr>
          <w:rFonts w:hint="eastAsia" w:ascii="Times New Roman" w:hAnsi="Times New Roman" w:eastAsia="仿宋_GB2312" w:cs="Times New Roman"/>
          <w:color w:val="auto"/>
          <w:kern w:val="2"/>
          <w:sz w:val="32"/>
          <w:szCs w:val="24"/>
          <w:highlight w:val="none"/>
          <w:lang w:val="en-US" w:eastAsia="zh-CN" w:bidi="ar-SA"/>
        </w:rPr>
        <w:t>市</w:t>
      </w:r>
      <w:r>
        <w:rPr>
          <w:rFonts w:ascii="Times New Roman" w:hAnsi="Times New Roman" w:eastAsia="仿宋_GB2312" w:cs="Times New Roman"/>
          <w:color w:val="auto"/>
          <w:kern w:val="2"/>
          <w:sz w:val="32"/>
          <w:szCs w:val="24"/>
          <w:highlight w:val="none"/>
          <w:lang w:val="en-US" w:eastAsia="zh-CN" w:bidi="ar-SA"/>
        </w:rPr>
        <w:t>和桦川</w:t>
      </w:r>
      <w:r>
        <w:rPr>
          <w:rFonts w:hint="eastAsia" w:ascii="Times New Roman" w:hAnsi="Times New Roman" w:eastAsia="仿宋_GB2312" w:cs="Times New Roman"/>
          <w:color w:val="auto"/>
          <w:kern w:val="2"/>
          <w:sz w:val="32"/>
          <w:szCs w:val="24"/>
          <w:highlight w:val="none"/>
          <w:lang w:val="en-US" w:eastAsia="zh-CN" w:bidi="ar-SA"/>
        </w:rPr>
        <w:t>县</w:t>
      </w:r>
      <w:r>
        <w:rPr>
          <w:rFonts w:ascii="Times New Roman" w:hAnsi="Times New Roman" w:eastAsia="仿宋_GB2312" w:cs="Times New Roman"/>
          <w:color w:val="auto"/>
          <w:kern w:val="2"/>
          <w:sz w:val="32"/>
          <w:szCs w:val="24"/>
          <w:highlight w:val="none"/>
          <w:lang w:val="en-US" w:eastAsia="zh-CN" w:bidi="ar-SA"/>
        </w:rPr>
        <w:t>国土空间总体规划要求的细化落实，是对</w:t>
      </w:r>
      <w:r>
        <w:rPr>
          <w:rFonts w:hint="eastAsia" w:ascii="Times New Roman" w:hAnsi="Times New Roman" w:eastAsia="仿宋_GB2312" w:cs="Times New Roman"/>
          <w:color w:val="auto"/>
          <w:kern w:val="2"/>
          <w:sz w:val="32"/>
          <w:szCs w:val="24"/>
          <w:highlight w:val="none"/>
          <w:lang w:val="en-US" w:eastAsia="zh-CN" w:bidi="ar-SA"/>
        </w:rPr>
        <w:t>苏家店镇镇域</w:t>
      </w:r>
      <w:r>
        <w:rPr>
          <w:rFonts w:ascii="Times New Roman" w:hAnsi="Times New Roman" w:eastAsia="仿宋_GB2312" w:cs="Times New Roman"/>
          <w:color w:val="auto"/>
          <w:kern w:val="2"/>
          <w:sz w:val="32"/>
          <w:szCs w:val="24"/>
          <w:highlight w:val="none"/>
          <w:lang w:val="en-US" w:eastAsia="zh-CN" w:bidi="ar-SA"/>
        </w:rPr>
        <w:t>国土空间保护开发作出的具体安排，是苏家店</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进行空间治理的工具，是编制城</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开发边界内详细规划和城</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开发边界外的村庄规划、实施国土空间用途管制的基本依据。</w:t>
      </w:r>
    </w:p>
    <w:p w14:paraId="2DE032F6">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26" w:name="_Toc18321"/>
      <w:bookmarkStart w:id="27" w:name="_Toc24055"/>
      <w:r>
        <w:rPr>
          <w:rFonts w:ascii="Calibri" w:hAnsi="Calibri" w:eastAsia="楷体_GB2312" w:cs="Times New Roman"/>
          <w:b/>
          <w:color w:val="auto"/>
          <w:kern w:val="2"/>
          <w:sz w:val="32"/>
          <w:szCs w:val="24"/>
          <w:highlight w:val="none"/>
          <w:lang w:val="en-US" w:eastAsia="zh-CN" w:bidi="ar-SA"/>
        </w:rPr>
        <w:t>指导思想</w:t>
      </w:r>
      <w:bookmarkEnd w:id="26"/>
      <w:bookmarkEnd w:id="27"/>
    </w:p>
    <w:p w14:paraId="52C11959">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以习近平新时代中国特色社会主义思想和习近平总书记历次在东北地区及黑龙江</w:t>
      </w:r>
      <w:r>
        <w:rPr>
          <w:rFonts w:hint="eastAsia" w:ascii="Times New Roman" w:hAnsi="Times New Roman" w:eastAsia="仿宋_GB2312" w:cs="Times New Roman"/>
          <w:color w:val="auto"/>
          <w:kern w:val="2"/>
          <w:sz w:val="32"/>
          <w:szCs w:val="24"/>
          <w:highlight w:val="none"/>
          <w:lang w:val="en-US" w:eastAsia="zh-CN" w:bidi="ar-SA"/>
        </w:rPr>
        <w:t>省</w:t>
      </w:r>
      <w:r>
        <w:rPr>
          <w:rFonts w:ascii="Times New Roman" w:hAnsi="Times New Roman" w:eastAsia="仿宋_GB2312" w:cs="Times New Roman"/>
          <w:color w:val="auto"/>
          <w:kern w:val="2"/>
          <w:sz w:val="32"/>
          <w:szCs w:val="24"/>
          <w:highlight w:val="none"/>
          <w:lang w:val="en-US" w:eastAsia="zh-CN" w:bidi="ar-SA"/>
        </w:rPr>
        <w:t>考察的重要讲话精神为统领，全面贯彻党的二十大精神，统筹推进“五位一体”总体布局，协调推进“四个全面”战略布局，立足新发展阶段，完整、准确、全面贯彻新发展理念，服务和融入新发展格局。坚持高水平保护，推进高质量发展，引导高品质生活，实现高效能治理，优化国土空间开发保护格局，构建</w:t>
      </w:r>
      <w:r>
        <w:rPr>
          <w:rFonts w:ascii="Times New Roman" w:hAnsi="Times New Roman" w:eastAsia="仿宋_GB2312" w:cs="Times New Roman"/>
          <w:color w:val="auto"/>
          <w:kern w:val="2"/>
          <w:sz w:val="32"/>
          <w:szCs w:val="32"/>
          <w:highlight w:val="none"/>
          <w:lang w:val="en-US" w:eastAsia="zh-CN" w:bidi="ar-SA"/>
        </w:rPr>
        <w:t>苏家店</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国土空间规划体系。</w:t>
      </w:r>
    </w:p>
    <w:p w14:paraId="3A1B5516">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28" w:name="_Toc11573"/>
      <w:bookmarkStart w:id="29" w:name="_Toc7631"/>
      <w:r>
        <w:rPr>
          <w:rFonts w:ascii="Calibri" w:hAnsi="Calibri" w:eastAsia="楷体_GB2312" w:cs="Times New Roman"/>
          <w:b/>
          <w:color w:val="auto"/>
          <w:kern w:val="2"/>
          <w:sz w:val="32"/>
          <w:szCs w:val="24"/>
          <w:highlight w:val="none"/>
          <w:lang w:val="en-US" w:eastAsia="zh-CN" w:bidi="ar-SA"/>
        </w:rPr>
        <w:t>规划原则</w:t>
      </w:r>
      <w:bookmarkEnd w:id="28"/>
      <w:bookmarkEnd w:id="29"/>
    </w:p>
    <w:p w14:paraId="192F1A71">
      <w:pPr>
        <w:ind w:firstLine="640"/>
        <w:rPr>
          <w:rFonts w:ascii="Times New Roman" w:hAnsi="Times New Roman" w:cs="Times New Roman"/>
          <w:color w:val="auto"/>
          <w:highlight w:val="none"/>
        </w:rPr>
      </w:pPr>
      <w:bookmarkStart w:id="30" w:name="_Toc13905"/>
      <w:bookmarkStart w:id="31" w:name="_Toc29402"/>
      <w:r>
        <w:rPr>
          <w:rFonts w:ascii="Times New Roman" w:hAnsi="Times New Roman" w:cs="Times New Roman"/>
          <w:color w:val="auto"/>
          <w:highlight w:val="none"/>
        </w:rPr>
        <w:t>坚持安全底线，绿色发展。落实</w:t>
      </w:r>
      <w:r>
        <w:rPr>
          <w:rFonts w:hint="eastAsia" w:ascii="Times New Roman" w:hAnsi="Times New Roman" w:cs="Times New Roman"/>
          <w:color w:val="auto"/>
          <w:highlight w:val="none"/>
          <w:lang w:eastAsia="zh-CN"/>
        </w:rPr>
        <w:t>市县</w:t>
      </w:r>
      <w:r>
        <w:rPr>
          <w:rFonts w:ascii="Times New Roman" w:hAnsi="Times New Roman" w:cs="Times New Roman"/>
          <w:color w:val="auto"/>
          <w:highlight w:val="none"/>
        </w:rPr>
        <w:t>总规划定的“三条控制线”，严守国防安全、</w:t>
      </w:r>
      <w:r>
        <w:rPr>
          <w:rFonts w:ascii="Times New Roman" w:hAnsi="Times New Roman" w:cs="Times New Roman"/>
          <w:bCs/>
          <w:color w:val="auto"/>
          <w:highlight w:val="none"/>
        </w:rPr>
        <w:t>粮食安全、生态安全、能源安全、产业安全底线</w:t>
      </w:r>
      <w:r>
        <w:rPr>
          <w:rFonts w:ascii="Times New Roman" w:hAnsi="Times New Roman" w:cs="Times New Roman"/>
          <w:color w:val="auto"/>
          <w:highlight w:val="none"/>
        </w:rPr>
        <w:t>。</w:t>
      </w:r>
    </w:p>
    <w:p w14:paraId="12D9FDF6">
      <w:pPr>
        <w:ind w:firstLine="640"/>
        <w:rPr>
          <w:rFonts w:ascii="Times New Roman" w:hAnsi="Times New Roman" w:cs="Times New Roman"/>
          <w:color w:val="auto"/>
          <w:highlight w:val="none"/>
        </w:rPr>
      </w:pPr>
      <w:r>
        <w:rPr>
          <w:rFonts w:ascii="Times New Roman" w:hAnsi="Times New Roman" w:cs="Times New Roman"/>
          <w:color w:val="auto"/>
          <w:highlight w:val="none"/>
        </w:rPr>
        <w:t>坚持以人为本，品质提升。以人民为中心，处理好人与自然的和谐关系，实现城</w:t>
      </w:r>
      <w:r>
        <w:rPr>
          <w:rFonts w:hint="eastAsia" w:ascii="Times New Roman" w:hAnsi="Times New Roman" w:cs="Times New Roman"/>
          <w:color w:val="auto"/>
          <w:highlight w:val="none"/>
          <w:lang w:eastAsia="zh-CN"/>
        </w:rPr>
        <w:t>乡</w:t>
      </w:r>
      <w:r>
        <w:rPr>
          <w:rFonts w:ascii="Times New Roman" w:hAnsi="Times New Roman" w:cs="Times New Roman"/>
          <w:color w:val="auto"/>
          <w:highlight w:val="none"/>
        </w:rPr>
        <w:t>高质量发展、高品质生活。</w:t>
      </w:r>
    </w:p>
    <w:p w14:paraId="095ABFCD">
      <w:pPr>
        <w:ind w:firstLine="640"/>
        <w:rPr>
          <w:rFonts w:ascii="Times New Roman" w:hAnsi="Times New Roman" w:cs="Times New Roman"/>
          <w:color w:val="auto"/>
          <w:highlight w:val="none"/>
        </w:rPr>
      </w:pPr>
      <w:r>
        <w:rPr>
          <w:rFonts w:ascii="Times New Roman" w:hAnsi="Times New Roman" w:cs="Times New Roman"/>
          <w:color w:val="auto"/>
          <w:highlight w:val="none"/>
        </w:rPr>
        <w:t>坚持全域管控，适度集约。强化自然资源统筹利用和用途管控，探索控制城</w:t>
      </w:r>
      <w:r>
        <w:rPr>
          <w:rFonts w:hint="eastAsia" w:ascii="Times New Roman" w:hAnsi="Times New Roman" w:cs="Times New Roman"/>
          <w:color w:val="auto"/>
          <w:highlight w:val="none"/>
          <w:lang w:eastAsia="zh-CN"/>
        </w:rPr>
        <w:t>乡</w:t>
      </w:r>
      <w:r>
        <w:rPr>
          <w:rFonts w:ascii="Times New Roman" w:hAnsi="Times New Roman" w:cs="Times New Roman"/>
          <w:color w:val="auto"/>
          <w:highlight w:val="none"/>
        </w:rPr>
        <w:t>建设用地增量，盘活存量的内涵式发展路径，提高土地利用效率。</w:t>
      </w:r>
    </w:p>
    <w:p w14:paraId="7F74AE01">
      <w:pPr>
        <w:ind w:firstLine="640"/>
        <w:rPr>
          <w:rFonts w:ascii="Times New Roman" w:hAnsi="Times New Roman" w:cs="Times New Roman"/>
          <w:color w:val="auto"/>
          <w:highlight w:val="none"/>
        </w:rPr>
      </w:pPr>
      <w:r>
        <w:rPr>
          <w:rFonts w:ascii="Times New Roman" w:hAnsi="Times New Roman" w:cs="Times New Roman"/>
          <w:color w:val="auto"/>
          <w:highlight w:val="none"/>
        </w:rPr>
        <w:t>坚持公众参与，开放共享。广泛征求公众意见，开门编规划，保障公众的知情权、参与权和监督权。</w:t>
      </w:r>
    </w:p>
    <w:p w14:paraId="0A72FE3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规划依据</w:t>
      </w:r>
      <w:bookmarkEnd w:id="30"/>
      <w:bookmarkEnd w:id="31"/>
    </w:p>
    <w:p w14:paraId="4A6EC3E5">
      <w:pPr>
        <w:widowControl w:val="0"/>
        <w:numPr>
          <w:ilvl w:val="0"/>
          <w:numId w:val="2"/>
        </w:numPr>
        <w:spacing w:line="600" w:lineRule="exact"/>
        <w:ind w:left="770" w:hanging="210" w:firstLineChars="0"/>
        <w:jc w:val="both"/>
        <w:rPr>
          <w:rFonts w:ascii="Times New Roman" w:hAnsi="Times New Roman" w:eastAsia="仿宋_GB2312" w:cs="Times New Roman"/>
          <w:color w:val="auto"/>
          <w:kern w:val="2"/>
          <w:sz w:val="32"/>
          <w:szCs w:val="28"/>
          <w:highlight w:val="none"/>
          <w:lang w:val="en-US" w:eastAsia="zh-CN" w:bidi="ar-SA"/>
        </w:rPr>
      </w:pPr>
      <w:bookmarkStart w:id="32" w:name="_Hlk175260929"/>
      <w:r>
        <w:rPr>
          <w:rFonts w:ascii="Times New Roman" w:hAnsi="Times New Roman" w:eastAsia="仿宋_GB2312" w:cs="Times New Roman"/>
          <w:color w:val="auto"/>
          <w:kern w:val="2"/>
          <w:sz w:val="32"/>
          <w:szCs w:val="28"/>
          <w:highlight w:val="none"/>
          <w:lang w:val="en-US" w:eastAsia="zh-CN" w:bidi="ar-SA"/>
        </w:rPr>
        <w:t>法律法规</w:t>
      </w:r>
    </w:p>
    <w:p w14:paraId="7D520B38">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《中华人民共和国土地管理法》（2019年修订）；</w:t>
      </w:r>
    </w:p>
    <w:p w14:paraId="1BE059AA">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《中华人民共和国土地管理法实施条例》（2021年修订）；</w:t>
      </w:r>
    </w:p>
    <w:p w14:paraId="1738CBD9">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《中华人民共和国城</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规划法》（2019年修订）；</w:t>
      </w:r>
    </w:p>
    <w:p w14:paraId="54896BF2">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《中华人民共和国环境保护法》（2014年修订）；</w:t>
      </w:r>
    </w:p>
    <w:p w14:paraId="55C9B66C">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村振兴促进法》（2021.04）；</w:t>
      </w:r>
    </w:p>
    <w:p w14:paraId="0A7DA582">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《中华人民共和国草原法》（2021年修订）；</w:t>
      </w:r>
    </w:p>
    <w:p w14:paraId="2A2A5CAD">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《中华人民共和国森林法》（2019年修订）；</w:t>
      </w:r>
    </w:p>
    <w:p w14:paraId="15AB204E">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《中华人民共和国湿地保护法》（2022.06）；</w:t>
      </w:r>
    </w:p>
    <w:p w14:paraId="2B5043B1">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《中华人民共和国文物保护法》（2017年修订）；</w:t>
      </w:r>
    </w:p>
    <w:p w14:paraId="3D0845A1">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《中华人民共和国自然保护区条例》（2017年修订）；</w:t>
      </w:r>
    </w:p>
    <w:p w14:paraId="1002BC5A">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《黑龙江</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黑土地保护利用条例》（2024.03）；</w:t>
      </w:r>
    </w:p>
    <w:p w14:paraId="066E3B79">
      <w:pPr>
        <w:numPr>
          <w:ilvl w:val="0"/>
          <w:numId w:val="3"/>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其他相关</w:t>
      </w:r>
      <w:r>
        <w:rPr>
          <w:rFonts w:hint="eastAsia" w:ascii="Times New Roman" w:hAnsi="Times New Roman" w:cs="Times New Roman"/>
          <w:color w:val="auto"/>
          <w:szCs w:val="32"/>
          <w:highlight w:val="none"/>
        </w:rPr>
        <w:t>法律法规</w:t>
      </w:r>
      <w:r>
        <w:rPr>
          <w:rFonts w:ascii="Times New Roman" w:hAnsi="Times New Roman" w:cs="Times New Roman"/>
          <w:color w:val="auto"/>
          <w:szCs w:val="32"/>
          <w:highlight w:val="none"/>
        </w:rPr>
        <w:t>。</w:t>
      </w:r>
    </w:p>
    <w:p w14:paraId="358C53EB">
      <w:pPr>
        <w:widowControl w:val="0"/>
        <w:numPr>
          <w:ilvl w:val="0"/>
          <w:numId w:val="2"/>
        </w:numPr>
        <w:spacing w:line="600" w:lineRule="exact"/>
        <w:ind w:left="770" w:hanging="210" w:firstLineChars="0"/>
        <w:jc w:val="both"/>
        <w:rPr>
          <w:rFonts w:ascii="Times New Roman" w:hAnsi="Times New Roman" w:eastAsia="仿宋_GB2312" w:cs="Times New Roman"/>
          <w:color w:val="auto"/>
          <w:kern w:val="2"/>
          <w:sz w:val="32"/>
          <w:szCs w:val="28"/>
          <w:highlight w:val="none"/>
          <w:lang w:val="en-US" w:eastAsia="zh-CN" w:bidi="ar-SA"/>
        </w:rPr>
      </w:pPr>
      <w:r>
        <w:rPr>
          <w:rFonts w:ascii="Times New Roman" w:hAnsi="Times New Roman" w:eastAsia="仿宋_GB2312" w:cs="Times New Roman"/>
          <w:color w:val="auto"/>
          <w:kern w:val="2"/>
          <w:sz w:val="32"/>
          <w:szCs w:val="28"/>
          <w:highlight w:val="none"/>
          <w:lang w:val="en-US" w:eastAsia="zh-CN" w:bidi="ar-SA"/>
        </w:rPr>
        <w:t>政策文件</w:t>
      </w:r>
    </w:p>
    <w:p w14:paraId="6800843D">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《中共中央 国务院关于建立国土空间规划体系并监督实施的若干意见》（中发</w:t>
      </w:r>
      <w:r>
        <w:rPr>
          <w:rFonts w:hint="eastAsia" w:ascii="Times New Roman" w:hAnsi="Times New Roman" w:cs="Times New Roman"/>
          <w:color w:val="auto"/>
          <w:szCs w:val="32"/>
          <w:highlight w:val="none"/>
          <w:shd w:val="clear" w:color="auto" w:fill="FFFFFF"/>
        </w:rPr>
        <w:t>〔2019〕</w:t>
      </w:r>
      <w:r>
        <w:rPr>
          <w:rFonts w:ascii="Times New Roman" w:hAnsi="Times New Roman" w:cs="Times New Roman"/>
          <w:color w:val="auto"/>
          <w:szCs w:val="32"/>
          <w:highlight w:val="none"/>
        </w:rPr>
        <w:t>18号）；</w:t>
      </w:r>
    </w:p>
    <w:p w14:paraId="574E4DF9">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《中共中央 国务院关于加快推进生态文明建设的意见》</w:t>
      </w:r>
      <w:r>
        <w:rPr>
          <w:rFonts w:hint="eastAsia" w:ascii="Times New Roman" w:hAnsi="Times New Roman" w:cs="Times New Roman"/>
          <w:color w:val="auto"/>
          <w:szCs w:val="32"/>
          <w:highlight w:val="none"/>
        </w:rPr>
        <w:t>（</w:t>
      </w:r>
      <w:r>
        <w:rPr>
          <w:rFonts w:ascii="Times New Roman" w:hAnsi="Times New Roman" w:cs="Times New Roman"/>
          <w:color w:val="auto"/>
          <w:szCs w:val="32"/>
          <w:highlight w:val="none"/>
          <w:shd w:val="clear" w:color="auto" w:fill="FFFFFF"/>
        </w:rPr>
        <w:t>厅字</w:t>
      </w:r>
      <w:r>
        <w:rPr>
          <w:rFonts w:hint="eastAsia" w:ascii="Times New Roman" w:hAnsi="Times New Roman" w:cs="Times New Roman"/>
          <w:color w:val="auto"/>
          <w:szCs w:val="32"/>
          <w:highlight w:val="none"/>
          <w:shd w:val="clear" w:color="auto" w:fill="FFFFFF"/>
        </w:rPr>
        <w:t>〔2019〕</w:t>
      </w:r>
      <w:r>
        <w:rPr>
          <w:rFonts w:ascii="Times New Roman" w:hAnsi="Times New Roman" w:cs="Times New Roman"/>
          <w:color w:val="auto"/>
          <w:szCs w:val="32"/>
          <w:highlight w:val="none"/>
        </w:rPr>
        <w:t>48号</w:t>
      </w:r>
      <w:r>
        <w:rPr>
          <w:rFonts w:hint="eastAsia" w:ascii="Times New Roman" w:hAnsi="Times New Roman" w:cs="Times New Roman"/>
          <w:color w:val="auto"/>
          <w:szCs w:val="32"/>
          <w:highlight w:val="none"/>
        </w:rPr>
        <w:t>）</w:t>
      </w:r>
      <w:r>
        <w:rPr>
          <w:rFonts w:ascii="Times New Roman" w:hAnsi="Times New Roman" w:cs="Times New Roman"/>
          <w:color w:val="auto"/>
          <w:szCs w:val="32"/>
          <w:highlight w:val="none"/>
        </w:rPr>
        <w:t>；</w:t>
      </w:r>
    </w:p>
    <w:p w14:paraId="4D1D5C24">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《自然资源部 生态环境部 国家林业和草原局关于加强生态保护红线管理的通知（试行）》（自然资</w:t>
      </w:r>
      <w:r>
        <w:rPr>
          <w:rFonts w:ascii="Times New Roman" w:hAnsi="Times New Roman" w:cs="Times New Roman"/>
          <w:color w:val="auto"/>
          <w:szCs w:val="32"/>
          <w:highlight w:val="none"/>
          <w:shd w:val="clear" w:color="auto" w:fill="FFFFFF"/>
        </w:rPr>
        <w:t>发</w:t>
      </w:r>
      <w:r>
        <w:rPr>
          <w:rFonts w:hint="eastAsia" w:ascii="Times New Roman" w:hAnsi="Times New Roman" w:cs="Times New Roman"/>
          <w:color w:val="auto"/>
          <w:szCs w:val="32"/>
          <w:highlight w:val="none"/>
          <w:shd w:val="clear" w:color="auto" w:fill="FFFFFF"/>
        </w:rPr>
        <w:t>〔2022〕</w:t>
      </w:r>
      <w:r>
        <w:rPr>
          <w:rFonts w:ascii="Times New Roman" w:hAnsi="Times New Roman" w:cs="Times New Roman"/>
          <w:color w:val="auto"/>
          <w:szCs w:val="32"/>
          <w:highlight w:val="none"/>
        </w:rPr>
        <w:t>142号）；</w:t>
      </w:r>
    </w:p>
    <w:p w14:paraId="6DC11A11">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《自然资源部办公厅关于加强村庄规划促进</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村振兴的通知》（自然资办发</w:t>
      </w:r>
      <w:r>
        <w:rPr>
          <w:rFonts w:hint="eastAsia" w:ascii="Times New Roman" w:hAnsi="Times New Roman" w:cs="Times New Roman"/>
          <w:color w:val="auto"/>
          <w:szCs w:val="32"/>
          <w:highlight w:val="none"/>
          <w:shd w:val="clear" w:color="auto" w:fill="FFFFFF"/>
        </w:rPr>
        <w:t>〔2019〕</w:t>
      </w:r>
      <w:r>
        <w:rPr>
          <w:rFonts w:ascii="Times New Roman" w:hAnsi="Times New Roman" w:cs="Times New Roman"/>
          <w:color w:val="auto"/>
          <w:szCs w:val="32"/>
          <w:highlight w:val="none"/>
        </w:rPr>
        <w:t>35号）；</w:t>
      </w:r>
    </w:p>
    <w:p w14:paraId="2BD6F93B">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《中共中央办公厅 国务院办公厅印发</w:t>
      </w:r>
      <w:r>
        <w:rPr>
          <w:rFonts w:hint="eastAsia" w:ascii="Times New Roman" w:hAnsi="Times New Roman" w:cs="Times New Roman"/>
          <w:color w:val="auto"/>
          <w:szCs w:val="32"/>
          <w:highlight w:val="none"/>
        </w:rPr>
        <w:t>〈</w:t>
      </w:r>
      <w:r>
        <w:rPr>
          <w:rFonts w:ascii="Times New Roman" w:hAnsi="Times New Roman" w:cs="Times New Roman"/>
          <w:color w:val="auto"/>
          <w:szCs w:val="32"/>
          <w:highlight w:val="none"/>
        </w:rPr>
        <w:t>关于建立以国家公园为主体的自然保护地体系的指导意见</w:t>
      </w:r>
      <w:r>
        <w:rPr>
          <w:rFonts w:hint="eastAsia" w:ascii="Times New Roman" w:hAnsi="Times New Roman" w:cs="Times New Roman"/>
          <w:color w:val="auto"/>
          <w:szCs w:val="32"/>
          <w:highlight w:val="none"/>
          <w:shd w:val="clear" w:color="auto" w:fill="FFFFFF"/>
        </w:rPr>
        <w:t>〉</w:t>
      </w:r>
      <w:r>
        <w:rPr>
          <w:rFonts w:ascii="Times New Roman" w:hAnsi="Times New Roman" w:cs="Times New Roman"/>
          <w:color w:val="auto"/>
          <w:szCs w:val="32"/>
          <w:highlight w:val="none"/>
          <w:shd w:val="clear" w:color="auto" w:fill="FFFFFF"/>
        </w:rPr>
        <w:t>的通知》</w:t>
      </w:r>
      <w:r>
        <w:rPr>
          <w:rFonts w:ascii="Times New Roman" w:hAnsi="Times New Roman" w:cs="Times New Roman"/>
          <w:color w:val="auto"/>
          <w:szCs w:val="32"/>
          <w:highlight w:val="none"/>
        </w:rPr>
        <w:t>（中办发</w:t>
      </w:r>
      <w:r>
        <w:rPr>
          <w:rFonts w:hint="eastAsia" w:ascii="Times New Roman" w:hAnsi="Times New Roman" w:cs="Times New Roman"/>
          <w:color w:val="auto"/>
          <w:szCs w:val="32"/>
          <w:highlight w:val="none"/>
          <w:shd w:val="clear" w:color="auto" w:fill="FFFFFF"/>
        </w:rPr>
        <w:t>〔2019〕</w:t>
      </w:r>
      <w:r>
        <w:rPr>
          <w:rFonts w:ascii="Times New Roman" w:hAnsi="Times New Roman" w:cs="Times New Roman"/>
          <w:color w:val="auto"/>
          <w:szCs w:val="32"/>
          <w:highlight w:val="none"/>
        </w:rPr>
        <w:t>42号）；</w:t>
      </w:r>
    </w:p>
    <w:p w14:paraId="3FF77031">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《自然资源部关于全面开展国土空间规划工作的通知》（自然资</w:t>
      </w:r>
      <w:r>
        <w:rPr>
          <w:rFonts w:ascii="Times New Roman" w:hAnsi="Times New Roman" w:cs="Times New Roman"/>
          <w:color w:val="auto"/>
          <w:szCs w:val="32"/>
          <w:highlight w:val="none"/>
          <w:shd w:val="clear" w:color="auto" w:fill="FFFFFF"/>
        </w:rPr>
        <w:t>发</w:t>
      </w:r>
      <w:r>
        <w:rPr>
          <w:rFonts w:hint="eastAsia" w:ascii="Times New Roman" w:hAnsi="Times New Roman" w:cs="Times New Roman"/>
          <w:color w:val="auto"/>
          <w:szCs w:val="32"/>
          <w:highlight w:val="none"/>
          <w:shd w:val="clear" w:color="auto" w:fill="FFFFFF"/>
        </w:rPr>
        <w:t>〔2019〕</w:t>
      </w:r>
      <w:r>
        <w:rPr>
          <w:rFonts w:ascii="Times New Roman" w:hAnsi="Times New Roman" w:cs="Times New Roman"/>
          <w:color w:val="auto"/>
          <w:szCs w:val="32"/>
          <w:highlight w:val="none"/>
        </w:rPr>
        <w:t>87号）；</w:t>
      </w:r>
    </w:p>
    <w:p w14:paraId="70BE3443">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《中共黑龙江</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委办公厅 黑龙江</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人民政府办公厅印发〈关于在全</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国土空间规划中统筹划定落实三条控制线的实施意见〉的通知》；</w:t>
      </w:r>
    </w:p>
    <w:p w14:paraId="741B166A">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《自然资源部农业农村部关于加强和改进永久基本农田保护工作的通知》（自然资</w:t>
      </w:r>
      <w:r>
        <w:rPr>
          <w:rFonts w:ascii="Times New Roman" w:hAnsi="Times New Roman" w:cs="Times New Roman"/>
          <w:color w:val="auto"/>
          <w:szCs w:val="32"/>
          <w:highlight w:val="none"/>
          <w:shd w:val="clear" w:color="auto" w:fill="FFFFFF"/>
        </w:rPr>
        <w:t>规</w:t>
      </w:r>
      <w:r>
        <w:rPr>
          <w:rFonts w:hint="eastAsia" w:ascii="Times New Roman" w:hAnsi="Times New Roman" w:cs="Times New Roman"/>
          <w:color w:val="auto"/>
          <w:szCs w:val="32"/>
          <w:highlight w:val="none"/>
          <w:shd w:val="clear" w:color="auto" w:fill="FFFFFF"/>
        </w:rPr>
        <w:t>〔2019〕</w:t>
      </w:r>
      <w:r>
        <w:rPr>
          <w:rFonts w:ascii="Times New Roman" w:hAnsi="Times New Roman" w:cs="Times New Roman"/>
          <w:color w:val="auto"/>
          <w:szCs w:val="32"/>
          <w:highlight w:val="none"/>
        </w:rPr>
        <w:t>1号）；</w:t>
      </w:r>
    </w:p>
    <w:p w14:paraId="2C946A4A">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《自然资源部中央农村工作领导小组办公室关于学习运用“千万工程”经验提高村庄规划编制质量和实效的通知》（自然资发〔2024〕1号）；</w:t>
      </w:r>
    </w:p>
    <w:p w14:paraId="45B4A00C">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《中共黑龙江</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委黑龙江</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人民政府关于建立全</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国土空间规划体系并监督实施的意见》（黑发〔2020〕5号）；</w:t>
      </w:r>
    </w:p>
    <w:p w14:paraId="3D41E244">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《黑龙江</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自然资源厅关于全面开展全</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国土空间规划工作的通知》（</w:t>
      </w:r>
      <w:r>
        <w:rPr>
          <w:rFonts w:ascii="Times New Roman" w:hAnsi="Times New Roman" w:cs="Times New Roman"/>
          <w:color w:val="auto"/>
          <w:szCs w:val="32"/>
          <w:highlight w:val="none"/>
          <w:shd w:val="clear" w:color="auto" w:fill="FFFFFF"/>
        </w:rPr>
        <w:t>黑</w:t>
      </w:r>
      <w:r>
        <w:rPr>
          <w:rFonts w:ascii="Times New Roman" w:hAnsi="Times New Roman" w:cs="Times New Roman"/>
          <w:color w:val="auto"/>
          <w:szCs w:val="32"/>
          <w:highlight w:val="none"/>
        </w:rPr>
        <w:t>自然资</w:t>
      </w:r>
      <w:r>
        <w:rPr>
          <w:rFonts w:ascii="Times New Roman" w:hAnsi="Times New Roman" w:cs="Times New Roman"/>
          <w:color w:val="auto"/>
          <w:szCs w:val="32"/>
          <w:highlight w:val="none"/>
          <w:shd w:val="clear" w:color="auto" w:fill="FFFFFF"/>
        </w:rPr>
        <w:t>函</w:t>
      </w:r>
      <w:r>
        <w:rPr>
          <w:rFonts w:ascii="Times New Roman" w:hAnsi="Times New Roman" w:cs="Times New Roman"/>
          <w:color w:val="auto"/>
          <w:szCs w:val="32"/>
          <w:highlight w:val="none"/>
        </w:rPr>
        <w:t>〔2019〕291号）；</w:t>
      </w:r>
    </w:p>
    <w:p w14:paraId="34070FB6">
      <w:pPr>
        <w:numPr>
          <w:ilvl w:val="0"/>
          <w:numId w:val="4"/>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其他相关政策文件。</w:t>
      </w:r>
    </w:p>
    <w:p w14:paraId="02E278E4">
      <w:pPr>
        <w:widowControl w:val="0"/>
        <w:numPr>
          <w:ilvl w:val="0"/>
          <w:numId w:val="2"/>
        </w:numPr>
        <w:spacing w:line="600" w:lineRule="exact"/>
        <w:ind w:left="770" w:hanging="210" w:firstLineChars="0"/>
        <w:jc w:val="both"/>
        <w:rPr>
          <w:rFonts w:ascii="Times New Roman" w:hAnsi="Times New Roman" w:eastAsia="仿宋_GB2312" w:cs="Times New Roman"/>
          <w:color w:val="auto"/>
          <w:kern w:val="2"/>
          <w:sz w:val="32"/>
          <w:szCs w:val="28"/>
          <w:highlight w:val="none"/>
          <w:lang w:val="en-US" w:eastAsia="zh-CN" w:bidi="ar-SA"/>
        </w:rPr>
      </w:pPr>
      <w:r>
        <w:rPr>
          <w:rFonts w:ascii="Times New Roman" w:hAnsi="Times New Roman" w:eastAsia="仿宋_GB2312" w:cs="Times New Roman"/>
          <w:color w:val="auto"/>
          <w:kern w:val="2"/>
          <w:sz w:val="32"/>
          <w:szCs w:val="28"/>
          <w:highlight w:val="none"/>
          <w:lang w:val="en-US" w:eastAsia="zh-CN" w:bidi="ar-SA"/>
        </w:rPr>
        <w:t>技术标准</w:t>
      </w:r>
    </w:p>
    <w:p w14:paraId="5703F307">
      <w:pPr>
        <w:numPr>
          <w:ilvl w:val="0"/>
          <w:numId w:val="5"/>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《国土空间调查、规划、用途管制用地用海分类指南》（202</w:t>
      </w:r>
      <w:r>
        <w:rPr>
          <w:rFonts w:hint="eastAsia" w:ascii="Times New Roman" w:hAnsi="Times New Roman" w:cs="Times New Roman"/>
          <w:color w:val="auto"/>
          <w:szCs w:val="32"/>
          <w:highlight w:val="none"/>
        </w:rPr>
        <w:t>3</w:t>
      </w:r>
      <w:r>
        <w:rPr>
          <w:rFonts w:ascii="Times New Roman" w:hAnsi="Times New Roman" w:cs="Times New Roman"/>
          <w:color w:val="auto"/>
          <w:szCs w:val="32"/>
          <w:highlight w:val="none"/>
        </w:rPr>
        <w:t>年1</w:t>
      </w:r>
      <w:r>
        <w:rPr>
          <w:rFonts w:hint="eastAsia" w:ascii="Times New Roman" w:hAnsi="Times New Roman" w:cs="Times New Roman"/>
          <w:color w:val="auto"/>
          <w:szCs w:val="32"/>
          <w:highlight w:val="none"/>
        </w:rPr>
        <w:t>1</w:t>
      </w:r>
      <w:r>
        <w:rPr>
          <w:rFonts w:ascii="Times New Roman" w:hAnsi="Times New Roman" w:cs="Times New Roman"/>
          <w:color w:val="auto"/>
          <w:szCs w:val="32"/>
          <w:highlight w:val="none"/>
        </w:rPr>
        <w:t>月）；</w:t>
      </w:r>
    </w:p>
    <w:p w14:paraId="1FD77DF6">
      <w:pPr>
        <w:numPr>
          <w:ilvl w:val="0"/>
          <w:numId w:val="5"/>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《黑龙江</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村庄规划编制指南》(DB23/T3595-2023)；</w:t>
      </w:r>
    </w:p>
    <w:p w14:paraId="79C42D15">
      <w:pPr>
        <w:numPr>
          <w:ilvl w:val="0"/>
          <w:numId w:val="5"/>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《黑龙江</w:t>
      </w:r>
      <w:r>
        <w:rPr>
          <w:rFonts w:hint="eastAsia" w:ascii="Times New Roman" w:hAnsi="Times New Roman" w:cs="Times New Roman"/>
          <w:color w:val="auto"/>
          <w:szCs w:val="32"/>
          <w:highlight w:val="none"/>
          <w:lang w:eastAsia="zh-CN"/>
        </w:rPr>
        <w:t>省乡镇</w:t>
      </w:r>
      <w:r>
        <w:rPr>
          <w:rFonts w:ascii="Times New Roman" w:hAnsi="Times New Roman" w:cs="Times New Roman"/>
          <w:color w:val="auto"/>
          <w:szCs w:val="32"/>
          <w:highlight w:val="none"/>
        </w:rPr>
        <w:t>级国土空间总体规划编制指南</w:t>
      </w:r>
      <w:r>
        <w:rPr>
          <w:rFonts w:hint="eastAsia" w:ascii="Times New Roman" w:hAnsi="Times New Roman" w:cs="Times New Roman"/>
          <w:color w:val="auto"/>
          <w:szCs w:val="32"/>
          <w:highlight w:val="none"/>
        </w:rPr>
        <w:t>（</w:t>
      </w:r>
      <w:r>
        <w:rPr>
          <w:rFonts w:ascii="Times New Roman" w:hAnsi="Times New Roman" w:cs="Times New Roman"/>
          <w:color w:val="auto"/>
          <w:szCs w:val="32"/>
          <w:highlight w:val="none"/>
        </w:rPr>
        <w:t>试行</w:t>
      </w:r>
      <w:r>
        <w:rPr>
          <w:rFonts w:hint="eastAsia" w:ascii="Times New Roman" w:hAnsi="Times New Roman" w:cs="Times New Roman"/>
          <w:color w:val="auto"/>
          <w:szCs w:val="32"/>
          <w:highlight w:val="none"/>
        </w:rPr>
        <w:t>）</w:t>
      </w:r>
      <w:r>
        <w:rPr>
          <w:rFonts w:ascii="Times New Roman" w:hAnsi="Times New Roman" w:cs="Times New Roman"/>
          <w:color w:val="auto"/>
          <w:szCs w:val="32"/>
          <w:highlight w:val="none"/>
        </w:rPr>
        <w:t>》(2024年10月</w:t>
      </w:r>
      <w:r>
        <w:rPr>
          <w:rFonts w:hint="eastAsia" w:ascii="Times New Roman" w:hAnsi="Times New Roman" w:cs="Times New Roman"/>
          <w:color w:val="auto"/>
          <w:szCs w:val="32"/>
          <w:highlight w:val="none"/>
        </w:rPr>
        <w:t>）</w:t>
      </w:r>
      <w:r>
        <w:rPr>
          <w:rFonts w:ascii="Times New Roman" w:hAnsi="Times New Roman" w:cs="Times New Roman"/>
          <w:color w:val="auto"/>
          <w:szCs w:val="32"/>
          <w:highlight w:val="none"/>
        </w:rPr>
        <w:t>；</w:t>
      </w:r>
    </w:p>
    <w:p w14:paraId="5341A837">
      <w:pPr>
        <w:numPr>
          <w:ilvl w:val="0"/>
          <w:numId w:val="5"/>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国家、</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行业主管部门颁布的其他相关文件及标准规范。</w:t>
      </w:r>
    </w:p>
    <w:p w14:paraId="569C11B6">
      <w:pPr>
        <w:widowControl w:val="0"/>
        <w:numPr>
          <w:ilvl w:val="0"/>
          <w:numId w:val="2"/>
        </w:numPr>
        <w:spacing w:line="600" w:lineRule="exact"/>
        <w:ind w:left="770" w:hanging="210" w:firstLineChars="0"/>
        <w:jc w:val="both"/>
        <w:rPr>
          <w:rFonts w:ascii="Times New Roman" w:hAnsi="Times New Roman" w:eastAsia="仿宋_GB2312" w:cs="Times New Roman"/>
          <w:color w:val="auto"/>
          <w:kern w:val="2"/>
          <w:sz w:val="32"/>
          <w:szCs w:val="28"/>
          <w:highlight w:val="none"/>
          <w:lang w:val="en-US" w:eastAsia="zh-CN" w:bidi="ar-SA"/>
        </w:rPr>
      </w:pPr>
      <w:r>
        <w:rPr>
          <w:rFonts w:ascii="Times New Roman" w:hAnsi="Times New Roman" w:eastAsia="仿宋_GB2312" w:cs="Times New Roman"/>
          <w:color w:val="auto"/>
          <w:kern w:val="2"/>
          <w:sz w:val="32"/>
          <w:szCs w:val="28"/>
          <w:highlight w:val="none"/>
          <w:lang w:val="en-US" w:eastAsia="zh-CN" w:bidi="ar-SA"/>
        </w:rPr>
        <w:t>上位规划及相关规划</w:t>
      </w:r>
    </w:p>
    <w:p w14:paraId="069478E9">
      <w:pPr>
        <w:numPr>
          <w:ilvl w:val="0"/>
          <w:numId w:val="6"/>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《全国国土空间规划纲要（2021-2035年）》；</w:t>
      </w:r>
    </w:p>
    <w:p w14:paraId="2CCD1103">
      <w:pPr>
        <w:numPr>
          <w:ilvl w:val="0"/>
          <w:numId w:val="6"/>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《黑龙江</w:t>
      </w:r>
      <w:r>
        <w:rPr>
          <w:rFonts w:hint="eastAsia" w:ascii="Times New Roman" w:hAnsi="Times New Roman" w:cs="Times New Roman"/>
          <w:color w:val="auto"/>
          <w:szCs w:val="32"/>
          <w:highlight w:val="none"/>
          <w:lang w:eastAsia="zh-CN"/>
        </w:rPr>
        <w:t>省</w:t>
      </w:r>
      <w:r>
        <w:rPr>
          <w:rFonts w:ascii="Times New Roman" w:hAnsi="Times New Roman" w:cs="Times New Roman"/>
          <w:color w:val="auto"/>
          <w:szCs w:val="32"/>
          <w:highlight w:val="none"/>
        </w:rPr>
        <w:t>国民经济和社会发展第十四个五年规划和二〇三五年远景目标纲要》；</w:t>
      </w:r>
    </w:p>
    <w:p w14:paraId="520EDAB0">
      <w:pPr>
        <w:numPr>
          <w:ilvl w:val="0"/>
          <w:numId w:val="6"/>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《桦川</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国土空间总体规划（2021-2035年）》；</w:t>
      </w:r>
    </w:p>
    <w:p w14:paraId="7A5F748B">
      <w:pPr>
        <w:numPr>
          <w:ilvl w:val="0"/>
          <w:numId w:val="6"/>
        </w:numPr>
        <w:ind w:left="0"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《桦川</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国民经济和社会发展第十四个五年规划纲要和二〇三五年远景目标（2021-2025年）》；</w:t>
      </w:r>
    </w:p>
    <w:p w14:paraId="44CE77DE">
      <w:pPr>
        <w:numPr>
          <w:ilvl w:val="0"/>
          <w:numId w:val="6"/>
        </w:numPr>
        <w:ind w:left="0" w:firstLine="640" w:firstLineChars="200"/>
        <w:rPr>
          <w:rFonts w:ascii="Times New Roman" w:hAnsi="Times New Roman" w:cs="Times New Roman"/>
          <w:color w:val="auto"/>
          <w:highlight w:val="none"/>
        </w:rPr>
      </w:pPr>
      <w:r>
        <w:rPr>
          <w:rFonts w:ascii="Times New Roman" w:hAnsi="Times New Roman" w:cs="Times New Roman"/>
          <w:color w:val="auto"/>
          <w:szCs w:val="32"/>
          <w:highlight w:val="none"/>
        </w:rPr>
        <w:t>其他相关专项规划。</w:t>
      </w:r>
    </w:p>
    <w:bookmarkEnd w:id="32"/>
    <w:p w14:paraId="323A512A">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33" w:name="_Toc19532"/>
      <w:bookmarkStart w:id="34" w:name="_Toc12027"/>
      <w:r>
        <w:rPr>
          <w:rFonts w:ascii="Calibri" w:hAnsi="Calibri" w:eastAsia="楷体_GB2312" w:cs="Times New Roman"/>
          <w:b/>
          <w:color w:val="auto"/>
          <w:kern w:val="2"/>
          <w:sz w:val="32"/>
          <w:szCs w:val="24"/>
          <w:highlight w:val="none"/>
          <w:lang w:val="en-US" w:eastAsia="zh-CN" w:bidi="ar-SA"/>
        </w:rPr>
        <w:t>规划范围</w:t>
      </w:r>
      <w:bookmarkEnd w:id="33"/>
      <w:bookmarkEnd w:id="34"/>
      <w:r>
        <w:rPr>
          <w:rFonts w:ascii="Calibri" w:hAnsi="Calibri" w:eastAsia="楷体_GB2312" w:cs="Times New Roman"/>
          <w:b/>
          <w:color w:val="auto"/>
          <w:kern w:val="2"/>
          <w:sz w:val="32"/>
          <w:szCs w:val="24"/>
          <w:highlight w:val="none"/>
          <w:lang w:val="en-US" w:eastAsia="zh-CN" w:bidi="ar-SA"/>
        </w:rPr>
        <w:t>和期限</w:t>
      </w:r>
    </w:p>
    <w:p w14:paraId="1FF35F12">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bookmarkStart w:id="35" w:name="_Hlk175260964"/>
      <w:r>
        <w:rPr>
          <w:rFonts w:ascii="Times New Roman" w:hAnsi="Times New Roman" w:eastAsia="仿宋_GB2312" w:cs="Times New Roman"/>
          <w:color w:val="auto"/>
          <w:kern w:val="2"/>
          <w:sz w:val="32"/>
          <w:szCs w:val="24"/>
          <w:highlight w:val="none"/>
          <w:lang w:val="en-US" w:eastAsia="zh-CN" w:bidi="ar-SA"/>
        </w:rPr>
        <w:t>本次规划范围落实桦川</w:t>
      </w:r>
      <w:r>
        <w:rPr>
          <w:rFonts w:hint="eastAsia" w:ascii="Times New Roman" w:hAnsi="Times New Roman" w:eastAsia="仿宋_GB2312" w:cs="Times New Roman"/>
          <w:color w:val="auto"/>
          <w:kern w:val="2"/>
          <w:sz w:val="32"/>
          <w:szCs w:val="24"/>
          <w:highlight w:val="none"/>
          <w:lang w:val="en-US" w:eastAsia="zh-CN" w:bidi="ar-SA"/>
        </w:rPr>
        <w:t>县</w:t>
      </w:r>
      <w:r>
        <w:rPr>
          <w:rFonts w:ascii="Times New Roman" w:hAnsi="Times New Roman" w:eastAsia="仿宋_GB2312" w:cs="Times New Roman"/>
          <w:color w:val="auto"/>
          <w:kern w:val="2"/>
          <w:sz w:val="32"/>
          <w:szCs w:val="24"/>
          <w:highlight w:val="none"/>
          <w:lang w:val="en-US" w:eastAsia="zh-CN" w:bidi="ar-SA"/>
        </w:rPr>
        <w:t>国土空间总体规划中对苏家店</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规划编制范围的传导。规划范围分为包括</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域和</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政府驻地两个层次。</w:t>
      </w:r>
    </w:p>
    <w:p w14:paraId="5DA6EFA6">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域范围为苏家店</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行政辖区内全部国土空间范围。</w:t>
      </w:r>
    </w:p>
    <w:p w14:paraId="511FC6E2">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政府驻地范围为城</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开发边界</w:t>
      </w:r>
      <w:r>
        <w:rPr>
          <w:rFonts w:hint="eastAsia" w:ascii="Times New Roman" w:hAnsi="Times New Roman" w:eastAsia="仿宋_GB2312" w:cs="Times New Roman"/>
          <w:color w:val="auto"/>
          <w:kern w:val="2"/>
          <w:sz w:val="32"/>
          <w:szCs w:val="24"/>
          <w:highlight w:val="none"/>
          <w:shd w:val="clear" w:color="auto" w:fill="FFFFFF"/>
          <w:lang w:val="en-US" w:eastAsia="zh-CN" w:bidi="ar-SA"/>
        </w:rPr>
        <w:t>涉及</w:t>
      </w:r>
      <w:r>
        <w:rPr>
          <w:rFonts w:ascii="Times New Roman" w:hAnsi="Times New Roman" w:eastAsia="仿宋_GB2312" w:cs="Times New Roman"/>
          <w:color w:val="auto"/>
          <w:kern w:val="2"/>
          <w:sz w:val="32"/>
          <w:szCs w:val="24"/>
          <w:highlight w:val="none"/>
          <w:lang w:val="en-US" w:eastAsia="zh-CN" w:bidi="ar-SA"/>
        </w:rPr>
        <w:t>苏家店村</w:t>
      </w:r>
      <w:r>
        <w:rPr>
          <w:rFonts w:hint="eastAsia" w:ascii="Times New Roman" w:hAnsi="Times New Roman" w:eastAsia="仿宋_GB2312" w:cs="Times New Roman"/>
          <w:color w:val="auto"/>
          <w:kern w:val="2"/>
          <w:sz w:val="32"/>
          <w:szCs w:val="24"/>
          <w:highlight w:val="none"/>
          <w:lang w:val="en-US" w:eastAsia="zh-CN" w:bidi="ar-SA"/>
        </w:rPr>
        <w:t>范围</w:t>
      </w:r>
      <w:r>
        <w:rPr>
          <w:rFonts w:ascii="Times New Roman" w:hAnsi="Times New Roman" w:eastAsia="仿宋_GB2312" w:cs="Times New Roman"/>
          <w:color w:val="auto"/>
          <w:kern w:val="2"/>
          <w:sz w:val="32"/>
          <w:szCs w:val="24"/>
          <w:highlight w:val="none"/>
          <w:lang w:val="en-US" w:eastAsia="zh-CN" w:bidi="ar-SA"/>
        </w:rPr>
        <w:t>。</w:t>
      </w:r>
    </w:p>
    <w:bookmarkEnd w:id="35"/>
    <w:p w14:paraId="2412CC3E">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bookmarkStart w:id="36" w:name="_Hlk175260983"/>
      <w:r>
        <w:rPr>
          <w:rFonts w:ascii="Times New Roman" w:hAnsi="Times New Roman" w:eastAsia="仿宋_GB2312" w:cs="Times New Roman"/>
          <w:color w:val="auto"/>
          <w:kern w:val="2"/>
          <w:sz w:val="32"/>
          <w:szCs w:val="24"/>
          <w:highlight w:val="none"/>
          <w:lang w:val="en-US" w:eastAsia="zh-CN" w:bidi="ar-SA"/>
        </w:rPr>
        <w:t>本规划基期年为2020年，规划期限为2021年至2035年，近期至2025年，远景展望至2050年</w:t>
      </w:r>
      <w:bookmarkEnd w:id="36"/>
      <w:r>
        <w:rPr>
          <w:rFonts w:ascii="Times New Roman" w:hAnsi="Times New Roman" w:eastAsia="仿宋_GB2312" w:cs="Times New Roman"/>
          <w:color w:val="auto"/>
          <w:kern w:val="2"/>
          <w:sz w:val="32"/>
          <w:szCs w:val="24"/>
          <w:highlight w:val="none"/>
          <w:lang w:val="en-US" w:eastAsia="zh-CN" w:bidi="ar-SA"/>
        </w:rPr>
        <w:t>。</w:t>
      </w:r>
    </w:p>
    <w:p w14:paraId="19212EA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强制性内容</w:t>
      </w:r>
    </w:p>
    <w:p w14:paraId="031A6372">
      <w:pPr>
        <w:ind w:firstLine="640" w:firstLineChars="200"/>
        <w:rPr>
          <w:rFonts w:ascii="Times New Roman" w:hAnsi="Times New Roman" w:eastAsia="方正小标宋_GBK" w:cs="Times New Roman"/>
          <w:color w:val="auto"/>
          <w:szCs w:val="36"/>
          <w:highlight w:val="none"/>
        </w:rPr>
      </w:pPr>
      <w:bookmarkStart w:id="37" w:name="_Hlk175260996"/>
      <w:r>
        <w:rPr>
          <w:rFonts w:ascii="Times New Roman" w:hAnsi="Times New Roman" w:cs="Times New Roman"/>
          <w:color w:val="auto"/>
          <w:highlight w:val="none"/>
        </w:rPr>
        <w:t>强制性内容是对国土空间规划实施监督检查的基本依据，本规划强制性内容为文本中“</w:t>
      </w:r>
      <w:r>
        <w:rPr>
          <w:rFonts w:ascii="Times New Roman" w:hAnsi="Times New Roman" w:cs="Times New Roman"/>
          <w:color w:val="auto"/>
          <w:highlight w:val="none"/>
          <w:u w:val="single"/>
        </w:rPr>
        <w:t>加下划线</w:t>
      </w:r>
      <w:r>
        <w:rPr>
          <w:rFonts w:ascii="Times New Roman" w:hAnsi="Times New Roman" w:cs="Times New Roman"/>
          <w:color w:val="auto"/>
          <w:highlight w:val="none"/>
        </w:rPr>
        <w:t>”条文。</w:t>
      </w:r>
      <w:bookmarkEnd w:id="37"/>
      <w:r>
        <w:rPr>
          <w:rFonts w:ascii="Times New Roman" w:hAnsi="Times New Roman" w:eastAsia="方正小标宋_GBK" w:cs="Times New Roman"/>
          <w:color w:val="auto"/>
          <w:szCs w:val="36"/>
          <w:highlight w:val="none"/>
        </w:rPr>
        <w:br w:type="page"/>
      </w:r>
    </w:p>
    <w:p w14:paraId="7F7CA802">
      <w:pPr>
        <w:keepNext/>
        <w:keepLines w:val="0"/>
        <w:widowControl w:val="0"/>
        <w:spacing w:before="340" w:beforeLines="50" w:after="330" w:afterLines="50" w:line="600" w:lineRule="exact"/>
        <w:jc w:val="center"/>
        <w:outlineLvl w:val="0"/>
        <w:rPr>
          <w:rFonts w:ascii="Times New Roman" w:hAnsi="Times New Roman" w:eastAsia="方正小标宋简体" w:cs="Times New Roman"/>
          <w:color w:val="auto"/>
          <w:kern w:val="44"/>
          <w:sz w:val="36"/>
          <w:szCs w:val="24"/>
          <w:highlight w:val="none"/>
          <w:lang w:val="en-US" w:eastAsia="zh-CN" w:bidi="ar-SA"/>
        </w:rPr>
      </w:pPr>
      <w:bookmarkStart w:id="38" w:name="_Toc4696"/>
      <w:bookmarkStart w:id="39" w:name="_Toc713"/>
      <w:r>
        <w:rPr>
          <w:rFonts w:ascii="Times New Roman" w:hAnsi="Times New Roman" w:eastAsia="方正小标宋简体" w:cs="Times New Roman"/>
          <w:color w:val="auto"/>
          <w:kern w:val="44"/>
          <w:sz w:val="36"/>
          <w:szCs w:val="24"/>
          <w:highlight w:val="none"/>
          <w:lang w:val="en-US" w:eastAsia="zh-CN" w:bidi="ar-SA"/>
        </w:rPr>
        <w:t>第</w:t>
      </w:r>
      <w:r>
        <w:rPr>
          <w:rFonts w:hint="eastAsia" w:ascii="Times New Roman" w:hAnsi="Times New Roman" w:eastAsia="方正小标宋简体" w:cs="Times New Roman"/>
          <w:color w:val="auto"/>
          <w:kern w:val="44"/>
          <w:sz w:val="36"/>
          <w:szCs w:val="24"/>
          <w:highlight w:val="none"/>
          <w:lang w:val="en-US" w:eastAsia="zh-CN" w:bidi="ar-SA"/>
        </w:rPr>
        <w:t>二</w:t>
      </w:r>
      <w:r>
        <w:rPr>
          <w:rFonts w:ascii="Times New Roman" w:hAnsi="Times New Roman" w:eastAsia="方正小标宋简体" w:cs="Times New Roman"/>
          <w:color w:val="auto"/>
          <w:kern w:val="44"/>
          <w:sz w:val="36"/>
          <w:szCs w:val="24"/>
          <w:highlight w:val="none"/>
          <w:lang w:val="en-US" w:eastAsia="zh-CN" w:bidi="ar-SA"/>
        </w:rPr>
        <w:t>章 目标定位与</w:t>
      </w:r>
      <w:bookmarkEnd w:id="38"/>
      <w:r>
        <w:rPr>
          <w:rFonts w:ascii="Times New Roman" w:hAnsi="Times New Roman" w:eastAsia="方正小标宋简体" w:cs="Times New Roman"/>
          <w:color w:val="auto"/>
          <w:kern w:val="44"/>
          <w:sz w:val="36"/>
          <w:szCs w:val="24"/>
          <w:highlight w:val="none"/>
          <w:lang w:val="en-US" w:eastAsia="zh-CN" w:bidi="ar-SA"/>
        </w:rPr>
        <w:t>空间策略</w:t>
      </w:r>
      <w:bookmarkEnd w:id="39"/>
    </w:p>
    <w:p w14:paraId="0459F3D2">
      <w:pPr>
        <w:keepNext/>
        <w:keepLines/>
        <w:widowControl w:val="0"/>
        <w:spacing w:before="260" w:beforeLines="50" w:after="260" w:afterLines="50" w:line="600" w:lineRule="atLeast"/>
        <w:ind w:firstLine="0" w:firstLineChars="0"/>
        <w:jc w:val="center"/>
        <w:outlineLvl w:val="1"/>
        <w:rPr>
          <w:rFonts w:ascii="Times New Roman" w:hAnsi="Times New Roman" w:eastAsia="黑体" w:cs="Times New Roman"/>
          <w:color w:val="auto"/>
          <w:kern w:val="2"/>
          <w:sz w:val="32"/>
          <w:szCs w:val="24"/>
          <w:highlight w:val="none"/>
          <w:lang w:val="en-US" w:eastAsia="zh-CN" w:bidi="ar-SA"/>
        </w:rPr>
      </w:pPr>
      <w:bookmarkStart w:id="40" w:name="_Toc22145"/>
      <w:bookmarkStart w:id="41" w:name="_Toc4962"/>
      <w:r>
        <w:rPr>
          <w:rFonts w:ascii="Times New Roman" w:hAnsi="Times New Roman" w:eastAsia="黑体" w:cs="Times New Roman"/>
          <w:color w:val="auto"/>
          <w:kern w:val="2"/>
          <w:sz w:val="32"/>
          <w:szCs w:val="24"/>
          <w:highlight w:val="none"/>
          <w:lang w:val="en-US" w:eastAsia="zh-CN" w:bidi="ar-SA"/>
        </w:rPr>
        <w:t>第一节 规划定位</w:t>
      </w:r>
      <w:bookmarkEnd w:id="40"/>
      <w:bookmarkEnd w:id="41"/>
    </w:p>
    <w:p w14:paraId="79C898E4">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hint="eastAsia" w:ascii="Calibri" w:hAnsi="Calibri" w:eastAsia="楷体_GB2312" w:cs="Times New Roman"/>
          <w:b/>
          <w:color w:val="auto"/>
          <w:kern w:val="2"/>
          <w:sz w:val="32"/>
          <w:szCs w:val="24"/>
          <w:highlight w:val="none"/>
          <w:lang w:val="en-US" w:eastAsia="zh-CN" w:bidi="ar-SA"/>
        </w:rPr>
        <w:t>城镇性质</w:t>
      </w:r>
    </w:p>
    <w:p w14:paraId="6199CBDD">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42" w:name="_Hlk175262646"/>
      <w:r>
        <w:rPr>
          <w:rFonts w:ascii="Times New Roman" w:hAnsi="Times New Roman" w:eastAsia="仿宋_GB2312" w:cs="Times New Roman"/>
          <w:color w:val="auto"/>
          <w:kern w:val="2"/>
          <w:sz w:val="32"/>
          <w:szCs w:val="32"/>
          <w:highlight w:val="none"/>
          <w:lang w:val="en-US" w:eastAsia="zh-CN" w:bidi="ar-SA"/>
        </w:rPr>
        <w:t>打造苏家店</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成为黑龙江</w:t>
      </w:r>
      <w:r>
        <w:rPr>
          <w:rFonts w:hint="eastAsia" w:ascii="Times New Roman" w:hAnsi="Times New Roman" w:eastAsia="仿宋_GB2312" w:cs="Times New Roman"/>
          <w:color w:val="auto"/>
          <w:kern w:val="2"/>
          <w:sz w:val="32"/>
          <w:szCs w:val="32"/>
          <w:highlight w:val="none"/>
          <w:lang w:val="en-US" w:eastAsia="zh-CN" w:bidi="ar-SA"/>
        </w:rPr>
        <w:t>省</w:t>
      </w:r>
      <w:r>
        <w:rPr>
          <w:rFonts w:ascii="Times New Roman" w:hAnsi="Times New Roman" w:eastAsia="仿宋_GB2312" w:cs="Times New Roman"/>
          <w:color w:val="auto"/>
          <w:kern w:val="2"/>
          <w:sz w:val="32"/>
          <w:szCs w:val="32"/>
          <w:highlight w:val="none"/>
          <w:lang w:val="en-US" w:eastAsia="zh-CN" w:bidi="ar-SA"/>
        </w:rPr>
        <w:t>知名酒文化特色</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村振兴与精品农业产业化示范</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w:t>
      </w:r>
    </w:p>
    <w:p w14:paraId="0003A621">
      <w:pPr>
        <w:keepNext/>
        <w:keepLines/>
        <w:widowControl w:val="0"/>
        <w:numPr>
          <w:ilvl w:val="0"/>
          <w:numId w:val="1"/>
        </w:numPr>
        <w:tabs>
          <w:tab w:val="left" w:pos="6669"/>
        </w:tabs>
        <w:adjustRightInd w:val="0"/>
        <w:spacing w:before="156" w:beforeLines="50" w:after="156" w:afterLines="50" w:line="600" w:lineRule="exact"/>
        <w:jc w:val="both"/>
        <w:outlineLvl w:val="2"/>
        <w:rPr>
          <w:rFonts w:hint="eastAsia" w:ascii="Calibri" w:hAnsi="Calibri" w:eastAsia="楷体_GB2312" w:cs="Times New Roman"/>
          <w:b/>
          <w:color w:val="auto"/>
          <w:kern w:val="2"/>
          <w:sz w:val="32"/>
          <w:szCs w:val="24"/>
          <w:highlight w:val="none"/>
          <w:lang w:val="en-US" w:eastAsia="zh-CN" w:bidi="ar-SA"/>
        </w:rPr>
      </w:pPr>
      <w:r>
        <w:rPr>
          <w:rFonts w:hint="eastAsia" w:ascii="Calibri" w:hAnsi="Calibri" w:eastAsia="楷体_GB2312" w:cs="Times New Roman"/>
          <w:b/>
          <w:color w:val="auto"/>
          <w:kern w:val="2"/>
          <w:sz w:val="32"/>
          <w:szCs w:val="24"/>
          <w:highlight w:val="none"/>
          <w:lang w:val="en-US" w:eastAsia="zh-CN" w:bidi="ar-SA"/>
        </w:rPr>
        <w:t>功能定位</w:t>
      </w:r>
    </w:p>
    <w:p w14:paraId="42E7E543">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43" w:name="_Hlk175262823"/>
      <w:r>
        <w:rPr>
          <w:rFonts w:ascii="Times New Roman" w:hAnsi="Times New Roman" w:eastAsia="仿宋_GB2312" w:cs="Times New Roman"/>
          <w:color w:val="auto"/>
          <w:kern w:val="2"/>
          <w:sz w:val="32"/>
          <w:szCs w:val="32"/>
          <w:highlight w:val="none"/>
          <w:lang w:val="en-US" w:eastAsia="zh-CN" w:bidi="ar-SA"/>
        </w:rPr>
        <w:t>在桦川</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国土空间总体规划职能体系结构中确定苏家店</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作为重点</w:t>
      </w:r>
      <w:r>
        <w:rPr>
          <w:rFonts w:hint="eastAsia" w:ascii="Times New Roman" w:hAnsi="Times New Roman" w:eastAsia="仿宋_GB2312" w:cs="Times New Roman"/>
          <w:color w:val="auto"/>
          <w:kern w:val="2"/>
          <w:sz w:val="32"/>
          <w:szCs w:val="32"/>
          <w:highlight w:val="none"/>
          <w:lang w:val="en-US" w:eastAsia="zh-CN" w:bidi="ar-SA"/>
        </w:rPr>
        <w:t>乡镇</w:t>
      </w:r>
      <w:r>
        <w:rPr>
          <w:rFonts w:ascii="Times New Roman" w:hAnsi="Times New Roman" w:eastAsia="仿宋_GB2312" w:cs="Times New Roman"/>
          <w:color w:val="auto"/>
          <w:kern w:val="2"/>
          <w:sz w:val="32"/>
          <w:szCs w:val="32"/>
          <w:highlight w:val="none"/>
          <w:lang w:val="en-US" w:eastAsia="zh-CN" w:bidi="ar-SA"/>
        </w:rPr>
        <w:t>，以发展现代农业、畜牧养殖、农畜产品加工、</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村旅游为主导的</w:t>
      </w:r>
      <w:r>
        <w:rPr>
          <w:rFonts w:hint="eastAsia" w:ascii="Times New Roman" w:hAnsi="Times New Roman" w:eastAsia="仿宋_GB2312" w:cs="Times New Roman"/>
          <w:color w:val="auto"/>
          <w:kern w:val="2"/>
          <w:sz w:val="32"/>
          <w:szCs w:val="32"/>
          <w:highlight w:val="none"/>
          <w:lang w:val="en-US" w:eastAsia="zh-CN" w:bidi="ar-SA"/>
        </w:rPr>
        <w:t>乡镇</w:t>
      </w:r>
      <w:r>
        <w:rPr>
          <w:rFonts w:ascii="Times New Roman" w:hAnsi="Times New Roman" w:eastAsia="仿宋_GB2312" w:cs="Times New Roman"/>
          <w:color w:val="auto"/>
          <w:kern w:val="2"/>
          <w:sz w:val="32"/>
          <w:szCs w:val="32"/>
          <w:highlight w:val="none"/>
          <w:lang w:val="en-US" w:eastAsia="zh-CN" w:bidi="ar-SA"/>
        </w:rPr>
        <w:t>。</w:t>
      </w:r>
    </w:p>
    <w:bookmarkEnd w:id="42"/>
    <w:bookmarkEnd w:id="43"/>
    <w:p w14:paraId="73CE1C64">
      <w:pPr>
        <w:keepNext/>
        <w:keepLines/>
        <w:widowControl w:val="0"/>
        <w:spacing w:before="260" w:beforeLines="50" w:after="260" w:afterLines="50" w:line="600" w:lineRule="atLeast"/>
        <w:ind w:firstLine="0" w:firstLineChars="0"/>
        <w:jc w:val="center"/>
        <w:outlineLvl w:val="1"/>
        <w:rPr>
          <w:rFonts w:ascii="Times New Roman" w:hAnsi="Times New Roman" w:eastAsia="黑体" w:cs="Times New Roman"/>
          <w:color w:val="auto"/>
          <w:kern w:val="2"/>
          <w:sz w:val="32"/>
          <w:szCs w:val="24"/>
          <w:highlight w:val="none"/>
          <w:lang w:val="en-US" w:eastAsia="zh-CN" w:bidi="ar-SA"/>
        </w:rPr>
      </w:pPr>
      <w:bookmarkStart w:id="44" w:name="_Toc19496"/>
      <w:bookmarkStart w:id="45" w:name="_Toc23782"/>
      <w:r>
        <w:rPr>
          <w:rFonts w:ascii="Times New Roman" w:hAnsi="Times New Roman" w:eastAsia="黑体" w:cs="Times New Roman"/>
          <w:color w:val="auto"/>
          <w:kern w:val="2"/>
          <w:sz w:val="32"/>
          <w:szCs w:val="24"/>
          <w:highlight w:val="none"/>
          <w:lang w:val="en-US" w:eastAsia="zh-CN" w:bidi="ar-SA"/>
        </w:rPr>
        <w:t>第二节 规划目标</w:t>
      </w:r>
      <w:bookmarkEnd w:id="44"/>
      <w:bookmarkEnd w:id="45"/>
    </w:p>
    <w:p w14:paraId="14080D34">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发展目标</w:t>
      </w:r>
    </w:p>
    <w:p w14:paraId="298607AD">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46" w:name="_Hlk175262922"/>
      <w:bookmarkStart w:id="47" w:name="_Toc2978"/>
      <w:r>
        <w:rPr>
          <w:rFonts w:ascii="Times New Roman" w:hAnsi="Times New Roman" w:eastAsia="仿宋_GB2312" w:cs="Times New Roman"/>
          <w:color w:val="auto"/>
          <w:kern w:val="2"/>
          <w:sz w:val="32"/>
          <w:szCs w:val="32"/>
          <w:highlight w:val="none"/>
          <w:lang w:val="en-US" w:eastAsia="zh-CN" w:bidi="ar-SA"/>
        </w:rPr>
        <w:t>与</w:t>
      </w:r>
      <w:r>
        <w:rPr>
          <w:rFonts w:hint="eastAsia" w:ascii="Times New Roman" w:hAnsi="Times New Roman" w:eastAsia="仿宋_GB2312" w:cs="Times New Roman"/>
          <w:color w:val="auto"/>
          <w:kern w:val="2"/>
          <w:sz w:val="32"/>
          <w:szCs w:val="32"/>
          <w:highlight w:val="none"/>
          <w:lang w:val="en-US" w:eastAsia="zh-CN" w:bidi="ar-SA"/>
        </w:rPr>
        <w:t>社会主义现代化建设</w:t>
      </w:r>
      <w:r>
        <w:rPr>
          <w:rFonts w:ascii="Times New Roman" w:hAnsi="Times New Roman" w:eastAsia="仿宋_GB2312" w:cs="Times New Roman"/>
          <w:color w:val="auto"/>
          <w:kern w:val="2"/>
          <w:sz w:val="32"/>
          <w:szCs w:val="32"/>
          <w:highlight w:val="none"/>
          <w:lang w:val="en-US" w:eastAsia="zh-CN" w:bidi="ar-SA"/>
        </w:rPr>
        <w:t>国家新征程的新时代、新阶段相适应，锚定“两个一百年”奋斗目标，乘势而上开启高水平现代化建设新征程，落实</w:t>
      </w:r>
      <w:r>
        <w:rPr>
          <w:rFonts w:hint="eastAsia" w:ascii="Times New Roman" w:hAnsi="Times New Roman" w:eastAsia="仿宋_GB2312" w:cs="Times New Roman"/>
          <w:color w:val="auto"/>
          <w:kern w:val="2"/>
          <w:sz w:val="32"/>
          <w:szCs w:val="32"/>
          <w:highlight w:val="none"/>
          <w:lang w:val="en-US" w:eastAsia="zh-CN" w:bidi="ar-SA"/>
        </w:rPr>
        <w:t>省</w:t>
      </w:r>
      <w:r>
        <w:rPr>
          <w:rFonts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市</w:t>
      </w:r>
      <w:r>
        <w:rPr>
          <w:rFonts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战略要求，依托良好的区位、交通、产业优势，将苏家店</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建设成为桦川</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域南部重点</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，酒文化特色</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，宜居宜业现代化精品</w:t>
      </w:r>
      <w:r>
        <w:rPr>
          <w:rFonts w:hint="eastAsia" w:ascii="Times New Roman" w:hAnsi="Times New Roman" w:eastAsia="仿宋_GB2312" w:cs="Times New Roman"/>
          <w:color w:val="auto"/>
          <w:kern w:val="2"/>
          <w:sz w:val="32"/>
          <w:szCs w:val="32"/>
          <w:highlight w:val="none"/>
          <w:shd w:val="clear" w:color="auto" w:fill="FFFFFF"/>
          <w:lang w:val="en-US" w:eastAsia="zh-CN" w:bidi="ar-SA"/>
        </w:rPr>
        <w:t>镇</w:t>
      </w:r>
      <w:r>
        <w:rPr>
          <w:rFonts w:ascii="Times New Roman" w:hAnsi="Times New Roman" w:eastAsia="仿宋_GB2312" w:cs="Times New Roman"/>
          <w:color w:val="auto"/>
          <w:kern w:val="2"/>
          <w:sz w:val="32"/>
          <w:szCs w:val="32"/>
          <w:highlight w:val="none"/>
          <w:lang w:val="en-US" w:eastAsia="zh-CN" w:bidi="ar-SA"/>
        </w:rPr>
        <w:t>。</w:t>
      </w:r>
    </w:p>
    <w:bookmarkEnd w:id="46"/>
    <w:bookmarkEnd w:id="47"/>
    <w:p w14:paraId="1374570E">
      <w:pPr>
        <w:keepNext/>
        <w:keepLines/>
        <w:widowControl w:val="0"/>
        <w:spacing w:before="260" w:beforeLines="50" w:after="260" w:afterLines="50" w:line="600" w:lineRule="atLeast"/>
        <w:ind w:firstLine="0" w:firstLineChars="0"/>
        <w:jc w:val="center"/>
        <w:outlineLvl w:val="1"/>
        <w:rPr>
          <w:rFonts w:ascii="Times New Roman" w:hAnsi="Times New Roman" w:eastAsia="黑体" w:cs="Times New Roman"/>
          <w:color w:val="auto"/>
          <w:kern w:val="2"/>
          <w:sz w:val="32"/>
          <w:szCs w:val="24"/>
          <w:highlight w:val="none"/>
          <w:lang w:val="en-US" w:eastAsia="zh-CN" w:bidi="ar-SA"/>
        </w:rPr>
      </w:pPr>
      <w:bookmarkStart w:id="48" w:name="_Toc19361"/>
      <w:r>
        <w:rPr>
          <w:rFonts w:ascii="Times New Roman" w:hAnsi="Times New Roman" w:eastAsia="黑体" w:cs="Times New Roman"/>
          <w:color w:val="auto"/>
          <w:kern w:val="2"/>
          <w:sz w:val="32"/>
          <w:szCs w:val="24"/>
          <w:highlight w:val="none"/>
          <w:lang w:val="en-US" w:eastAsia="zh-CN" w:bidi="ar-SA"/>
        </w:rPr>
        <w:t xml:space="preserve">第三节 </w:t>
      </w:r>
      <w:r>
        <w:rPr>
          <w:rFonts w:ascii="Times New Roman" w:hAnsi="Times New Roman" w:eastAsia="黑体" w:cs="Times New Roman"/>
          <w:color w:val="auto"/>
          <w:w w:val="95"/>
          <w:kern w:val="2"/>
          <w:sz w:val="32"/>
          <w:szCs w:val="24"/>
          <w:highlight w:val="none"/>
          <w:lang w:val="en-US" w:eastAsia="zh-CN" w:bidi="ar-SA"/>
        </w:rPr>
        <w:t>空间</w:t>
      </w:r>
      <w:r>
        <w:rPr>
          <w:rFonts w:ascii="Times New Roman" w:hAnsi="Times New Roman" w:eastAsia="黑体" w:cs="Times New Roman"/>
          <w:color w:val="auto"/>
          <w:kern w:val="2"/>
          <w:sz w:val="32"/>
          <w:szCs w:val="24"/>
          <w:highlight w:val="none"/>
          <w:lang w:val="en-US" w:eastAsia="zh-CN" w:bidi="ar-SA"/>
        </w:rPr>
        <w:t>策略</w:t>
      </w:r>
      <w:bookmarkEnd w:id="48"/>
    </w:p>
    <w:p w14:paraId="3ED46BF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国土空间开发保护策略</w:t>
      </w:r>
    </w:p>
    <w:p w14:paraId="705EF54C">
      <w:pPr>
        <w:tabs>
          <w:tab w:val="left" w:pos="0"/>
        </w:tabs>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（一）生态优先，绿色发展</w:t>
      </w:r>
    </w:p>
    <w:p w14:paraId="6CFA5E7B">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49" w:name="_Hlk175263240"/>
      <w:r>
        <w:rPr>
          <w:rFonts w:ascii="Times New Roman" w:hAnsi="Times New Roman" w:eastAsia="仿宋_GB2312" w:cs="Times New Roman"/>
          <w:color w:val="auto"/>
          <w:kern w:val="2"/>
          <w:sz w:val="32"/>
          <w:szCs w:val="32"/>
          <w:highlight w:val="none"/>
          <w:lang w:val="en-US" w:eastAsia="zh-CN" w:bidi="ar-SA"/>
        </w:rPr>
        <w:t>坚定践行“绿水青山就是金山银山”的发展理念，加强对丰收沟和自然山体的生态环境保护，构筑城</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绿色发展的根基。以全域土地整治和生态修复为重要抓手，通过“理水、营田、</w:t>
      </w:r>
      <w:r>
        <w:rPr>
          <w:rFonts w:ascii="Times New Roman" w:hAnsi="Times New Roman" w:eastAsia="仿宋_GB2312" w:cs="Times New Roman"/>
          <w:color w:val="auto"/>
          <w:kern w:val="2"/>
          <w:sz w:val="32"/>
          <w:szCs w:val="32"/>
          <w:highlight w:val="none"/>
          <w:shd w:val="clear" w:color="auto" w:fill="FFFFFF"/>
          <w:lang w:val="en-US" w:eastAsia="zh-CN" w:bidi="ar-SA"/>
        </w:rPr>
        <w:t>置绿</w:t>
      </w:r>
      <w:r>
        <w:rPr>
          <w:rFonts w:ascii="Times New Roman" w:hAnsi="Times New Roman" w:eastAsia="仿宋_GB2312" w:cs="Times New Roman"/>
          <w:color w:val="auto"/>
          <w:kern w:val="2"/>
          <w:sz w:val="32"/>
          <w:szCs w:val="32"/>
          <w:highlight w:val="none"/>
          <w:lang w:val="en-US" w:eastAsia="zh-CN" w:bidi="ar-SA"/>
        </w:rPr>
        <w:t>”，增加耕地数量、提升耕地质量等级、优化农田灌溉体系、修复</w:t>
      </w:r>
      <w:r>
        <w:rPr>
          <w:rFonts w:hint="eastAsia" w:ascii="Times New Roman" w:hAnsi="Times New Roman" w:eastAsia="仿宋_GB2312" w:cs="Times New Roman"/>
          <w:color w:val="auto"/>
          <w:kern w:val="2"/>
          <w:sz w:val="32"/>
          <w:szCs w:val="32"/>
          <w:highlight w:val="none"/>
          <w:lang w:val="en-US" w:eastAsia="zh-CN" w:bidi="ar-SA"/>
        </w:rPr>
        <w:t>河</w:t>
      </w:r>
      <w:r>
        <w:rPr>
          <w:rFonts w:ascii="Times New Roman" w:hAnsi="Times New Roman" w:eastAsia="仿宋_GB2312" w:cs="Times New Roman"/>
          <w:color w:val="auto"/>
          <w:kern w:val="2"/>
          <w:sz w:val="32"/>
          <w:szCs w:val="32"/>
          <w:highlight w:val="none"/>
          <w:lang w:val="en-US" w:eastAsia="zh-CN" w:bidi="ar-SA"/>
        </w:rPr>
        <w:t>道等生态景观环境，构筑“山水林田草、大美苏家店”的生态网络。</w:t>
      </w:r>
      <w:bookmarkEnd w:id="49"/>
    </w:p>
    <w:p w14:paraId="325E092C">
      <w:pPr>
        <w:tabs>
          <w:tab w:val="left" w:pos="0"/>
        </w:tabs>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（二）</w:t>
      </w:r>
      <w:r>
        <w:rPr>
          <w:rFonts w:hint="eastAsia" w:ascii="Times New Roman" w:hAnsi="Times New Roman" w:cs="Times New Roman"/>
          <w:color w:val="auto"/>
          <w:szCs w:val="32"/>
          <w:highlight w:val="none"/>
        </w:rPr>
        <w:t>黑土地保护</w:t>
      </w:r>
      <w:r>
        <w:rPr>
          <w:rFonts w:ascii="Times New Roman" w:hAnsi="Times New Roman" w:cs="Times New Roman"/>
          <w:color w:val="auto"/>
          <w:szCs w:val="32"/>
          <w:highlight w:val="none"/>
        </w:rPr>
        <w:t>，协调利用</w:t>
      </w:r>
    </w:p>
    <w:p w14:paraId="14448961">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50" w:name="_Hlk175263261"/>
      <w:r>
        <w:rPr>
          <w:rFonts w:ascii="Times New Roman" w:hAnsi="Times New Roman" w:eastAsia="仿宋_GB2312" w:cs="Times New Roman"/>
          <w:color w:val="auto"/>
          <w:kern w:val="2"/>
          <w:sz w:val="32"/>
          <w:szCs w:val="32"/>
          <w:highlight w:val="none"/>
          <w:lang w:val="en-US" w:eastAsia="zh-CN" w:bidi="ar-SA"/>
        </w:rPr>
        <w:t>落实国家东北黑土地保护规划纲要，探索实施黑土地耕地保护管理“田长制”，坚持生态优先、用养结合，加大耕地轮作休耕力度，强化肥沃耕层构建，推进水土流失治理，综合运用工程、农艺、农机、生物等措施，采取秸秆还田及覆盖免耕等措施。</w:t>
      </w:r>
    </w:p>
    <w:bookmarkEnd w:id="50"/>
    <w:p w14:paraId="53009C44">
      <w:pPr>
        <w:tabs>
          <w:tab w:val="left" w:pos="0"/>
        </w:tabs>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（三）产业为纲，融合发展</w:t>
      </w:r>
    </w:p>
    <w:p w14:paraId="4647BD48">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51" w:name="_Hlk175263277"/>
      <w:r>
        <w:rPr>
          <w:rFonts w:ascii="Times New Roman" w:hAnsi="Times New Roman" w:eastAsia="仿宋_GB2312" w:cs="Times New Roman"/>
          <w:color w:val="auto"/>
          <w:kern w:val="2"/>
          <w:sz w:val="32"/>
          <w:szCs w:val="32"/>
          <w:highlight w:val="none"/>
          <w:lang w:val="en-US" w:eastAsia="zh-CN" w:bidi="ar-SA"/>
        </w:rPr>
        <w:t>通过做强品牌农业、</w:t>
      </w:r>
      <w:r>
        <w:rPr>
          <w:rFonts w:ascii="Times New Roman" w:hAnsi="Times New Roman" w:eastAsia="仿宋_GB2312" w:cs="Times New Roman"/>
          <w:color w:val="auto"/>
          <w:kern w:val="2"/>
          <w:sz w:val="32"/>
          <w:szCs w:val="32"/>
          <w:highlight w:val="none"/>
          <w:shd w:val="clear" w:color="auto" w:fill="FFFFFF"/>
          <w:lang w:val="en-US" w:eastAsia="zh-CN" w:bidi="ar-SA"/>
        </w:rPr>
        <w:t>做优</w:t>
      </w:r>
      <w:r>
        <w:rPr>
          <w:rFonts w:ascii="Times New Roman" w:hAnsi="Times New Roman" w:eastAsia="仿宋_GB2312" w:cs="Times New Roman"/>
          <w:color w:val="auto"/>
          <w:kern w:val="2"/>
          <w:sz w:val="32"/>
          <w:szCs w:val="32"/>
          <w:highlight w:val="none"/>
          <w:lang w:val="en-US" w:eastAsia="zh-CN" w:bidi="ar-SA"/>
        </w:rPr>
        <w:t>配套工业、做活旅游及</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商产业，将一产特色种植养殖、二产农产品加工、三产旅游服务及</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子商务各产业环节串联起来，构建完善的产业链条，其中重点发展酒业和酒文化相关产业，实现一二三产融合发展。</w:t>
      </w:r>
      <w:bookmarkEnd w:id="51"/>
    </w:p>
    <w:p w14:paraId="73AC32D5">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74F1E98A">
      <w:pPr>
        <w:keepNext/>
        <w:keepLines w:val="0"/>
        <w:widowControl w:val="0"/>
        <w:spacing w:before="340" w:beforeLines="50" w:after="330" w:afterLines="50" w:line="360" w:lineRule="auto"/>
        <w:ind w:left="-166" w:leftChars="-52"/>
        <w:jc w:val="center"/>
        <w:outlineLvl w:val="0"/>
        <w:rPr>
          <w:rFonts w:ascii="Times New Roman" w:hAnsi="Times New Roman" w:eastAsia="方正小标宋简体" w:cs="Times New Roman"/>
          <w:color w:val="auto"/>
          <w:kern w:val="44"/>
          <w:sz w:val="36"/>
          <w:szCs w:val="36"/>
          <w:highlight w:val="none"/>
          <w:lang w:val="en-US" w:eastAsia="zh-CN" w:bidi="ar-SA"/>
        </w:rPr>
      </w:pPr>
      <w:bookmarkStart w:id="52" w:name="_Toc9738"/>
      <w:r>
        <w:rPr>
          <w:rFonts w:ascii="Times New Roman" w:hAnsi="Times New Roman" w:eastAsia="方正小标宋简体" w:cs="Times New Roman"/>
          <w:color w:val="auto"/>
          <w:kern w:val="44"/>
          <w:sz w:val="36"/>
          <w:szCs w:val="36"/>
          <w:highlight w:val="none"/>
          <w:lang w:val="en-US" w:eastAsia="zh-CN" w:bidi="ar-SA"/>
        </w:rPr>
        <w:t>第</w:t>
      </w:r>
      <w:r>
        <w:rPr>
          <w:rFonts w:hint="eastAsia" w:ascii="Times New Roman" w:hAnsi="Times New Roman" w:eastAsia="方正小标宋简体" w:cs="Times New Roman"/>
          <w:color w:val="auto"/>
          <w:kern w:val="44"/>
          <w:sz w:val="36"/>
          <w:szCs w:val="36"/>
          <w:highlight w:val="none"/>
          <w:lang w:val="en-US" w:eastAsia="zh-CN" w:bidi="ar-SA"/>
        </w:rPr>
        <w:t>三</w:t>
      </w:r>
      <w:r>
        <w:rPr>
          <w:rFonts w:ascii="Times New Roman" w:hAnsi="Times New Roman" w:eastAsia="方正小标宋简体" w:cs="Times New Roman"/>
          <w:color w:val="auto"/>
          <w:kern w:val="44"/>
          <w:sz w:val="36"/>
          <w:szCs w:val="36"/>
          <w:highlight w:val="none"/>
          <w:lang w:val="en-US" w:eastAsia="zh-CN" w:bidi="ar-SA"/>
        </w:rPr>
        <w:t>章 构筑国土空间开发保护新格局</w:t>
      </w:r>
      <w:bookmarkEnd w:id="52"/>
    </w:p>
    <w:p w14:paraId="35AA7393">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53" w:name="_Toc18866"/>
      <w:r>
        <w:rPr>
          <w:rFonts w:ascii="Times New Roman" w:hAnsi="Times New Roman" w:eastAsia="黑体" w:cs="Times New Roman"/>
          <w:color w:val="auto"/>
          <w:kern w:val="2"/>
          <w:sz w:val="32"/>
          <w:szCs w:val="24"/>
          <w:highlight w:val="none"/>
          <w:lang w:val="en-US" w:eastAsia="zh-CN" w:bidi="ar-SA"/>
        </w:rPr>
        <w:t>第一节 区域协调</w:t>
      </w:r>
      <w:bookmarkEnd w:id="53"/>
    </w:p>
    <w:p w14:paraId="5F1AEA28">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加强与周边</w:t>
      </w:r>
      <w:r>
        <w:rPr>
          <w:rFonts w:hint="eastAsia" w:ascii="Calibri" w:hAnsi="Calibri" w:eastAsia="楷体_GB2312" w:cs="Times New Roman"/>
          <w:b/>
          <w:color w:val="auto"/>
          <w:kern w:val="2"/>
          <w:sz w:val="32"/>
          <w:szCs w:val="24"/>
          <w:highlight w:val="none"/>
          <w:lang w:val="en-US" w:eastAsia="zh-CN" w:bidi="ar-SA"/>
        </w:rPr>
        <w:t>乡镇市县</w:t>
      </w:r>
      <w:r>
        <w:rPr>
          <w:rFonts w:ascii="Calibri" w:hAnsi="Calibri" w:eastAsia="楷体_GB2312" w:cs="Times New Roman"/>
          <w:b/>
          <w:color w:val="auto"/>
          <w:kern w:val="2"/>
          <w:sz w:val="32"/>
          <w:szCs w:val="24"/>
          <w:highlight w:val="none"/>
          <w:lang w:val="en-US" w:eastAsia="zh-CN" w:bidi="ar-SA"/>
        </w:rPr>
        <w:t>联动发展</w:t>
      </w:r>
    </w:p>
    <w:p w14:paraId="69ECE619">
      <w:pPr>
        <w:ind w:firstLine="640" w:firstLineChars="200"/>
        <w:rPr>
          <w:rFonts w:ascii="Times New Roman" w:hAnsi="Times New Roman" w:cs="Times New Roman"/>
          <w:color w:val="auto"/>
          <w:highlight w:val="none"/>
        </w:rPr>
      </w:pPr>
      <w:bookmarkStart w:id="54" w:name="_Hlk175263306"/>
      <w:r>
        <w:rPr>
          <w:rFonts w:ascii="Times New Roman" w:hAnsi="Times New Roman" w:cs="Times New Roman"/>
          <w:color w:val="auto"/>
          <w:highlight w:val="none"/>
        </w:rPr>
        <w:t>促进区域产业三产联动、融合发展。协助桦川</w:t>
      </w:r>
      <w:r>
        <w:rPr>
          <w:rFonts w:hint="eastAsia" w:ascii="Times New Roman" w:hAnsi="Times New Roman" w:cs="Times New Roman"/>
          <w:color w:val="auto"/>
          <w:highlight w:val="none"/>
          <w:lang w:eastAsia="zh-CN"/>
        </w:rPr>
        <w:t>县</w:t>
      </w:r>
      <w:r>
        <w:rPr>
          <w:rFonts w:ascii="Times New Roman" w:hAnsi="Times New Roman" w:cs="Times New Roman"/>
          <w:color w:val="auto"/>
          <w:highlight w:val="none"/>
        </w:rPr>
        <w:t>构建“</w:t>
      </w:r>
      <w:r>
        <w:rPr>
          <w:rFonts w:ascii="Times New Roman" w:hAnsi="Times New Roman" w:cs="Times New Roman"/>
          <w:color w:val="auto"/>
          <w:highlight w:val="none"/>
          <w:shd w:val="clear" w:color="auto" w:fill="FFFFFF"/>
        </w:rPr>
        <w:t>佳桦</w:t>
      </w:r>
      <w:r>
        <w:rPr>
          <w:rFonts w:ascii="Times New Roman" w:hAnsi="Times New Roman" w:cs="Times New Roman"/>
          <w:color w:val="auto"/>
          <w:highlight w:val="none"/>
        </w:rPr>
        <w:t>一体化”发展。协调桦川</w:t>
      </w:r>
      <w:r>
        <w:rPr>
          <w:rFonts w:hint="eastAsia" w:ascii="Times New Roman" w:hAnsi="Times New Roman" w:cs="Times New Roman"/>
          <w:color w:val="auto"/>
          <w:highlight w:val="none"/>
          <w:lang w:eastAsia="zh-CN"/>
        </w:rPr>
        <w:t>县</w:t>
      </w:r>
      <w:r>
        <w:rPr>
          <w:rFonts w:ascii="Times New Roman" w:hAnsi="Times New Roman" w:cs="Times New Roman"/>
          <w:color w:val="auto"/>
          <w:highlight w:val="none"/>
        </w:rPr>
        <w:t>内部联动，做好在产业上的分工协作，主动承接佳木斯</w:t>
      </w:r>
      <w:r>
        <w:rPr>
          <w:rFonts w:hint="eastAsia" w:ascii="Times New Roman" w:hAnsi="Times New Roman" w:cs="Times New Roman"/>
          <w:color w:val="auto"/>
          <w:highlight w:val="none"/>
          <w:lang w:eastAsia="zh-CN"/>
        </w:rPr>
        <w:t>市</w:t>
      </w:r>
      <w:r>
        <w:rPr>
          <w:rFonts w:ascii="Times New Roman" w:hAnsi="Times New Roman" w:cs="Times New Roman"/>
          <w:color w:val="auto"/>
          <w:highlight w:val="none"/>
        </w:rPr>
        <w:t>“产业东移”的发展战略。</w:t>
      </w:r>
    </w:p>
    <w:p w14:paraId="3B4C3755">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落实上位规划区域交通网络总体布局。G221同哈</w:t>
      </w:r>
      <w:r>
        <w:rPr>
          <w:rFonts w:hint="eastAsia" w:ascii="Times New Roman" w:hAnsi="Times New Roman" w:eastAsia="仿宋_GB2312" w:cs="Times New Roman"/>
          <w:color w:val="auto"/>
          <w:kern w:val="2"/>
          <w:sz w:val="32"/>
          <w:szCs w:val="24"/>
          <w:highlight w:val="none"/>
          <w:lang w:val="en-US" w:eastAsia="zh-CN" w:bidi="ar-SA"/>
        </w:rPr>
        <w:t>公路</w:t>
      </w:r>
      <w:r>
        <w:rPr>
          <w:rFonts w:ascii="Times New Roman" w:hAnsi="Times New Roman" w:eastAsia="仿宋_GB2312" w:cs="Times New Roman"/>
          <w:color w:val="auto"/>
          <w:kern w:val="2"/>
          <w:sz w:val="32"/>
          <w:szCs w:val="24"/>
          <w:highlight w:val="none"/>
          <w:lang w:val="en-US" w:eastAsia="zh-CN" w:bidi="ar-SA"/>
        </w:rPr>
        <w:t>穿</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而过，西至佳木斯</w:t>
      </w:r>
      <w:r>
        <w:rPr>
          <w:rFonts w:hint="eastAsia" w:ascii="Times New Roman" w:hAnsi="Times New Roman" w:eastAsia="仿宋_GB2312" w:cs="Times New Roman"/>
          <w:color w:val="auto"/>
          <w:kern w:val="2"/>
          <w:sz w:val="32"/>
          <w:szCs w:val="24"/>
          <w:highlight w:val="none"/>
          <w:lang w:val="en-US" w:eastAsia="zh-CN" w:bidi="ar-SA"/>
        </w:rPr>
        <w:t>市</w:t>
      </w:r>
      <w:r>
        <w:rPr>
          <w:rFonts w:ascii="Times New Roman" w:hAnsi="Times New Roman" w:eastAsia="仿宋_GB2312" w:cs="Times New Roman"/>
          <w:color w:val="auto"/>
          <w:kern w:val="2"/>
          <w:sz w:val="32"/>
          <w:szCs w:val="24"/>
          <w:highlight w:val="none"/>
          <w:lang w:val="en-US" w:eastAsia="zh-CN" w:bidi="ar-SA"/>
        </w:rPr>
        <w:t>，南联双鸭山</w:t>
      </w:r>
      <w:r>
        <w:rPr>
          <w:rFonts w:hint="eastAsia" w:ascii="Times New Roman" w:hAnsi="Times New Roman" w:eastAsia="仿宋_GB2312" w:cs="Times New Roman"/>
          <w:color w:val="auto"/>
          <w:kern w:val="2"/>
          <w:sz w:val="32"/>
          <w:szCs w:val="24"/>
          <w:highlight w:val="none"/>
          <w:lang w:val="en-US" w:eastAsia="zh-CN" w:bidi="ar-SA"/>
        </w:rPr>
        <w:t>市</w:t>
      </w:r>
      <w:r>
        <w:rPr>
          <w:rFonts w:ascii="Times New Roman" w:hAnsi="Times New Roman" w:eastAsia="仿宋_GB2312" w:cs="Times New Roman"/>
          <w:color w:val="auto"/>
          <w:kern w:val="2"/>
          <w:sz w:val="32"/>
          <w:szCs w:val="24"/>
          <w:highlight w:val="none"/>
          <w:lang w:val="en-US" w:eastAsia="zh-CN" w:bidi="ar-SA"/>
        </w:rPr>
        <w:t>，是G1011哈同高速的首选替代路线。苏家店</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处于佳木斯、桦川</w:t>
      </w:r>
      <w:r>
        <w:rPr>
          <w:rFonts w:hint="eastAsia" w:ascii="Times New Roman" w:hAnsi="Times New Roman" w:eastAsia="仿宋_GB2312" w:cs="Times New Roman"/>
          <w:color w:val="auto"/>
          <w:kern w:val="2"/>
          <w:sz w:val="32"/>
          <w:szCs w:val="24"/>
          <w:highlight w:val="none"/>
          <w:lang w:val="en-US" w:eastAsia="zh-CN" w:bidi="ar-SA"/>
        </w:rPr>
        <w:t>县</w:t>
      </w:r>
      <w:r>
        <w:rPr>
          <w:rFonts w:ascii="Times New Roman" w:hAnsi="Times New Roman" w:eastAsia="仿宋_GB2312" w:cs="Times New Roman"/>
          <w:color w:val="auto"/>
          <w:kern w:val="2"/>
          <w:sz w:val="32"/>
          <w:szCs w:val="24"/>
          <w:highlight w:val="none"/>
          <w:lang w:val="en-US" w:eastAsia="zh-CN" w:bidi="ar-SA"/>
        </w:rPr>
        <w:t>政府驻地</w:t>
      </w:r>
      <w:r>
        <w:rPr>
          <w:rFonts w:hint="eastAsia" w:ascii="Times New Roman" w:hAnsi="Times New Roman" w:eastAsia="仿宋_GB2312" w:cs="Times New Roman"/>
          <w:color w:val="auto"/>
          <w:kern w:val="2"/>
          <w:sz w:val="32"/>
          <w:szCs w:val="24"/>
          <w:highlight w:val="none"/>
          <w:lang w:val="en-US" w:eastAsia="zh-CN" w:bidi="ar-SA"/>
        </w:rPr>
        <w:t>悦来镇</w:t>
      </w:r>
      <w:r>
        <w:rPr>
          <w:rFonts w:ascii="Times New Roman" w:hAnsi="Times New Roman" w:eastAsia="仿宋_GB2312" w:cs="Times New Roman"/>
          <w:color w:val="auto"/>
          <w:kern w:val="2"/>
          <w:sz w:val="32"/>
          <w:szCs w:val="24"/>
          <w:highlight w:val="none"/>
          <w:lang w:val="en-US" w:eastAsia="zh-CN" w:bidi="ar-SA"/>
        </w:rPr>
        <w:t>、</w:t>
      </w:r>
      <w:r>
        <w:rPr>
          <w:rFonts w:ascii="Times New Roman" w:hAnsi="Times New Roman" w:eastAsia="仿宋_GB2312" w:cs="Times New Roman"/>
          <w:color w:val="auto"/>
          <w:kern w:val="2"/>
          <w:sz w:val="32"/>
          <w:szCs w:val="24"/>
          <w:highlight w:val="none"/>
          <w:shd w:val="clear" w:color="auto" w:fill="FFFFFF"/>
          <w:lang w:val="en-US" w:eastAsia="zh-CN" w:bidi="ar-SA"/>
        </w:rPr>
        <w:t>双鸭山</w:t>
      </w:r>
      <w:r>
        <w:rPr>
          <w:rFonts w:hint="eastAsia" w:ascii="Times New Roman" w:hAnsi="Times New Roman" w:eastAsia="仿宋_GB2312" w:cs="Times New Roman"/>
          <w:color w:val="auto"/>
          <w:kern w:val="2"/>
          <w:sz w:val="32"/>
          <w:szCs w:val="24"/>
          <w:highlight w:val="none"/>
          <w:shd w:val="clear" w:color="auto" w:fill="FFFFFF"/>
          <w:lang w:val="en-US" w:eastAsia="zh-CN" w:bidi="ar-SA"/>
        </w:rPr>
        <w:t>市</w:t>
      </w:r>
      <w:r>
        <w:rPr>
          <w:rFonts w:ascii="Times New Roman" w:hAnsi="Times New Roman" w:eastAsia="仿宋_GB2312" w:cs="Times New Roman"/>
          <w:color w:val="auto"/>
          <w:kern w:val="2"/>
          <w:sz w:val="32"/>
          <w:szCs w:val="24"/>
          <w:highlight w:val="none"/>
          <w:shd w:val="clear" w:color="auto" w:fill="FFFFFF"/>
          <w:lang w:val="en-US" w:eastAsia="zh-CN" w:bidi="ar-SA"/>
        </w:rPr>
        <w:t>围合</w:t>
      </w:r>
      <w:r>
        <w:rPr>
          <w:rFonts w:ascii="Times New Roman" w:hAnsi="Times New Roman" w:eastAsia="仿宋_GB2312" w:cs="Times New Roman"/>
          <w:color w:val="auto"/>
          <w:kern w:val="2"/>
          <w:sz w:val="32"/>
          <w:szCs w:val="24"/>
          <w:highlight w:val="none"/>
          <w:lang w:val="en-US" w:eastAsia="zh-CN" w:bidi="ar-SA"/>
        </w:rPr>
        <w:t>三角形中心位置，并属于三者的“1 小时度假</w:t>
      </w:r>
      <w:r>
        <w:rPr>
          <w:rFonts w:ascii="Times New Roman" w:hAnsi="Times New Roman" w:eastAsia="仿宋_GB2312" w:cs="Times New Roman"/>
          <w:color w:val="auto"/>
          <w:kern w:val="2"/>
          <w:sz w:val="32"/>
          <w:szCs w:val="24"/>
          <w:highlight w:val="none"/>
          <w:shd w:val="clear" w:color="auto" w:fill="FFFFFF"/>
          <w:lang w:val="en-US" w:eastAsia="zh-CN" w:bidi="ar-SA"/>
        </w:rPr>
        <w:t>圈</w:t>
      </w:r>
      <w:r>
        <w:rPr>
          <w:rFonts w:ascii="Times New Roman" w:hAnsi="Times New Roman" w:eastAsia="仿宋_GB2312" w:cs="Times New Roman"/>
          <w:color w:val="auto"/>
          <w:kern w:val="2"/>
          <w:sz w:val="32"/>
          <w:szCs w:val="24"/>
          <w:highlight w:val="none"/>
          <w:lang w:val="en-US" w:eastAsia="zh-CN" w:bidi="ar-SA"/>
        </w:rPr>
        <w:t>”内，协同三</w:t>
      </w:r>
      <w:r>
        <w:rPr>
          <w:rFonts w:hint="eastAsia" w:ascii="Times New Roman" w:hAnsi="Times New Roman" w:eastAsia="仿宋_GB2312" w:cs="Times New Roman"/>
          <w:color w:val="auto"/>
          <w:kern w:val="2"/>
          <w:sz w:val="32"/>
          <w:szCs w:val="24"/>
          <w:highlight w:val="none"/>
          <w:lang w:val="en-US" w:eastAsia="zh-CN" w:bidi="ar-SA"/>
        </w:rPr>
        <w:t>市</w:t>
      </w:r>
      <w:r>
        <w:rPr>
          <w:rFonts w:ascii="Times New Roman" w:hAnsi="Times New Roman" w:eastAsia="仿宋_GB2312" w:cs="Times New Roman"/>
          <w:color w:val="auto"/>
          <w:kern w:val="2"/>
          <w:sz w:val="32"/>
          <w:szCs w:val="24"/>
          <w:highlight w:val="none"/>
          <w:lang w:val="en-US" w:eastAsia="zh-CN" w:bidi="ar-SA"/>
        </w:rPr>
        <w:t>旅游产业，发展“周末游”“近郊游”等旅游产品。</w:t>
      </w:r>
    </w:p>
    <w:p w14:paraId="37C935E0">
      <w:pPr>
        <w:widowControl/>
        <w:ind w:firstLine="640" w:firstLineChars="200"/>
        <w:jc w:val="left"/>
        <w:rPr>
          <w:rFonts w:ascii="Times New Roman" w:hAnsi="Times New Roman" w:cs="Times New Roman"/>
          <w:color w:val="auto"/>
          <w:kern w:val="0"/>
          <w:sz w:val="31"/>
          <w:szCs w:val="31"/>
          <w:highlight w:val="none"/>
        </w:rPr>
      </w:pPr>
      <w:r>
        <w:rPr>
          <w:rFonts w:ascii="Times New Roman" w:hAnsi="Times New Roman" w:cs="Times New Roman"/>
          <w:color w:val="auto"/>
          <w:highlight w:val="none"/>
        </w:rPr>
        <w:t>落实桦川</w:t>
      </w:r>
      <w:r>
        <w:rPr>
          <w:rFonts w:hint="eastAsia" w:ascii="Times New Roman" w:hAnsi="Times New Roman" w:cs="Times New Roman"/>
          <w:color w:val="auto"/>
          <w:highlight w:val="none"/>
          <w:lang w:eastAsia="zh-CN"/>
        </w:rPr>
        <w:t>县</w:t>
      </w:r>
      <w:r>
        <w:rPr>
          <w:rFonts w:ascii="Times New Roman" w:hAnsi="Times New Roman" w:cs="Times New Roman"/>
          <w:color w:val="auto"/>
          <w:highlight w:val="none"/>
        </w:rPr>
        <w:t>“一心、一廊、三带”的生态格局要求，</w:t>
      </w:r>
      <w:r>
        <w:rPr>
          <w:rFonts w:ascii="Times New Roman" w:hAnsi="Times New Roman" w:cs="Times New Roman"/>
          <w:color w:val="auto"/>
          <w:kern w:val="0"/>
          <w:sz w:val="31"/>
          <w:szCs w:val="31"/>
          <w:highlight w:val="none"/>
        </w:rPr>
        <w:t>提升区域生态环境质量</w:t>
      </w:r>
      <w:r>
        <w:rPr>
          <w:rFonts w:ascii="Times New Roman" w:hAnsi="Times New Roman" w:cs="Times New Roman"/>
          <w:color w:val="auto"/>
          <w:highlight w:val="none"/>
        </w:rPr>
        <w:t>，苏家店</w:t>
      </w:r>
      <w:r>
        <w:rPr>
          <w:rFonts w:hint="eastAsia" w:ascii="Times New Roman" w:hAnsi="Times New Roman" w:cs="Times New Roman"/>
          <w:color w:val="auto"/>
          <w:highlight w:val="none"/>
          <w:lang w:eastAsia="zh-CN"/>
        </w:rPr>
        <w:t>镇</w:t>
      </w:r>
      <w:r>
        <w:rPr>
          <w:rFonts w:ascii="Times New Roman" w:hAnsi="Times New Roman" w:cs="Times New Roman"/>
          <w:color w:val="auto"/>
          <w:highlight w:val="none"/>
        </w:rPr>
        <w:t>筑牢丰收</w:t>
      </w:r>
      <w:r>
        <w:rPr>
          <w:rFonts w:ascii="Times New Roman" w:hAnsi="Times New Roman" w:cs="Times New Roman"/>
          <w:color w:val="auto"/>
          <w:highlight w:val="none"/>
          <w:shd w:val="clear" w:color="auto" w:fill="FFFFFF"/>
        </w:rPr>
        <w:t>沟</w:t>
      </w:r>
      <w:r>
        <w:rPr>
          <w:rFonts w:ascii="Times New Roman" w:hAnsi="Times New Roman" w:cs="Times New Roman"/>
          <w:color w:val="auto"/>
          <w:highlight w:val="none"/>
        </w:rPr>
        <w:t>生态廊道</w:t>
      </w:r>
      <w:r>
        <w:rPr>
          <w:rFonts w:ascii="Times New Roman" w:hAnsi="Times New Roman" w:cs="Times New Roman"/>
          <w:color w:val="auto"/>
          <w:kern w:val="0"/>
          <w:sz w:val="31"/>
          <w:szCs w:val="31"/>
          <w:highlight w:val="none"/>
        </w:rPr>
        <w:t>，建立长期的</w:t>
      </w:r>
      <w:r>
        <w:rPr>
          <w:rFonts w:hint="eastAsia" w:ascii="Times New Roman" w:hAnsi="Times New Roman" w:cs="Times New Roman"/>
          <w:color w:val="auto"/>
          <w:kern w:val="0"/>
          <w:sz w:val="31"/>
          <w:szCs w:val="31"/>
          <w:highlight w:val="none"/>
          <w:shd w:val="clear" w:color="auto" w:fill="FFFFFF"/>
        </w:rPr>
        <w:t>生态环境分区管控</w:t>
      </w:r>
      <w:r>
        <w:rPr>
          <w:rFonts w:ascii="Times New Roman" w:hAnsi="Times New Roman" w:cs="Times New Roman"/>
          <w:color w:val="auto"/>
          <w:kern w:val="0"/>
          <w:sz w:val="31"/>
          <w:szCs w:val="31"/>
          <w:highlight w:val="none"/>
        </w:rPr>
        <w:t>机制，开展污染预警和环境联动执法，有步骤地推进各项生态修复和环境治理任务落实。</w:t>
      </w:r>
    </w:p>
    <w:p w14:paraId="547F4A3B">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实现区域设施共建共享，完善水</w:t>
      </w:r>
      <w:r>
        <w:rPr>
          <w:rFonts w:ascii="Times New Roman" w:hAnsi="Times New Roman" w:eastAsia="仿宋_GB2312" w:cs="Times New Roman"/>
          <w:color w:val="auto"/>
          <w:kern w:val="2"/>
          <w:sz w:val="32"/>
          <w:szCs w:val="32"/>
          <w:highlight w:val="none"/>
          <w:lang w:val="en-US" w:eastAsia="zh-CN" w:bidi="ar-SA"/>
        </w:rPr>
        <w:t>利</w:t>
      </w:r>
      <w:r>
        <w:rPr>
          <w:rFonts w:ascii="Times New Roman" w:hAnsi="Times New Roman" w:eastAsia="仿宋_GB2312" w:cs="Times New Roman"/>
          <w:color w:val="auto"/>
          <w:kern w:val="2"/>
          <w:sz w:val="32"/>
          <w:szCs w:val="24"/>
          <w:highlight w:val="none"/>
          <w:lang w:val="en-US" w:eastAsia="zh-CN" w:bidi="ar-SA"/>
        </w:rPr>
        <w:t>、</w:t>
      </w:r>
      <w:r>
        <w:rPr>
          <w:rFonts w:hint="eastAsia" w:ascii="Times New Roman" w:hAnsi="Times New Roman" w:eastAsia="仿宋_GB2312" w:cs="Times New Roman"/>
          <w:color w:val="auto"/>
          <w:kern w:val="2"/>
          <w:sz w:val="32"/>
          <w:szCs w:val="24"/>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力</w:t>
      </w:r>
      <w:r>
        <w:rPr>
          <w:rFonts w:ascii="Times New Roman" w:hAnsi="Times New Roman" w:eastAsia="仿宋_GB2312" w:cs="Times New Roman"/>
          <w:color w:val="auto"/>
          <w:kern w:val="2"/>
          <w:sz w:val="32"/>
          <w:szCs w:val="24"/>
          <w:highlight w:val="none"/>
          <w:lang w:val="en-US" w:eastAsia="zh-CN" w:bidi="ar-SA"/>
        </w:rPr>
        <w:t>等基础设施管网系统，避免重复建设。</w:t>
      </w:r>
      <w:r>
        <w:rPr>
          <w:rFonts w:ascii="Times New Roman" w:hAnsi="Times New Roman" w:eastAsia="仿宋_GB2312" w:cs="Times New Roman"/>
          <w:color w:val="auto"/>
          <w:kern w:val="2"/>
          <w:sz w:val="32"/>
          <w:szCs w:val="32"/>
          <w:highlight w:val="none"/>
          <w:lang w:val="en-US" w:eastAsia="zh-CN" w:bidi="ar-SA"/>
        </w:rPr>
        <w:t>合理预留交通、水利、</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力等线性基础设施廊道。开展变</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站改扩建、供</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线路新建工程，增加第二</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源，实现双</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源供</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结构，提高区域</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网供</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可靠性和供</w:t>
      </w:r>
      <w:r>
        <w:rPr>
          <w:rFonts w:hint="eastAsia" w:ascii="Times New Roman" w:hAnsi="Times New Roman" w:eastAsia="仿宋_GB2312" w:cs="Times New Roman"/>
          <w:color w:val="auto"/>
          <w:kern w:val="2"/>
          <w:sz w:val="32"/>
          <w:szCs w:val="32"/>
          <w:highlight w:val="none"/>
          <w:lang w:val="en-US" w:eastAsia="zh-CN" w:bidi="ar-SA"/>
        </w:rPr>
        <w:t>电</w:t>
      </w:r>
      <w:r>
        <w:rPr>
          <w:rFonts w:ascii="Times New Roman" w:hAnsi="Times New Roman" w:eastAsia="仿宋_GB2312" w:cs="Times New Roman"/>
          <w:color w:val="auto"/>
          <w:kern w:val="2"/>
          <w:sz w:val="32"/>
          <w:szCs w:val="32"/>
          <w:highlight w:val="none"/>
          <w:lang w:val="en-US" w:eastAsia="zh-CN" w:bidi="ar-SA"/>
        </w:rPr>
        <w:t>能力。</w:t>
      </w:r>
    </w:p>
    <w:bookmarkEnd w:id="54"/>
    <w:p w14:paraId="1939A5AC">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55" w:name="_Toc12334"/>
      <w:bookmarkStart w:id="56" w:name="_Toc4609"/>
      <w:r>
        <w:rPr>
          <w:rFonts w:ascii="Times New Roman" w:hAnsi="Times New Roman" w:eastAsia="黑体" w:cs="Times New Roman"/>
          <w:color w:val="auto"/>
          <w:kern w:val="2"/>
          <w:sz w:val="32"/>
          <w:szCs w:val="24"/>
          <w:highlight w:val="none"/>
          <w:lang w:val="en-US" w:eastAsia="zh-CN" w:bidi="ar-SA"/>
        </w:rPr>
        <w:t>第</w:t>
      </w:r>
      <w:r>
        <w:rPr>
          <w:rFonts w:hint="eastAsia" w:ascii="Times New Roman" w:hAnsi="Times New Roman" w:eastAsia="黑体" w:cs="Times New Roman"/>
          <w:color w:val="auto"/>
          <w:kern w:val="2"/>
          <w:sz w:val="32"/>
          <w:szCs w:val="24"/>
          <w:highlight w:val="none"/>
          <w:lang w:val="en-US" w:eastAsia="zh-CN" w:bidi="ar-SA"/>
        </w:rPr>
        <w:t>二</w:t>
      </w:r>
      <w:r>
        <w:rPr>
          <w:rFonts w:ascii="Times New Roman" w:hAnsi="Times New Roman" w:eastAsia="黑体" w:cs="Times New Roman"/>
          <w:color w:val="auto"/>
          <w:kern w:val="2"/>
          <w:sz w:val="32"/>
          <w:szCs w:val="24"/>
          <w:highlight w:val="none"/>
          <w:lang w:val="en-US" w:eastAsia="zh-CN" w:bidi="ar-SA"/>
        </w:rPr>
        <w:t>节 落实主体功能区战略</w:t>
      </w:r>
      <w:bookmarkEnd w:id="55"/>
      <w:bookmarkEnd w:id="56"/>
    </w:p>
    <w:p w14:paraId="3DAC5524">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落实</w:t>
      </w:r>
      <w:r>
        <w:rPr>
          <w:rFonts w:hint="eastAsia" w:ascii="Calibri" w:hAnsi="Calibri" w:eastAsia="楷体_GB2312" w:cs="Times New Roman"/>
          <w:b/>
          <w:color w:val="auto"/>
          <w:kern w:val="2"/>
          <w:sz w:val="32"/>
          <w:szCs w:val="24"/>
          <w:highlight w:val="none"/>
          <w:lang w:val="en-US" w:eastAsia="zh-CN" w:bidi="ar-SA"/>
        </w:rPr>
        <w:t>省</w:t>
      </w:r>
      <w:r>
        <w:rPr>
          <w:rFonts w:ascii="Calibri" w:hAnsi="Calibri" w:eastAsia="楷体_GB2312" w:cs="Times New Roman"/>
          <w:b/>
          <w:color w:val="auto"/>
          <w:kern w:val="2"/>
          <w:sz w:val="32"/>
          <w:szCs w:val="24"/>
          <w:highlight w:val="none"/>
          <w:lang w:val="en-US" w:eastAsia="zh-CN" w:bidi="ar-SA"/>
        </w:rPr>
        <w:t>、</w:t>
      </w:r>
      <w:r>
        <w:rPr>
          <w:rFonts w:hint="eastAsia" w:ascii="Calibri" w:hAnsi="Calibri" w:eastAsia="楷体_GB2312" w:cs="Times New Roman"/>
          <w:b/>
          <w:color w:val="auto"/>
          <w:kern w:val="2"/>
          <w:sz w:val="32"/>
          <w:szCs w:val="24"/>
          <w:highlight w:val="none"/>
          <w:lang w:val="en-US" w:eastAsia="zh-CN" w:bidi="ar-SA"/>
        </w:rPr>
        <w:t>市</w:t>
      </w:r>
      <w:r>
        <w:rPr>
          <w:rFonts w:ascii="Calibri" w:hAnsi="Calibri" w:eastAsia="楷体_GB2312" w:cs="Times New Roman"/>
          <w:b/>
          <w:color w:val="auto"/>
          <w:kern w:val="2"/>
          <w:sz w:val="32"/>
          <w:szCs w:val="24"/>
          <w:highlight w:val="none"/>
          <w:lang w:val="en-US" w:eastAsia="zh-CN" w:bidi="ar-SA"/>
        </w:rPr>
        <w:t>、</w:t>
      </w:r>
      <w:r>
        <w:rPr>
          <w:rFonts w:hint="eastAsia" w:ascii="Calibri" w:hAnsi="Calibri" w:eastAsia="楷体_GB2312" w:cs="Times New Roman"/>
          <w:b/>
          <w:color w:val="auto"/>
          <w:kern w:val="2"/>
          <w:sz w:val="32"/>
          <w:szCs w:val="24"/>
          <w:highlight w:val="none"/>
          <w:lang w:val="en-US" w:eastAsia="zh-CN" w:bidi="ar-SA"/>
        </w:rPr>
        <w:t>县</w:t>
      </w:r>
      <w:r>
        <w:rPr>
          <w:rFonts w:ascii="Calibri" w:hAnsi="Calibri" w:eastAsia="楷体_GB2312" w:cs="Times New Roman"/>
          <w:b/>
          <w:color w:val="auto"/>
          <w:kern w:val="2"/>
          <w:sz w:val="32"/>
          <w:szCs w:val="24"/>
          <w:highlight w:val="none"/>
          <w:lang w:val="en-US" w:eastAsia="zh-CN" w:bidi="ar-SA"/>
        </w:rPr>
        <w:t>主体功能区定位</w:t>
      </w:r>
    </w:p>
    <w:p w14:paraId="329D6EF7">
      <w:pPr>
        <w:widowControl w:val="0"/>
        <w:spacing w:line="600" w:lineRule="exact"/>
        <w:ind w:firstLine="640" w:firstLineChars="200"/>
        <w:jc w:val="both"/>
        <w:rPr>
          <w:rFonts w:ascii="Times New Roman" w:hAnsi="Times New Roman" w:eastAsia="宋体" w:cs="Times New Roman"/>
          <w:color w:val="auto"/>
          <w:kern w:val="2"/>
          <w:sz w:val="32"/>
          <w:szCs w:val="28"/>
          <w:highlight w:val="none"/>
          <w:lang w:val="en-US" w:eastAsia="zh-CN" w:bidi="ar-SA"/>
        </w:rPr>
      </w:pPr>
      <w:r>
        <w:rPr>
          <w:rFonts w:ascii="Times New Roman" w:hAnsi="Times New Roman" w:eastAsia="仿宋_GB2312" w:cs="Times New Roman"/>
          <w:color w:val="auto"/>
          <w:kern w:val="2"/>
          <w:sz w:val="32"/>
          <w:szCs w:val="28"/>
          <w:highlight w:val="none"/>
          <w:lang w:val="en-US" w:eastAsia="zh-CN" w:bidi="ar-SA"/>
        </w:rPr>
        <w:t>明确苏家店</w:t>
      </w:r>
      <w:r>
        <w:rPr>
          <w:rFonts w:hint="eastAsia" w:ascii="Times New Roman" w:hAnsi="Times New Roman" w:eastAsia="仿宋_GB2312" w:cs="Times New Roman"/>
          <w:color w:val="auto"/>
          <w:kern w:val="2"/>
          <w:sz w:val="32"/>
          <w:szCs w:val="28"/>
          <w:highlight w:val="none"/>
          <w:lang w:val="en-US" w:eastAsia="zh-CN" w:bidi="ar-SA"/>
        </w:rPr>
        <w:t>镇</w:t>
      </w:r>
      <w:r>
        <w:rPr>
          <w:rFonts w:ascii="Times New Roman" w:hAnsi="Times New Roman" w:eastAsia="仿宋_GB2312" w:cs="Times New Roman"/>
          <w:color w:val="auto"/>
          <w:kern w:val="2"/>
          <w:sz w:val="32"/>
          <w:szCs w:val="28"/>
          <w:highlight w:val="none"/>
          <w:lang w:val="en-US" w:eastAsia="zh-CN" w:bidi="ar-SA"/>
        </w:rPr>
        <w:t>主体功能定位，落实黑龙江</w:t>
      </w:r>
      <w:r>
        <w:rPr>
          <w:rFonts w:hint="eastAsia" w:ascii="Times New Roman" w:hAnsi="Times New Roman" w:eastAsia="仿宋_GB2312" w:cs="Times New Roman"/>
          <w:color w:val="auto"/>
          <w:kern w:val="2"/>
          <w:sz w:val="32"/>
          <w:szCs w:val="28"/>
          <w:highlight w:val="none"/>
          <w:lang w:val="en-US" w:eastAsia="zh-CN" w:bidi="ar-SA"/>
        </w:rPr>
        <w:t>省</w:t>
      </w:r>
      <w:r>
        <w:rPr>
          <w:rFonts w:ascii="Times New Roman" w:hAnsi="Times New Roman" w:eastAsia="仿宋_GB2312" w:cs="Times New Roman"/>
          <w:color w:val="auto"/>
          <w:kern w:val="2"/>
          <w:sz w:val="32"/>
          <w:szCs w:val="28"/>
          <w:highlight w:val="none"/>
          <w:lang w:val="en-US" w:eastAsia="zh-CN" w:bidi="ar-SA"/>
        </w:rPr>
        <w:t>、佳木斯</w:t>
      </w:r>
      <w:r>
        <w:rPr>
          <w:rFonts w:hint="eastAsia" w:ascii="Times New Roman" w:hAnsi="Times New Roman" w:eastAsia="仿宋_GB2312" w:cs="Times New Roman"/>
          <w:color w:val="auto"/>
          <w:kern w:val="2"/>
          <w:sz w:val="32"/>
          <w:szCs w:val="28"/>
          <w:highlight w:val="none"/>
          <w:lang w:val="en-US" w:eastAsia="zh-CN" w:bidi="ar-SA"/>
        </w:rPr>
        <w:t>市</w:t>
      </w:r>
      <w:r>
        <w:rPr>
          <w:rFonts w:ascii="Times New Roman" w:hAnsi="Times New Roman" w:eastAsia="仿宋_GB2312" w:cs="Times New Roman"/>
          <w:color w:val="auto"/>
          <w:kern w:val="2"/>
          <w:sz w:val="32"/>
          <w:szCs w:val="28"/>
          <w:highlight w:val="none"/>
          <w:lang w:val="en-US" w:eastAsia="zh-CN" w:bidi="ar-SA"/>
        </w:rPr>
        <w:t>、桦川</w:t>
      </w:r>
      <w:r>
        <w:rPr>
          <w:rFonts w:hint="eastAsia" w:ascii="Times New Roman" w:hAnsi="Times New Roman" w:eastAsia="仿宋_GB2312" w:cs="Times New Roman"/>
          <w:color w:val="auto"/>
          <w:kern w:val="2"/>
          <w:sz w:val="32"/>
          <w:szCs w:val="28"/>
          <w:highlight w:val="none"/>
          <w:lang w:val="en-US" w:eastAsia="zh-CN" w:bidi="ar-SA"/>
        </w:rPr>
        <w:t>县</w:t>
      </w:r>
      <w:r>
        <w:rPr>
          <w:rFonts w:ascii="Times New Roman" w:hAnsi="Times New Roman" w:eastAsia="仿宋_GB2312" w:cs="Times New Roman"/>
          <w:color w:val="auto"/>
          <w:kern w:val="2"/>
          <w:sz w:val="32"/>
          <w:szCs w:val="28"/>
          <w:highlight w:val="none"/>
          <w:lang w:val="en-US" w:eastAsia="zh-CN" w:bidi="ar-SA"/>
        </w:rPr>
        <w:t>主体功能区战略要求，确定苏家店</w:t>
      </w:r>
      <w:r>
        <w:rPr>
          <w:rFonts w:hint="eastAsia" w:ascii="Times New Roman" w:hAnsi="Times New Roman" w:eastAsia="仿宋_GB2312" w:cs="Times New Roman"/>
          <w:color w:val="auto"/>
          <w:kern w:val="2"/>
          <w:sz w:val="32"/>
          <w:szCs w:val="28"/>
          <w:highlight w:val="none"/>
          <w:lang w:val="en-US" w:eastAsia="zh-CN" w:bidi="ar-SA"/>
        </w:rPr>
        <w:t>镇</w:t>
      </w:r>
      <w:r>
        <w:rPr>
          <w:rFonts w:ascii="Times New Roman" w:hAnsi="Times New Roman" w:eastAsia="仿宋_GB2312" w:cs="Times New Roman"/>
          <w:color w:val="auto"/>
          <w:kern w:val="2"/>
          <w:sz w:val="32"/>
          <w:szCs w:val="28"/>
          <w:highlight w:val="none"/>
          <w:lang w:val="en-US" w:eastAsia="zh-CN" w:bidi="ar-SA"/>
        </w:rPr>
        <w:t>为农产品主产区，严格保护农产品主产区的耕地、永久基本农田和生态空间。鼓励开展土地复垦整治，对于城</w:t>
      </w:r>
      <w:r>
        <w:rPr>
          <w:rFonts w:hint="eastAsia" w:ascii="Times New Roman" w:hAnsi="Times New Roman" w:eastAsia="仿宋_GB2312" w:cs="Times New Roman"/>
          <w:color w:val="auto"/>
          <w:kern w:val="2"/>
          <w:sz w:val="32"/>
          <w:szCs w:val="28"/>
          <w:highlight w:val="none"/>
          <w:lang w:val="en-US" w:eastAsia="zh-CN" w:bidi="ar-SA"/>
        </w:rPr>
        <w:t>镇</w:t>
      </w:r>
      <w:r>
        <w:rPr>
          <w:rFonts w:ascii="Times New Roman" w:hAnsi="Times New Roman" w:eastAsia="仿宋_GB2312" w:cs="Times New Roman"/>
          <w:color w:val="auto"/>
          <w:kern w:val="2"/>
          <w:sz w:val="32"/>
          <w:szCs w:val="28"/>
          <w:highlight w:val="none"/>
          <w:lang w:val="en-US" w:eastAsia="zh-CN" w:bidi="ar-SA"/>
        </w:rPr>
        <w:t>空间腾退置换出的建设用地，符合条件的优先转化为农业空间或生态空间。结合资源承载能力优先满足</w:t>
      </w:r>
      <w:r>
        <w:rPr>
          <w:rFonts w:hint="eastAsia" w:ascii="Times New Roman" w:hAnsi="Times New Roman" w:eastAsia="仿宋_GB2312" w:cs="Times New Roman"/>
          <w:color w:val="auto"/>
          <w:kern w:val="2"/>
          <w:sz w:val="32"/>
          <w:szCs w:val="28"/>
          <w:highlight w:val="none"/>
          <w:lang w:val="en-US" w:eastAsia="zh-CN" w:bidi="ar-SA"/>
        </w:rPr>
        <w:t>县</w:t>
      </w:r>
      <w:r>
        <w:rPr>
          <w:rFonts w:ascii="Times New Roman" w:hAnsi="Times New Roman" w:eastAsia="仿宋_GB2312" w:cs="Times New Roman"/>
          <w:color w:val="auto"/>
          <w:kern w:val="2"/>
          <w:sz w:val="32"/>
          <w:szCs w:val="28"/>
          <w:highlight w:val="none"/>
          <w:lang w:val="en-US" w:eastAsia="zh-CN" w:bidi="ar-SA"/>
        </w:rPr>
        <w:t>城和中心</w:t>
      </w:r>
      <w:r>
        <w:rPr>
          <w:rFonts w:hint="eastAsia" w:ascii="Times New Roman" w:hAnsi="Times New Roman" w:eastAsia="仿宋_GB2312" w:cs="Times New Roman"/>
          <w:color w:val="auto"/>
          <w:kern w:val="2"/>
          <w:sz w:val="32"/>
          <w:szCs w:val="28"/>
          <w:highlight w:val="none"/>
          <w:lang w:val="en-US" w:eastAsia="zh-CN" w:bidi="ar-SA"/>
        </w:rPr>
        <w:t>镇</w:t>
      </w:r>
      <w:r>
        <w:rPr>
          <w:rFonts w:ascii="Times New Roman" w:hAnsi="Times New Roman" w:eastAsia="仿宋_GB2312" w:cs="Times New Roman"/>
          <w:color w:val="auto"/>
          <w:kern w:val="2"/>
          <w:sz w:val="32"/>
          <w:szCs w:val="28"/>
          <w:highlight w:val="none"/>
          <w:lang w:val="en-US" w:eastAsia="zh-CN" w:bidi="ar-SA"/>
        </w:rPr>
        <w:t>建设用地需求，加大“点状”布局用地支持力度，严格控制开发强度和城</w:t>
      </w:r>
      <w:r>
        <w:rPr>
          <w:rFonts w:hint="eastAsia" w:ascii="Times New Roman" w:hAnsi="Times New Roman" w:eastAsia="仿宋_GB2312" w:cs="Times New Roman"/>
          <w:color w:val="auto"/>
          <w:kern w:val="2"/>
          <w:sz w:val="32"/>
          <w:szCs w:val="28"/>
          <w:highlight w:val="none"/>
          <w:lang w:val="en-US" w:eastAsia="zh-CN" w:bidi="ar-SA"/>
        </w:rPr>
        <w:t>乡</w:t>
      </w:r>
      <w:r>
        <w:rPr>
          <w:rFonts w:ascii="Times New Roman" w:hAnsi="Times New Roman" w:eastAsia="仿宋_GB2312" w:cs="Times New Roman"/>
          <w:color w:val="auto"/>
          <w:kern w:val="2"/>
          <w:sz w:val="32"/>
          <w:szCs w:val="28"/>
          <w:highlight w:val="none"/>
          <w:lang w:val="en-US" w:eastAsia="zh-CN" w:bidi="ar-SA"/>
        </w:rPr>
        <w:t>建设用地增量。</w:t>
      </w:r>
    </w:p>
    <w:p w14:paraId="52F3F4F8">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57" w:name="_Toc31593"/>
      <w:r>
        <w:rPr>
          <w:rFonts w:ascii="Times New Roman" w:hAnsi="Times New Roman" w:eastAsia="黑体" w:cs="Times New Roman"/>
          <w:color w:val="auto"/>
          <w:kern w:val="2"/>
          <w:sz w:val="32"/>
          <w:szCs w:val="24"/>
          <w:highlight w:val="none"/>
          <w:lang w:val="en-US" w:eastAsia="zh-CN" w:bidi="ar-SA"/>
        </w:rPr>
        <w:t>第</w:t>
      </w:r>
      <w:r>
        <w:rPr>
          <w:rFonts w:hint="eastAsia" w:ascii="Times New Roman" w:hAnsi="Times New Roman" w:eastAsia="黑体" w:cs="Times New Roman"/>
          <w:color w:val="auto"/>
          <w:kern w:val="2"/>
          <w:sz w:val="32"/>
          <w:szCs w:val="24"/>
          <w:highlight w:val="none"/>
          <w:lang w:val="en-US" w:eastAsia="zh-CN" w:bidi="ar-SA"/>
        </w:rPr>
        <w:t>三</w:t>
      </w:r>
      <w:r>
        <w:rPr>
          <w:rFonts w:ascii="Times New Roman" w:hAnsi="Times New Roman" w:eastAsia="黑体" w:cs="Times New Roman"/>
          <w:color w:val="auto"/>
          <w:kern w:val="2"/>
          <w:sz w:val="32"/>
          <w:szCs w:val="24"/>
          <w:highlight w:val="none"/>
          <w:lang w:val="en-US" w:eastAsia="zh-CN" w:bidi="ar-SA"/>
        </w:rPr>
        <w:t>节 优化国土空间开发保护格局</w:t>
      </w:r>
      <w:bookmarkEnd w:id="57"/>
    </w:p>
    <w:p w14:paraId="0D445F3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hint="eastAsia" w:ascii="Calibri" w:hAnsi="Calibri" w:eastAsia="楷体_GB2312" w:cs="Times New Roman"/>
          <w:b/>
          <w:color w:val="auto"/>
          <w:kern w:val="2"/>
          <w:sz w:val="32"/>
          <w:szCs w:val="24"/>
          <w:highlight w:val="none"/>
          <w:lang w:val="en-US" w:eastAsia="zh-CN" w:bidi="ar-SA"/>
        </w:rPr>
        <w:t>国土空间发展格局</w:t>
      </w:r>
    </w:p>
    <w:p w14:paraId="00954424">
      <w:pPr>
        <w:widowControl w:val="0"/>
        <w:spacing w:line="600" w:lineRule="atLeas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以</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域内地形地貌基本特征为基础，以国土空间开发保护战略与目标为导向，结合主体功能区定位，统筹山水林田</w:t>
      </w:r>
      <w:r>
        <w:rPr>
          <w:rFonts w:hint="eastAsia" w:ascii="Times New Roman" w:hAnsi="Times New Roman" w:eastAsia="仿宋_GB2312" w:cs="Times New Roman"/>
          <w:color w:val="auto"/>
          <w:kern w:val="2"/>
          <w:sz w:val="32"/>
          <w:szCs w:val="32"/>
          <w:highlight w:val="none"/>
          <w:lang w:val="en-US" w:eastAsia="zh-CN" w:bidi="ar-SA"/>
        </w:rPr>
        <w:t>湖</w:t>
      </w:r>
      <w:r>
        <w:rPr>
          <w:rFonts w:ascii="Times New Roman" w:hAnsi="Times New Roman" w:eastAsia="仿宋_GB2312" w:cs="Times New Roman"/>
          <w:color w:val="auto"/>
          <w:kern w:val="2"/>
          <w:sz w:val="32"/>
          <w:szCs w:val="32"/>
          <w:highlight w:val="none"/>
          <w:lang w:val="en-US" w:eastAsia="zh-CN" w:bidi="ar-SA"/>
        </w:rPr>
        <w:t>草沙等保护要素和城</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、产业、交通等发展类要素布局，依托生态空间、农业空间、城</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空间三类空间本底，构建“一廊一带、一主两副、一核五节点”</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域国土空间开发保护总体格局。</w:t>
      </w:r>
    </w:p>
    <w:p w14:paraId="4AF2C5A2">
      <w:pPr>
        <w:widowControl w:val="0"/>
        <w:spacing w:line="600" w:lineRule="exact"/>
        <w:ind w:firstLine="640" w:firstLineChars="200"/>
        <w:jc w:val="both"/>
        <w:rPr>
          <w:rFonts w:ascii="Times New Roman" w:hAnsi="Times New Roman" w:eastAsia="仿宋_GB2312" w:cs="Times New Roman"/>
          <w:bCs/>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一廊：</w:t>
      </w:r>
      <w:r>
        <w:rPr>
          <w:rFonts w:ascii="Times New Roman" w:hAnsi="Times New Roman" w:eastAsia="仿宋_GB2312" w:cs="Times New Roman"/>
          <w:color w:val="auto"/>
          <w:kern w:val="2"/>
          <w:sz w:val="32"/>
          <w:szCs w:val="32"/>
          <w:highlight w:val="none"/>
          <w:shd w:val="clear" w:color="auto" w:fill="FFFFFF"/>
          <w:lang w:val="en-US" w:eastAsia="zh-CN" w:bidi="ar-SA"/>
        </w:rPr>
        <w:t>指</w:t>
      </w:r>
      <w:r>
        <w:rPr>
          <w:rFonts w:ascii="Times New Roman" w:hAnsi="Times New Roman" w:eastAsia="仿宋_GB2312" w:cs="Times New Roman"/>
          <w:color w:val="auto"/>
          <w:kern w:val="2"/>
          <w:sz w:val="32"/>
          <w:szCs w:val="32"/>
          <w:highlight w:val="none"/>
          <w:lang w:val="en-US" w:eastAsia="zh-CN" w:bidi="ar-SA"/>
        </w:rPr>
        <w:t>穿过苏家店</w:t>
      </w:r>
      <w:r>
        <w:rPr>
          <w:rFonts w:hint="eastAsia" w:ascii="Times New Roman" w:hAnsi="Times New Roman" w:eastAsia="仿宋_GB2312" w:cs="Times New Roman"/>
          <w:color w:val="auto"/>
          <w:kern w:val="2"/>
          <w:sz w:val="32"/>
          <w:szCs w:val="32"/>
          <w:highlight w:val="none"/>
          <w:lang w:val="en-US" w:eastAsia="zh-CN" w:bidi="ar-SA"/>
        </w:rPr>
        <w:t>镇镇</w:t>
      </w:r>
      <w:r>
        <w:rPr>
          <w:rFonts w:ascii="Times New Roman" w:hAnsi="Times New Roman" w:eastAsia="仿宋_GB2312" w:cs="Times New Roman"/>
          <w:color w:val="auto"/>
          <w:kern w:val="2"/>
          <w:sz w:val="32"/>
          <w:szCs w:val="32"/>
          <w:highlight w:val="none"/>
          <w:shd w:val="clear" w:color="auto" w:fill="FFFFFF"/>
          <w:lang w:val="en-US" w:eastAsia="zh-CN" w:bidi="ar-SA"/>
        </w:rPr>
        <w:t>域</w:t>
      </w:r>
      <w:r>
        <w:rPr>
          <w:rFonts w:ascii="Times New Roman" w:hAnsi="Times New Roman" w:eastAsia="仿宋_GB2312" w:cs="Times New Roman"/>
          <w:color w:val="auto"/>
          <w:kern w:val="2"/>
          <w:sz w:val="32"/>
          <w:szCs w:val="32"/>
          <w:highlight w:val="none"/>
          <w:lang w:val="en-US" w:eastAsia="zh-CN" w:bidi="ar-SA"/>
        </w:rPr>
        <w:t>东侧的丰收</w:t>
      </w:r>
      <w:r>
        <w:rPr>
          <w:rFonts w:ascii="Times New Roman" w:hAnsi="Times New Roman" w:eastAsia="仿宋_GB2312" w:cs="Times New Roman"/>
          <w:color w:val="auto"/>
          <w:kern w:val="2"/>
          <w:sz w:val="32"/>
          <w:szCs w:val="32"/>
          <w:highlight w:val="none"/>
          <w:shd w:val="clear" w:color="auto" w:fill="FFFFFF"/>
          <w:lang w:val="en-US" w:eastAsia="zh-CN" w:bidi="ar-SA"/>
        </w:rPr>
        <w:t>沟</w:t>
      </w:r>
      <w:r>
        <w:rPr>
          <w:rFonts w:ascii="Times New Roman" w:hAnsi="Times New Roman" w:eastAsia="仿宋_GB2312" w:cs="Times New Roman"/>
          <w:color w:val="auto"/>
          <w:kern w:val="2"/>
          <w:sz w:val="32"/>
          <w:szCs w:val="32"/>
          <w:highlight w:val="none"/>
          <w:lang w:val="en-US" w:eastAsia="zh-CN" w:bidi="ar-SA"/>
        </w:rPr>
        <w:t>生态廊道。作为桦川</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“一心、一廊、三带”生态安全格局的组成部分，规划应发挥丰收</w:t>
      </w:r>
      <w:r>
        <w:rPr>
          <w:rFonts w:ascii="Times New Roman" w:hAnsi="Times New Roman" w:eastAsia="仿宋_GB2312" w:cs="Times New Roman"/>
          <w:color w:val="auto"/>
          <w:kern w:val="2"/>
          <w:sz w:val="32"/>
          <w:szCs w:val="32"/>
          <w:highlight w:val="none"/>
          <w:shd w:val="clear" w:color="auto" w:fill="FFFFFF"/>
          <w:lang w:val="en-US" w:eastAsia="zh-CN" w:bidi="ar-SA"/>
        </w:rPr>
        <w:t>沟</w:t>
      </w:r>
      <w:r>
        <w:rPr>
          <w:rFonts w:ascii="Times New Roman" w:hAnsi="Times New Roman" w:eastAsia="仿宋_GB2312" w:cs="Times New Roman"/>
          <w:color w:val="auto"/>
          <w:kern w:val="2"/>
          <w:sz w:val="32"/>
          <w:szCs w:val="32"/>
          <w:highlight w:val="none"/>
          <w:lang w:val="en-US" w:eastAsia="zh-CN" w:bidi="ar-SA"/>
        </w:rPr>
        <w:t>这条</w:t>
      </w:r>
      <w:r>
        <w:rPr>
          <w:rFonts w:ascii="Times New Roman" w:hAnsi="Times New Roman" w:eastAsia="仿宋_GB2312" w:cs="Times New Roman"/>
          <w:bCs/>
          <w:color w:val="auto"/>
          <w:kern w:val="2"/>
          <w:sz w:val="32"/>
          <w:szCs w:val="32"/>
          <w:highlight w:val="none"/>
          <w:lang w:val="en-US" w:eastAsia="zh-CN" w:bidi="ar-SA"/>
        </w:rPr>
        <w:t>松花江支流生态廊道的生态作用，加强生态修复和空间的植被种植，充分发挥廊道的护蓝、增绿、通风等作用。</w:t>
      </w:r>
    </w:p>
    <w:p w14:paraId="727110FA">
      <w:pPr>
        <w:widowControl w:val="0"/>
        <w:spacing w:line="600" w:lineRule="exact"/>
        <w:ind w:firstLine="640" w:firstLineChars="200"/>
        <w:jc w:val="both"/>
        <w:rPr>
          <w:rFonts w:ascii="Times New Roman" w:hAnsi="Times New Roman" w:eastAsia="仿宋_GB2312" w:cs="Times New Roman"/>
          <w:bCs/>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一带：指</w:t>
      </w:r>
      <w:r>
        <w:rPr>
          <w:rFonts w:ascii="Times New Roman" w:hAnsi="Times New Roman" w:eastAsia="仿宋_GB2312" w:cs="Times New Roman"/>
          <w:color w:val="auto"/>
          <w:kern w:val="2"/>
          <w:sz w:val="32"/>
          <w:szCs w:val="32"/>
          <w:highlight w:val="none"/>
          <w:shd w:val="clear" w:color="auto" w:fill="FFFFFF"/>
          <w:lang w:val="en-US" w:eastAsia="zh-CN" w:bidi="ar-SA"/>
        </w:rPr>
        <w:t>沿</w:t>
      </w:r>
      <w:r>
        <w:rPr>
          <w:rFonts w:ascii="Times New Roman" w:hAnsi="Times New Roman" w:eastAsia="仿宋_GB2312" w:cs="Times New Roman"/>
          <w:color w:val="auto"/>
          <w:kern w:val="2"/>
          <w:sz w:val="32"/>
          <w:szCs w:val="32"/>
          <w:highlight w:val="none"/>
          <w:lang w:val="en-US" w:eastAsia="zh-CN" w:bidi="ar-SA"/>
        </w:rPr>
        <w:t>苏家店村通往集贤村道路南侧形成的山林生态绿带。</w:t>
      </w:r>
      <w:r>
        <w:rPr>
          <w:rFonts w:ascii="Times New Roman" w:hAnsi="Times New Roman" w:eastAsia="仿宋_GB2312" w:cs="Times New Roman"/>
          <w:bCs/>
          <w:color w:val="auto"/>
          <w:kern w:val="2"/>
          <w:sz w:val="32"/>
          <w:szCs w:val="32"/>
          <w:highlight w:val="none"/>
          <w:lang w:val="en-US" w:eastAsia="zh-CN" w:bidi="ar-SA"/>
        </w:rPr>
        <w:t>结合山体生态修复，打造</w:t>
      </w:r>
      <w:r>
        <w:rPr>
          <w:rFonts w:hint="eastAsia" w:ascii="Times New Roman" w:hAnsi="Times New Roman" w:eastAsia="仿宋_GB2312" w:cs="Times New Roman"/>
          <w:bCs/>
          <w:color w:val="auto"/>
          <w:kern w:val="2"/>
          <w:sz w:val="32"/>
          <w:szCs w:val="32"/>
          <w:highlight w:val="none"/>
          <w:shd w:val="clear" w:color="auto" w:fill="FFFFFF"/>
          <w:lang w:val="en-US" w:eastAsia="zh-CN" w:bidi="ar-SA"/>
        </w:rPr>
        <w:t>镇</w:t>
      </w:r>
      <w:r>
        <w:rPr>
          <w:rFonts w:ascii="Times New Roman" w:hAnsi="Times New Roman" w:eastAsia="仿宋_GB2312" w:cs="Times New Roman"/>
          <w:bCs/>
          <w:color w:val="auto"/>
          <w:kern w:val="2"/>
          <w:sz w:val="32"/>
          <w:szCs w:val="32"/>
          <w:highlight w:val="none"/>
          <w:shd w:val="clear" w:color="auto" w:fill="FFFFFF"/>
          <w:lang w:val="en-US" w:eastAsia="zh-CN" w:bidi="ar-SA"/>
        </w:rPr>
        <w:t>域</w:t>
      </w:r>
      <w:r>
        <w:rPr>
          <w:rFonts w:ascii="Times New Roman" w:hAnsi="Times New Roman" w:eastAsia="仿宋_GB2312" w:cs="Times New Roman"/>
          <w:bCs/>
          <w:color w:val="auto"/>
          <w:kern w:val="2"/>
          <w:sz w:val="32"/>
          <w:szCs w:val="32"/>
          <w:highlight w:val="none"/>
          <w:lang w:val="en-US" w:eastAsia="zh-CN" w:bidi="ar-SA"/>
        </w:rPr>
        <w:t>东西向山林生态绿带。</w:t>
      </w:r>
    </w:p>
    <w:p w14:paraId="4358720D">
      <w:pPr>
        <w:widowControl/>
        <w:ind w:firstLine="640" w:firstLineChars="200"/>
        <w:rPr>
          <w:rFonts w:ascii="Times New Roman" w:hAnsi="Times New Roman" w:cs="Times New Roman"/>
          <w:bCs/>
          <w:color w:val="auto"/>
          <w:szCs w:val="32"/>
          <w:highlight w:val="none"/>
        </w:rPr>
      </w:pPr>
      <w:r>
        <w:rPr>
          <w:rFonts w:ascii="Times New Roman" w:hAnsi="Times New Roman" w:cs="Times New Roman"/>
          <w:color w:val="auto"/>
          <w:szCs w:val="32"/>
          <w:highlight w:val="none"/>
        </w:rPr>
        <w:t>一主：指沿</w:t>
      </w:r>
      <w:r>
        <w:rPr>
          <w:rFonts w:hint="eastAsia" w:ascii="Times New Roman" w:hAnsi="Times New Roman" w:cs="Times New Roman"/>
          <w:color w:val="auto"/>
          <w:szCs w:val="32"/>
          <w:highlight w:val="none"/>
          <w:lang w:eastAsia="zh-CN"/>
        </w:rPr>
        <w:t>国道</w:t>
      </w:r>
      <w:r>
        <w:rPr>
          <w:rFonts w:ascii="Times New Roman" w:hAnsi="Times New Roman" w:cs="Times New Roman"/>
          <w:color w:val="auto"/>
          <w:szCs w:val="32"/>
          <w:highlight w:val="none"/>
        </w:rPr>
        <w:t>G221形成的城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发展主轴。</w:t>
      </w:r>
      <w:r>
        <w:rPr>
          <w:rFonts w:ascii="Times New Roman" w:hAnsi="Times New Roman" w:cs="Times New Roman"/>
          <w:bCs/>
          <w:color w:val="auto"/>
          <w:szCs w:val="32"/>
          <w:highlight w:val="none"/>
        </w:rPr>
        <w:t>向北可至桦川</w:t>
      </w:r>
      <w:r>
        <w:rPr>
          <w:rFonts w:hint="eastAsia" w:ascii="Times New Roman" w:hAnsi="Times New Roman" w:cs="Times New Roman"/>
          <w:bCs/>
          <w:color w:val="auto"/>
          <w:szCs w:val="32"/>
          <w:highlight w:val="none"/>
          <w:lang w:eastAsia="zh-CN"/>
        </w:rPr>
        <w:t>县</w:t>
      </w:r>
      <w:r>
        <w:rPr>
          <w:rFonts w:ascii="Times New Roman" w:hAnsi="Times New Roman" w:cs="Times New Roman"/>
          <w:bCs/>
          <w:color w:val="auto"/>
          <w:szCs w:val="32"/>
          <w:highlight w:val="none"/>
        </w:rPr>
        <w:t>城、佳木斯</w:t>
      </w:r>
      <w:r>
        <w:rPr>
          <w:rFonts w:hint="eastAsia" w:ascii="Times New Roman" w:hAnsi="Times New Roman" w:cs="Times New Roman"/>
          <w:bCs/>
          <w:color w:val="auto"/>
          <w:szCs w:val="32"/>
          <w:highlight w:val="none"/>
          <w:lang w:eastAsia="zh-CN"/>
        </w:rPr>
        <w:t>市</w:t>
      </w:r>
      <w:r>
        <w:rPr>
          <w:rFonts w:ascii="Times New Roman" w:hAnsi="Times New Roman" w:cs="Times New Roman"/>
          <w:bCs/>
          <w:color w:val="auto"/>
          <w:szCs w:val="32"/>
          <w:highlight w:val="none"/>
        </w:rPr>
        <w:t>区，向南可至双鸭山</w:t>
      </w:r>
      <w:r>
        <w:rPr>
          <w:rFonts w:hint="eastAsia" w:ascii="Times New Roman" w:hAnsi="Times New Roman" w:cs="Times New Roman"/>
          <w:bCs/>
          <w:color w:val="auto"/>
          <w:szCs w:val="32"/>
          <w:highlight w:val="none"/>
          <w:lang w:eastAsia="zh-CN"/>
        </w:rPr>
        <w:t>市</w:t>
      </w:r>
      <w:r>
        <w:rPr>
          <w:rFonts w:ascii="Times New Roman" w:hAnsi="Times New Roman" w:cs="Times New Roman"/>
          <w:bCs/>
          <w:color w:val="auto"/>
          <w:szCs w:val="32"/>
          <w:highlight w:val="none"/>
        </w:rPr>
        <w:t>，构建起支撑</w:t>
      </w:r>
      <w:r>
        <w:rPr>
          <w:rFonts w:hint="eastAsia" w:ascii="Times New Roman" w:hAnsi="Times New Roman" w:cs="Times New Roman"/>
          <w:bCs/>
          <w:color w:val="auto"/>
          <w:szCs w:val="32"/>
          <w:highlight w:val="none"/>
          <w:shd w:val="clear" w:color="auto" w:fill="FFFFFF"/>
          <w:lang w:eastAsia="zh-CN"/>
        </w:rPr>
        <w:t>镇</w:t>
      </w:r>
      <w:r>
        <w:rPr>
          <w:rFonts w:ascii="Times New Roman" w:hAnsi="Times New Roman" w:cs="Times New Roman"/>
          <w:bCs/>
          <w:color w:val="auto"/>
          <w:szCs w:val="32"/>
          <w:highlight w:val="none"/>
          <w:shd w:val="clear" w:color="auto" w:fill="FFFFFF"/>
        </w:rPr>
        <w:t>域</w:t>
      </w:r>
      <w:r>
        <w:rPr>
          <w:rFonts w:ascii="Times New Roman" w:hAnsi="Times New Roman" w:cs="Times New Roman"/>
          <w:bCs/>
          <w:color w:val="auto"/>
          <w:szCs w:val="32"/>
          <w:highlight w:val="none"/>
        </w:rPr>
        <w:t>村</w:t>
      </w:r>
      <w:r>
        <w:rPr>
          <w:rFonts w:hint="eastAsia" w:ascii="Times New Roman" w:hAnsi="Times New Roman" w:cs="Times New Roman"/>
          <w:bCs/>
          <w:color w:val="auto"/>
          <w:szCs w:val="32"/>
          <w:highlight w:val="none"/>
          <w:lang w:eastAsia="zh-CN"/>
        </w:rPr>
        <w:t>镇</w:t>
      </w:r>
      <w:r>
        <w:rPr>
          <w:rFonts w:ascii="Times New Roman" w:hAnsi="Times New Roman" w:cs="Times New Roman"/>
          <w:bCs/>
          <w:color w:val="auto"/>
          <w:szCs w:val="32"/>
          <w:highlight w:val="none"/>
        </w:rPr>
        <w:t>空间发展的主轴线。</w:t>
      </w:r>
    </w:p>
    <w:p w14:paraId="30B03222">
      <w:pPr>
        <w:widowControl/>
        <w:ind w:firstLine="640" w:firstLineChars="200"/>
        <w:rPr>
          <w:rFonts w:ascii="Times New Roman" w:hAnsi="Times New Roman" w:cs="Times New Roman"/>
          <w:bCs/>
          <w:color w:val="auto"/>
          <w:szCs w:val="32"/>
          <w:highlight w:val="none"/>
        </w:rPr>
      </w:pPr>
      <w:r>
        <w:rPr>
          <w:rFonts w:ascii="Times New Roman" w:hAnsi="Times New Roman" w:cs="Times New Roman"/>
          <w:color w:val="auto"/>
          <w:szCs w:val="32"/>
          <w:highlight w:val="none"/>
        </w:rPr>
        <w:t>两</w:t>
      </w:r>
      <w:r>
        <w:rPr>
          <w:rFonts w:ascii="Times New Roman" w:hAnsi="Times New Roman" w:eastAsia="楷体_GB2312" w:cs="Times New Roman"/>
          <w:color w:val="auto"/>
          <w:szCs w:val="32"/>
          <w:highlight w:val="none"/>
        </w:rPr>
        <w:t>副：</w:t>
      </w:r>
      <w:r>
        <w:rPr>
          <w:rFonts w:ascii="Times New Roman" w:hAnsi="Times New Roman" w:cs="Times New Roman"/>
          <w:color w:val="auto"/>
          <w:szCs w:val="32"/>
          <w:highlight w:val="none"/>
        </w:rPr>
        <w:t>指沿</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道X204和苏家店</w:t>
      </w:r>
      <w:r>
        <w:rPr>
          <w:rFonts w:hint="eastAsia" w:ascii="Times New Roman" w:hAnsi="Times New Roman" w:cs="Times New Roman"/>
          <w:color w:val="auto"/>
          <w:szCs w:val="32"/>
          <w:highlight w:val="none"/>
          <w:lang w:val="en-US" w:eastAsia="zh-CN"/>
        </w:rPr>
        <w:t>至</w:t>
      </w:r>
      <w:r>
        <w:rPr>
          <w:rFonts w:ascii="Times New Roman" w:hAnsi="Times New Roman" w:cs="Times New Roman"/>
          <w:color w:val="auto"/>
          <w:szCs w:val="32"/>
          <w:highlight w:val="none"/>
        </w:rPr>
        <w:t>自新村</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道形成的2条城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发展副轴。</w:t>
      </w:r>
      <w:r>
        <w:rPr>
          <w:rFonts w:ascii="Times New Roman" w:hAnsi="Times New Roman" w:cs="Times New Roman"/>
          <w:bCs/>
          <w:color w:val="auto"/>
          <w:szCs w:val="32"/>
          <w:highlight w:val="none"/>
        </w:rPr>
        <w:t>两条轴线联系了</w:t>
      </w:r>
      <w:r>
        <w:rPr>
          <w:rFonts w:hint="eastAsia" w:ascii="Times New Roman" w:hAnsi="Times New Roman" w:cs="Times New Roman"/>
          <w:bCs/>
          <w:color w:val="auto"/>
          <w:szCs w:val="32"/>
          <w:highlight w:val="none"/>
        </w:rPr>
        <w:t>苏家店</w:t>
      </w:r>
      <w:r>
        <w:rPr>
          <w:rFonts w:hint="eastAsia" w:ascii="Times New Roman" w:hAnsi="Times New Roman" w:cs="Times New Roman"/>
          <w:bCs/>
          <w:color w:val="auto"/>
          <w:szCs w:val="32"/>
          <w:highlight w:val="none"/>
          <w:lang w:eastAsia="zh-CN"/>
        </w:rPr>
        <w:t>镇镇</w:t>
      </w:r>
      <w:r>
        <w:rPr>
          <w:rFonts w:hint="eastAsia" w:ascii="Times New Roman" w:hAnsi="Times New Roman" w:cs="Times New Roman"/>
          <w:bCs/>
          <w:color w:val="auto"/>
          <w:szCs w:val="32"/>
          <w:highlight w:val="none"/>
        </w:rPr>
        <w:t>政府驻地</w:t>
      </w:r>
      <w:r>
        <w:rPr>
          <w:rFonts w:ascii="Times New Roman" w:hAnsi="Times New Roman" w:cs="Times New Roman"/>
          <w:bCs/>
          <w:color w:val="auto"/>
          <w:szCs w:val="32"/>
          <w:highlight w:val="none"/>
        </w:rPr>
        <w:t>和</w:t>
      </w:r>
      <w:r>
        <w:rPr>
          <w:rFonts w:hint="eastAsia" w:ascii="Times New Roman" w:hAnsi="Times New Roman" w:cs="Times New Roman"/>
          <w:bCs/>
          <w:color w:val="auto"/>
          <w:szCs w:val="32"/>
          <w:highlight w:val="none"/>
          <w:lang w:eastAsia="zh-CN"/>
        </w:rPr>
        <w:t>镇</w:t>
      </w:r>
      <w:r>
        <w:rPr>
          <w:rFonts w:ascii="Times New Roman" w:hAnsi="Times New Roman" w:cs="Times New Roman"/>
          <w:bCs/>
          <w:color w:val="auto"/>
          <w:szCs w:val="32"/>
          <w:highlight w:val="none"/>
        </w:rPr>
        <w:t>域内大部村庄，构建起支撑</w:t>
      </w:r>
      <w:r>
        <w:rPr>
          <w:rFonts w:hint="eastAsia" w:ascii="Times New Roman" w:hAnsi="Times New Roman" w:cs="Times New Roman"/>
          <w:bCs/>
          <w:color w:val="auto"/>
          <w:szCs w:val="32"/>
          <w:highlight w:val="none"/>
          <w:shd w:val="clear" w:color="auto" w:fill="FFFFFF"/>
          <w:lang w:eastAsia="zh-CN"/>
        </w:rPr>
        <w:t>镇</w:t>
      </w:r>
      <w:r>
        <w:rPr>
          <w:rFonts w:ascii="Times New Roman" w:hAnsi="Times New Roman" w:cs="Times New Roman"/>
          <w:bCs/>
          <w:color w:val="auto"/>
          <w:szCs w:val="32"/>
          <w:highlight w:val="none"/>
          <w:shd w:val="clear" w:color="auto" w:fill="FFFFFF"/>
        </w:rPr>
        <w:t>域</w:t>
      </w:r>
      <w:r>
        <w:rPr>
          <w:rFonts w:ascii="Times New Roman" w:hAnsi="Times New Roman" w:cs="Times New Roman"/>
          <w:bCs/>
          <w:color w:val="auto"/>
          <w:szCs w:val="32"/>
          <w:highlight w:val="none"/>
        </w:rPr>
        <w:t>村</w:t>
      </w:r>
      <w:r>
        <w:rPr>
          <w:rFonts w:hint="eastAsia" w:ascii="Times New Roman" w:hAnsi="Times New Roman" w:cs="Times New Roman"/>
          <w:bCs/>
          <w:color w:val="auto"/>
          <w:szCs w:val="32"/>
          <w:highlight w:val="none"/>
          <w:lang w:eastAsia="zh-CN"/>
        </w:rPr>
        <w:t>镇</w:t>
      </w:r>
      <w:r>
        <w:rPr>
          <w:rFonts w:ascii="Times New Roman" w:hAnsi="Times New Roman" w:cs="Times New Roman"/>
          <w:bCs/>
          <w:color w:val="auto"/>
          <w:szCs w:val="32"/>
          <w:highlight w:val="none"/>
        </w:rPr>
        <w:t>空间发展的副轴线。</w:t>
      </w:r>
    </w:p>
    <w:p w14:paraId="786898E1">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一核五节点：</w:t>
      </w:r>
      <w:r>
        <w:rPr>
          <w:rFonts w:ascii="Times New Roman" w:hAnsi="Times New Roman" w:eastAsia="仿宋_GB2312" w:cs="Times New Roman"/>
          <w:color w:val="auto"/>
          <w:kern w:val="2"/>
          <w:sz w:val="32"/>
          <w:szCs w:val="32"/>
          <w:highlight w:val="none"/>
          <w:shd w:val="clear" w:color="auto" w:fill="FFFFFF"/>
          <w:lang w:val="en-US" w:eastAsia="zh-CN" w:bidi="ar-SA"/>
        </w:rPr>
        <w:t>指</w:t>
      </w:r>
      <w:r>
        <w:rPr>
          <w:rFonts w:ascii="Times New Roman" w:hAnsi="Times New Roman" w:eastAsia="仿宋_GB2312" w:cs="Times New Roman"/>
          <w:color w:val="auto"/>
          <w:kern w:val="2"/>
          <w:sz w:val="32"/>
          <w:szCs w:val="32"/>
          <w:highlight w:val="none"/>
          <w:lang w:val="en-US" w:eastAsia="zh-CN" w:bidi="ar-SA"/>
        </w:rPr>
        <w:t>围绕</w:t>
      </w:r>
      <w:r>
        <w:rPr>
          <w:rFonts w:hint="eastAsia" w:ascii="Times New Roman" w:hAnsi="Times New Roman" w:eastAsia="仿宋_GB2312" w:cs="Times New Roman"/>
          <w:color w:val="auto"/>
          <w:kern w:val="2"/>
          <w:sz w:val="32"/>
          <w:szCs w:val="32"/>
          <w:highlight w:val="none"/>
          <w:lang w:val="en-US" w:eastAsia="zh-CN" w:bidi="ar-SA"/>
        </w:rPr>
        <w:t>苏家店镇镇政府驻地</w:t>
      </w:r>
      <w:r>
        <w:rPr>
          <w:rFonts w:ascii="Times New Roman" w:hAnsi="Times New Roman" w:eastAsia="仿宋_GB2312" w:cs="Times New Roman"/>
          <w:color w:val="auto"/>
          <w:kern w:val="2"/>
          <w:sz w:val="32"/>
          <w:szCs w:val="32"/>
          <w:highlight w:val="none"/>
          <w:lang w:val="en-US" w:eastAsia="zh-CN" w:bidi="ar-SA"/>
        </w:rPr>
        <w:t>打造的城</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发展服务核心以及围绕五个中心村打造的村级服务节点。做大做强</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政府驻地，形成引领全</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的高质量发展极核，促进苏家</w:t>
      </w:r>
      <w:r>
        <w:rPr>
          <w:rFonts w:ascii="Times New Roman" w:hAnsi="Times New Roman" w:eastAsia="仿宋_GB2312" w:cs="Times New Roman"/>
          <w:color w:val="auto"/>
          <w:kern w:val="2"/>
          <w:sz w:val="32"/>
          <w:szCs w:val="32"/>
          <w:highlight w:val="none"/>
          <w:shd w:val="clear" w:color="auto" w:fill="FFFFFF"/>
          <w:lang w:val="en-US" w:eastAsia="zh-CN" w:bidi="ar-SA"/>
        </w:rPr>
        <w:t>店</w:t>
      </w:r>
      <w:r>
        <w:rPr>
          <w:rFonts w:hint="eastAsia" w:ascii="Times New Roman" w:hAnsi="Times New Roman" w:eastAsia="仿宋_GB2312" w:cs="Times New Roman"/>
          <w:color w:val="auto"/>
          <w:kern w:val="2"/>
          <w:sz w:val="32"/>
          <w:szCs w:val="32"/>
          <w:highlight w:val="none"/>
          <w:shd w:val="clear" w:color="auto" w:fill="FFFFFF"/>
          <w:lang w:val="en-US" w:eastAsia="zh-CN" w:bidi="ar-SA"/>
        </w:rPr>
        <w:t>镇</w:t>
      </w:r>
      <w:r>
        <w:rPr>
          <w:rFonts w:ascii="Times New Roman" w:hAnsi="Times New Roman" w:eastAsia="仿宋_GB2312" w:cs="Times New Roman"/>
          <w:color w:val="auto"/>
          <w:kern w:val="2"/>
          <w:sz w:val="32"/>
          <w:szCs w:val="32"/>
          <w:highlight w:val="none"/>
          <w:shd w:val="clear" w:color="auto" w:fill="FFFFFF"/>
          <w:lang w:val="en-US" w:eastAsia="zh-CN" w:bidi="ar-SA"/>
        </w:rPr>
        <w:t>公共服务体系</w:t>
      </w:r>
      <w:r>
        <w:rPr>
          <w:rFonts w:ascii="Times New Roman" w:hAnsi="Times New Roman" w:eastAsia="仿宋_GB2312" w:cs="Times New Roman"/>
          <w:color w:val="auto"/>
          <w:kern w:val="2"/>
          <w:sz w:val="32"/>
          <w:szCs w:val="32"/>
          <w:highlight w:val="none"/>
          <w:lang w:val="en-US" w:eastAsia="zh-CN" w:bidi="ar-SA"/>
        </w:rPr>
        <w:t>健康发展。</w:t>
      </w:r>
    </w:p>
    <w:p w14:paraId="4261026C">
      <w:pPr>
        <w:keepNext/>
        <w:keepLines/>
        <w:widowControl w:val="0"/>
        <w:spacing w:before="260" w:beforeLines="50" w:after="260" w:afterLines="50" w:line="600" w:lineRule="exact"/>
        <w:jc w:val="center"/>
        <w:outlineLvl w:val="1"/>
        <w:rPr>
          <w:rFonts w:ascii="Times New Roman" w:hAnsi="Times New Roman" w:eastAsia="黑体" w:cs="Times New Roman"/>
          <w:color w:val="auto"/>
          <w:kern w:val="2"/>
          <w:sz w:val="32"/>
          <w:szCs w:val="24"/>
          <w:highlight w:val="none"/>
          <w:lang w:val="en-US" w:eastAsia="zh-CN" w:bidi="ar-SA"/>
        </w:rPr>
      </w:pPr>
      <w:bookmarkStart w:id="58" w:name="_Toc9126"/>
      <w:r>
        <w:rPr>
          <w:rFonts w:ascii="Times New Roman" w:hAnsi="Times New Roman" w:eastAsia="黑体" w:cs="Times New Roman"/>
          <w:color w:val="auto"/>
          <w:kern w:val="2"/>
          <w:sz w:val="32"/>
          <w:szCs w:val="24"/>
          <w:highlight w:val="none"/>
          <w:lang w:val="en-US" w:eastAsia="zh-CN" w:bidi="ar-SA"/>
        </w:rPr>
        <w:t>第</w:t>
      </w:r>
      <w:r>
        <w:rPr>
          <w:rFonts w:hint="eastAsia" w:ascii="Times New Roman" w:hAnsi="Times New Roman" w:eastAsia="黑体" w:cs="Times New Roman"/>
          <w:color w:val="auto"/>
          <w:kern w:val="2"/>
          <w:sz w:val="32"/>
          <w:szCs w:val="24"/>
          <w:highlight w:val="none"/>
          <w:lang w:val="en-US" w:eastAsia="zh-CN" w:bidi="ar-SA"/>
        </w:rPr>
        <w:t>四</w:t>
      </w:r>
      <w:r>
        <w:rPr>
          <w:rFonts w:ascii="Times New Roman" w:hAnsi="Times New Roman" w:eastAsia="黑体" w:cs="Times New Roman"/>
          <w:color w:val="auto"/>
          <w:kern w:val="2"/>
          <w:sz w:val="32"/>
          <w:szCs w:val="24"/>
          <w:highlight w:val="none"/>
          <w:lang w:val="en-US" w:eastAsia="zh-CN" w:bidi="ar-SA"/>
        </w:rPr>
        <w:t>节 规划分区</w:t>
      </w:r>
      <w:bookmarkEnd w:id="58"/>
    </w:p>
    <w:p w14:paraId="7CEFB937">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优化规划分区</w:t>
      </w:r>
    </w:p>
    <w:p w14:paraId="30293EFC">
      <w:pPr>
        <w:widowControl w:val="0"/>
        <w:spacing w:line="600" w:lineRule="exact"/>
        <w:ind w:firstLine="640" w:firstLineChars="200"/>
        <w:jc w:val="both"/>
        <w:rPr>
          <w:rFonts w:ascii="Times New Roman" w:hAnsi="Times New Roman" w:eastAsia="仿宋_GB2312" w:cs="Times New Roman"/>
          <w:color w:val="auto"/>
          <w:kern w:val="2"/>
          <w:sz w:val="32"/>
          <w:szCs w:val="24"/>
          <w:lang w:val="en-US" w:eastAsia="zh-CN" w:bidi="ar-SA"/>
        </w:rPr>
      </w:pPr>
      <w:r>
        <w:rPr>
          <w:rFonts w:hint="eastAsia" w:ascii="Times New Roman" w:hAnsi="Times New Roman" w:eastAsia="仿宋_GB2312" w:cs="Times New Roman"/>
          <w:color w:val="auto"/>
          <w:kern w:val="2"/>
          <w:sz w:val="32"/>
          <w:szCs w:val="24"/>
          <w:lang w:val="en-US" w:eastAsia="zh-CN" w:bidi="ar-SA"/>
        </w:rPr>
        <w:t>以国土空间的保护与保留、开发与利用两大功能为导向，</w:t>
      </w:r>
      <w:r>
        <w:rPr>
          <w:rFonts w:hint="eastAsia" w:ascii="仿宋_GB2312" w:hAnsi="仿宋_GB2312" w:eastAsia="仿宋_GB2312" w:cs="仿宋_GB2312"/>
          <w:color w:val="auto"/>
          <w:kern w:val="2"/>
          <w:sz w:val="32"/>
          <w:szCs w:val="28"/>
          <w:highlight w:val="none"/>
          <w:lang w:val="en-US" w:eastAsia="zh-CN" w:bidi="ar-SA"/>
        </w:rPr>
        <w:t>苏家店镇</w:t>
      </w:r>
      <w:r>
        <w:rPr>
          <w:rFonts w:hint="eastAsia" w:ascii="Times New Roman" w:hAnsi="Times New Roman" w:eastAsia="仿宋_GB2312" w:cs="Times New Roman"/>
          <w:color w:val="auto"/>
          <w:kern w:val="2"/>
          <w:sz w:val="32"/>
          <w:szCs w:val="24"/>
          <w:lang w:val="en-US" w:eastAsia="zh-CN" w:bidi="ar-SA"/>
        </w:rPr>
        <w:t>规划分区分为5个一级规划分区。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6811"/>
      </w:tblGrid>
      <w:tr w14:paraId="0DFC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2"/>
            <w:tcBorders>
              <w:tl2br w:val="nil"/>
              <w:tr2bl w:val="nil"/>
            </w:tcBorders>
            <w:shd w:val="clear" w:color="auto" w:fill="auto"/>
            <w:vAlign w:val="center"/>
          </w:tcPr>
          <w:p w14:paraId="5A0A8EE9">
            <w:pPr>
              <w:spacing w:line="240" w:lineRule="auto"/>
              <w:jc w:val="center"/>
              <w:rPr>
                <w:rFonts w:ascii="Times New Roman" w:hAnsi="Times New Roman" w:cs="Times New Roman"/>
                <w:color w:val="auto"/>
                <w:kern w:val="0"/>
                <w:szCs w:val="32"/>
                <w:highlight w:val="none"/>
              </w:rPr>
            </w:pPr>
            <w:r>
              <w:rPr>
                <w:rFonts w:ascii="Times New Roman" w:hAnsi="Times New Roman" w:eastAsia="黑体" w:cs="Times New Roman"/>
                <w:color w:val="auto"/>
                <w:sz w:val="30"/>
                <w:szCs w:val="30"/>
                <w:highlight w:val="none"/>
              </w:rPr>
              <w:t>专栏</w:t>
            </w:r>
            <w:r>
              <w:rPr>
                <w:rFonts w:hint="eastAsia" w:ascii="Times New Roman" w:hAnsi="Times New Roman" w:eastAsia="黑体" w:cs="Times New Roman"/>
                <w:color w:val="auto"/>
                <w:sz w:val="30"/>
                <w:szCs w:val="30"/>
                <w:highlight w:val="none"/>
                <w:lang w:val="en-US" w:eastAsia="zh-CN"/>
              </w:rPr>
              <w:t>1</w:t>
            </w:r>
            <w:r>
              <w:rPr>
                <w:rFonts w:ascii="Times New Roman" w:hAnsi="Times New Roman" w:eastAsia="黑体" w:cs="Times New Roman"/>
                <w:color w:val="auto"/>
                <w:sz w:val="30"/>
                <w:szCs w:val="30"/>
                <w:highlight w:val="none"/>
              </w:rPr>
              <w:t>：规划用途分区及管控规则</w:t>
            </w:r>
          </w:p>
        </w:tc>
      </w:tr>
      <w:tr w14:paraId="2968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04" w:type="pct"/>
            <w:tcBorders>
              <w:tl2br w:val="nil"/>
              <w:tr2bl w:val="nil"/>
            </w:tcBorders>
            <w:shd w:val="clear" w:color="auto" w:fill="auto"/>
            <w:vAlign w:val="center"/>
          </w:tcPr>
          <w:p w14:paraId="099614AE">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类型</w:t>
            </w:r>
          </w:p>
        </w:tc>
        <w:tc>
          <w:tcPr>
            <w:tcW w:w="3995" w:type="pct"/>
            <w:tcBorders>
              <w:tl2br w:val="nil"/>
              <w:tr2bl w:val="nil"/>
            </w:tcBorders>
            <w:shd w:val="clear" w:color="auto" w:fill="auto"/>
            <w:vAlign w:val="center"/>
          </w:tcPr>
          <w:p w14:paraId="0D3F78D4">
            <w:pPr>
              <w:autoSpaceDE w:val="0"/>
              <w:autoSpaceDN w:val="0"/>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管控要求</w:t>
            </w:r>
          </w:p>
        </w:tc>
      </w:tr>
      <w:tr w14:paraId="532A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5A589724">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生态保护区</w:t>
            </w:r>
          </w:p>
        </w:tc>
        <w:tc>
          <w:tcPr>
            <w:tcW w:w="3995" w:type="pct"/>
            <w:tcBorders>
              <w:tl2br w:val="nil"/>
              <w:tr2bl w:val="nil"/>
            </w:tcBorders>
            <w:shd w:val="clear" w:color="auto" w:fill="auto"/>
            <w:vAlign w:val="center"/>
          </w:tcPr>
          <w:p w14:paraId="740A2F28">
            <w:pPr>
              <w:widowControl/>
              <w:spacing w:line="240" w:lineRule="auto"/>
              <w:ind w:firstLine="480" w:firstLineChars="200"/>
              <w:jc w:val="left"/>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应以严格保护、禁止开发区域进行管理，实行最严格的准入制度，严禁任何不符合主体功能定位的开发活动，任何单位和个人不得擅自占用或改变原国土用途。区内原有的林场、工矿等用途区域应严格控制建设行为扩展，并应根据实际发展需要逐步引导退出。</w:t>
            </w:r>
          </w:p>
        </w:tc>
      </w:tr>
      <w:tr w14:paraId="52D0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53D1C011">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生态控制区</w:t>
            </w:r>
          </w:p>
        </w:tc>
        <w:tc>
          <w:tcPr>
            <w:tcW w:w="3995" w:type="pct"/>
            <w:tcBorders>
              <w:tl2br w:val="nil"/>
              <w:tr2bl w:val="nil"/>
            </w:tcBorders>
            <w:shd w:val="clear" w:color="auto" w:fill="auto"/>
            <w:vAlign w:val="center"/>
          </w:tcPr>
          <w:p w14:paraId="05986A01">
            <w:pPr>
              <w:widowControl/>
              <w:spacing w:line="240" w:lineRule="auto"/>
              <w:ind w:firstLine="480" w:firstLineChars="200"/>
              <w:jc w:val="left"/>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本区域采取“名录管理+约束指标+分区准入”相结合的方式细化管理规定，以保护为主，按照限制开发的要求进行管理，允许在不降低生态功能、不破坏自然生态系统、符合准入条件的前提下适度开发利用。</w:t>
            </w:r>
          </w:p>
        </w:tc>
      </w:tr>
      <w:tr w14:paraId="39FD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2C19D970">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农田保护区</w:t>
            </w:r>
          </w:p>
        </w:tc>
        <w:tc>
          <w:tcPr>
            <w:tcW w:w="3995" w:type="pct"/>
            <w:tcBorders>
              <w:tl2br w:val="nil"/>
              <w:tr2bl w:val="nil"/>
            </w:tcBorders>
            <w:shd w:val="clear" w:color="auto" w:fill="auto"/>
            <w:vAlign w:val="center"/>
          </w:tcPr>
          <w:p w14:paraId="0EF44C75">
            <w:pPr>
              <w:widowControl/>
              <w:spacing w:line="240" w:lineRule="auto"/>
              <w:ind w:firstLine="480" w:firstLineChars="200"/>
              <w:jc w:val="left"/>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本区域按照永久基本农田保护的相关法律法规进行管理，区内从严管控非农建设占用永久基本农田，鼓励开展高标准农田建设和土地整治，提高永久基本农田质量。</w:t>
            </w:r>
          </w:p>
        </w:tc>
      </w:tr>
      <w:tr w14:paraId="0F93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384441BF">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城</w:t>
            </w:r>
            <w:r>
              <w:rPr>
                <w:rFonts w:hint="eastAsia" w:ascii="Times New Roman" w:hAnsi="Times New Roman" w:cs="Times New Roman"/>
                <w:color w:val="auto"/>
                <w:sz w:val="24"/>
                <w:highlight w:val="none"/>
                <w:lang w:eastAsia="zh-CN"/>
              </w:rPr>
              <w:t>镇</w:t>
            </w:r>
            <w:r>
              <w:rPr>
                <w:rFonts w:ascii="Times New Roman" w:hAnsi="Times New Roman" w:cs="Times New Roman"/>
                <w:color w:val="auto"/>
                <w:sz w:val="24"/>
                <w:highlight w:val="none"/>
              </w:rPr>
              <w:t>发展区</w:t>
            </w:r>
          </w:p>
        </w:tc>
        <w:tc>
          <w:tcPr>
            <w:tcW w:w="3995" w:type="pct"/>
            <w:tcBorders>
              <w:tl2br w:val="nil"/>
              <w:tr2bl w:val="nil"/>
            </w:tcBorders>
            <w:shd w:val="clear" w:color="auto" w:fill="auto"/>
            <w:vAlign w:val="center"/>
          </w:tcPr>
          <w:p w14:paraId="07382447">
            <w:pPr>
              <w:widowControl/>
              <w:spacing w:line="240" w:lineRule="auto"/>
              <w:ind w:firstLine="480" w:firstLineChars="200"/>
              <w:jc w:val="left"/>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区内实行“详细规划+规划许可”的管理方式。</w:t>
            </w:r>
          </w:p>
        </w:tc>
      </w:tr>
      <w:tr w14:paraId="447B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44933A27">
            <w:pPr>
              <w:spacing w:line="240" w:lineRule="auto"/>
              <w:jc w:val="center"/>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乡</w:t>
            </w:r>
            <w:r>
              <w:rPr>
                <w:rFonts w:ascii="Times New Roman" w:hAnsi="Times New Roman" w:cs="Times New Roman"/>
                <w:color w:val="auto"/>
                <w:sz w:val="24"/>
                <w:highlight w:val="none"/>
              </w:rPr>
              <w:t>村发展区</w:t>
            </w:r>
          </w:p>
        </w:tc>
        <w:tc>
          <w:tcPr>
            <w:tcW w:w="3995" w:type="pct"/>
            <w:tcBorders>
              <w:tl2br w:val="nil"/>
              <w:tr2bl w:val="nil"/>
            </w:tcBorders>
            <w:shd w:val="clear" w:color="auto" w:fill="auto"/>
            <w:vAlign w:val="center"/>
          </w:tcPr>
          <w:p w14:paraId="66568FF5">
            <w:pPr>
              <w:widowControl/>
              <w:spacing w:line="240" w:lineRule="auto"/>
              <w:ind w:firstLine="480" w:firstLineChars="200"/>
              <w:jc w:val="left"/>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以促进农业和</w:t>
            </w:r>
            <w:r>
              <w:rPr>
                <w:rFonts w:hint="eastAsia" w:ascii="Times New Roman" w:hAnsi="Times New Roman" w:cs="Times New Roman"/>
                <w:color w:val="auto"/>
                <w:kern w:val="0"/>
                <w:sz w:val="24"/>
                <w:highlight w:val="none"/>
                <w:lang w:eastAsia="zh-CN"/>
              </w:rPr>
              <w:t>乡</w:t>
            </w:r>
            <w:r>
              <w:rPr>
                <w:rFonts w:ascii="Times New Roman" w:hAnsi="Times New Roman" w:cs="Times New Roman"/>
                <w:color w:val="auto"/>
                <w:kern w:val="0"/>
                <w:sz w:val="24"/>
                <w:highlight w:val="none"/>
              </w:rPr>
              <w:t>村特色产业发展、改善农民生产生活条件为导向，统筹协调村庄建设、农田和生态保护。保障农业和</w:t>
            </w:r>
            <w:r>
              <w:rPr>
                <w:rFonts w:hint="eastAsia" w:ascii="Times New Roman" w:hAnsi="Times New Roman" w:cs="Times New Roman"/>
                <w:color w:val="auto"/>
                <w:kern w:val="0"/>
                <w:sz w:val="24"/>
                <w:highlight w:val="none"/>
                <w:lang w:eastAsia="zh-CN"/>
              </w:rPr>
              <w:t>乡</w:t>
            </w:r>
            <w:r>
              <w:rPr>
                <w:rFonts w:ascii="Times New Roman" w:hAnsi="Times New Roman" w:cs="Times New Roman"/>
                <w:color w:val="auto"/>
                <w:kern w:val="0"/>
                <w:sz w:val="24"/>
                <w:highlight w:val="none"/>
              </w:rPr>
              <w:t>村产业发展及其配套设施建设，以及为改善农村人居环境而进行的村庄建设与整治。严禁集中连片的城</w:t>
            </w:r>
            <w:r>
              <w:rPr>
                <w:rFonts w:hint="eastAsia" w:ascii="Times New Roman" w:hAnsi="Times New Roman" w:cs="Times New Roman"/>
                <w:color w:val="auto"/>
                <w:kern w:val="0"/>
                <w:sz w:val="24"/>
                <w:highlight w:val="none"/>
                <w:lang w:eastAsia="zh-CN"/>
              </w:rPr>
              <w:t>镇</w:t>
            </w:r>
            <w:r>
              <w:rPr>
                <w:rFonts w:ascii="Times New Roman" w:hAnsi="Times New Roman" w:cs="Times New Roman"/>
                <w:color w:val="auto"/>
                <w:kern w:val="0"/>
                <w:sz w:val="24"/>
                <w:highlight w:val="none"/>
              </w:rPr>
              <w:t>开发建设。</w:t>
            </w:r>
          </w:p>
          <w:p w14:paraId="37031308">
            <w:pPr>
              <w:widowControl/>
              <w:spacing w:line="240" w:lineRule="auto"/>
              <w:ind w:firstLine="480" w:firstLineChars="200"/>
              <w:jc w:val="left"/>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其中，林业发展</w:t>
            </w:r>
            <w:r>
              <w:rPr>
                <w:rFonts w:hint="eastAsia" w:ascii="Times New Roman" w:hAnsi="Times New Roman" w:cs="Times New Roman"/>
                <w:color w:val="auto"/>
                <w:kern w:val="0"/>
                <w:sz w:val="24"/>
                <w:highlight w:val="none"/>
              </w:rPr>
              <w:t>区</w:t>
            </w:r>
            <w:r>
              <w:rPr>
                <w:rFonts w:ascii="Times New Roman" w:hAnsi="Times New Roman" w:cs="Times New Roman"/>
                <w:color w:val="auto"/>
                <w:kern w:val="0"/>
                <w:sz w:val="24"/>
                <w:highlight w:val="none"/>
              </w:rPr>
              <w:t>鼓励依据国土空间规划及其他相关规划，实施生态修复工程，提升生态环境质量。从严控制商业性经营设施建设用地准入，严禁未经审批毁林开垦和使用林地等涉林违法违规行为，严格限制采石取土等用地准入，限制勘查、开采矿藏和其他项目用地准入。</w:t>
            </w:r>
          </w:p>
        </w:tc>
      </w:tr>
      <w:tr w14:paraId="1847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pct"/>
            <w:tcBorders>
              <w:tl2br w:val="nil"/>
              <w:tr2bl w:val="nil"/>
            </w:tcBorders>
            <w:shd w:val="clear" w:color="auto" w:fill="auto"/>
            <w:vAlign w:val="center"/>
          </w:tcPr>
          <w:p w14:paraId="286C856D">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矿产能源发展区</w:t>
            </w:r>
          </w:p>
        </w:tc>
        <w:tc>
          <w:tcPr>
            <w:tcW w:w="3995" w:type="pct"/>
            <w:tcBorders>
              <w:tl2br w:val="nil"/>
              <w:tr2bl w:val="nil"/>
            </w:tcBorders>
            <w:shd w:val="clear" w:color="auto" w:fill="auto"/>
            <w:vAlign w:val="center"/>
          </w:tcPr>
          <w:p w14:paraId="000BABFA">
            <w:pPr>
              <w:widowControl/>
              <w:spacing w:line="240" w:lineRule="auto"/>
              <w:ind w:firstLine="480" w:firstLineChars="200"/>
              <w:jc w:val="left"/>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对矿产资源开发进行合理布局，严格矿产资源开采规划准入管理，严禁在水源保护区、自然保护地等环境敏感区、重要生态功能保护区内开发利用矿产资源。建立和完善绿色矿业发展机制，最大限度地减少矿产能源开发对生态环境的影响，现有矿区在开采期内按绿色矿山标准实行开采，开采期结束后应由矿山企业采取生态修复手段恢复矿区地质环境。</w:t>
            </w:r>
          </w:p>
        </w:tc>
      </w:tr>
    </w:tbl>
    <w:p w14:paraId="0E077E04">
      <w:pPr>
        <w:keepNext/>
        <w:keepLines/>
        <w:widowControl w:val="0"/>
        <w:spacing w:before="260" w:beforeLines="50" w:after="260" w:afterLines="50" w:line="600" w:lineRule="exact"/>
        <w:jc w:val="center"/>
        <w:outlineLvl w:val="1"/>
        <w:rPr>
          <w:rFonts w:ascii="Times New Roman" w:hAnsi="Times New Roman" w:eastAsia="黑体" w:cs="Times New Roman"/>
          <w:color w:val="auto"/>
          <w:kern w:val="2"/>
          <w:sz w:val="32"/>
          <w:szCs w:val="24"/>
          <w:highlight w:val="none"/>
          <w:lang w:val="en-US" w:eastAsia="zh-CN" w:bidi="ar-SA"/>
        </w:rPr>
      </w:pPr>
      <w:bookmarkStart w:id="59" w:name="_Toc15170"/>
      <w:r>
        <w:rPr>
          <w:rFonts w:ascii="Times New Roman" w:hAnsi="Times New Roman" w:eastAsia="黑体" w:cs="Times New Roman"/>
          <w:color w:val="auto"/>
          <w:kern w:val="2"/>
          <w:sz w:val="32"/>
          <w:szCs w:val="24"/>
          <w:highlight w:val="none"/>
          <w:lang w:val="en-US" w:eastAsia="zh-CN" w:bidi="ar-SA"/>
        </w:rPr>
        <w:t>第</w:t>
      </w:r>
      <w:r>
        <w:rPr>
          <w:rFonts w:hint="eastAsia" w:ascii="Times New Roman" w:hAnsi="Times New Roman" w:eastAsia="黑体" w:cs="Times New Roman"/>
          <w:color w:val="auto"/>
          <w:kern w:val="2"/>
          <w:sz w:val="32"/>
          <w:szCs w:val="24"/>
          <w:highlight w:val="none"/>
          <w:lang w:val="en-US" w:eastAsia="zh-CN" w:bidi="ar-SA"/>
        </w:rPr>
        <w:t>五</w:t>
      </w:r>
      <w:r>
        <w:rPr>
          <w:rFonts w:ascii="Times New Roman" w:hAnsi="Times New Roman" w:eastAsia="黑体" w:cs="Times New Roman"/>
          <w:color w:val="auto"/>
          <w:kern w:val="2"/>
          <w:sz w:val="32"/>
          <w:szCs w:val="24"/>
          <w:highlight w:val="none"/>
          <w:lang w:val="en-US" w:eastAsia="zh-CN" w:bidi="ar-SA"/>
        </w:rPr>
        <w:t>节 国土空间用地功能结构调整</w:t>
      </w:r>
      <w:bookmarkEnd w:id="59"/>
    </w:p>
    <w:p w14:paraId="7830D6C4">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农用地结构调整</w:t>
      </w:r>
    </w:p>
    <w:p w14:paraId="2C41C326">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严守耕地红线，推行耕地生</w:t>
      </w:r>
      <w:r>
        <w:rPr>
          <w:rFonts w:hint="eastAsia" w:ascii="Times New Roman" w:hAnsi="Times New Roman" w:eastAsia="仿宋_GB2312" w:cs="Times New Roman"/>
          <w:color w:val="auto"/>
          <w:kern w:val="2"/>
          <w:sz w:val="32"/>
          <w:szCs w:val="32"/>
          <w:highlight w:val="none"/>
          <w:lang w:val="en-US" w:eastAsia="zh-CN" w:bidi="ar-SA"/>
        </w:rPr>
        <w:t>态化</w:t>
      </w:r>
      <w:r>
        <w:rPr>
          <w:rFonts w:ascii="Times New Roman" w:hAnsi="Times New Roman" w:eastAsia="仿宋_GB2312" w:cs="Times New Roman"/>
          <w:color w:val="auto"/>
          <w:kern w:val="2"/>
          <w:sz w:val="32"/>
          <w:szCs w:val="32"/>
          <w:highlight w:val="none"/>
          <w:lang w:val="en-US" w:eastAsia="zh-CN" w:bidi="ar-SA"/>
        </w:rPr>
        <w:t>，确保农业空间稳定性。优先保障粮食安全，在黑土侵蚀、农业不适宜耕作、水土流失地区、不稳定耕地区域实行退耕还林还草还湿，实现农业可持续发展。</w:t>
      </w:r>
    </w:p>
    <w:p w14:paraId="71B75D9B">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建设用地结构调整</w:t>
      </w:r>
    </w:p>
    <w:p w14:paraId="246DF6A6">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严控建设用地总规模，提高土地集约节约度，高效利用建设用地。按照“框定总量、限定容量、盘活存量、做优增量，提高质量”的思路，合理调整建设用地结构，通过空心村用地整治、城</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增减挂钩等措施集约高效利用城</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建设用地，加快废弃工矿用地整理，加快闲置用地及批而未用土地处置。优先保障国家、</w:t>
      </w:r>
      <w:r>
        <w:rPr>
          <w:rFonts w:hint="eastAsia" w:ascii="Times New Roman" w:hAnsi="Times New Roman" w:eastAsia="仿宋_GB2312" w:cs="Times New Roman"/>
          <w:color w:val="auto"/>
          <w:kern w:val="2"/>
          <w:sz w:val="32"/>
          <w:szCs w:val="32"/>
          <w:highlight w:val="none"/>
          <w:lang w:val="en-US" w:eastAsia="zh-CN" w:bidi="ar-SA"/>
        </w:rPr>
        <w:t>省</w:t>
      </w:r>
      <w:r>
        <w:rPr>
          <w:rFonts w:ascii="Times New Roman" w:hAnsi="Times New Roman" w:eastAsia="仿宋_GB2312" w:cs="Times New Roman"/>
          <w:color w:val="auto"/>
          <w:kern w:val="2"/>
          <w:sz w:val="32"/>
          <w:szCs w:val="32"/>
          <w:highlight w:val="none"/>
          <w:lang w:val="en-US" w:eastAsia="zh-CN" w:bidi="ar-SA"/>
        </w:rPr>
        <w:t>级重点项目及民生项目建设，实现城</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建设用地增长。</w:t>
      </w:r>
    </w:p>
    <w:p w14:paraId="43D6C5E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其他用地结构调整</w:t>
      </w:r>
    </w:p>
    <w:p w14:paraId="3E6E8AF0">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60" w:name="_Toc72936511"/>
      <w:bookmarkStart w:id="61" w:name="_Toc72936502"/>
      <w:r>
        <w:rPr>
          <w:rFonts w:ascii="Times New Roman" w:hAnsi="Times New Roman" w:eastAsia="仿宋_GB2312" w:cs="Times New Roman"/>
          <w:color w:val="auto"/>
          <w:kern w:val="2"/>
          <w:sz w:val="32"/>
          <w:szCs w:val="32"/>
          <w:highlight w:val="none"/>
          <w:lang w:val="en-US" w:eastAsia="zh-CN" w:bidi="ar-SA"/>
        </w:rPr>
        <w:t>提升全域生态价值，优先满足生态用地。保护森林、</w:t>
      </w:r>
      <w:r>
        <w:rPr>
          <w:rFonts w:hint="eastAsia" w:ascii="Times New Roman" w:hAnsi="Times New Roman" w:eastAsia="仿宋_GB2312" w:cs="Times New Roman"/>
          <w:color w:val="auto"/>
          <w:kern w:val="2"/>
          <w:sz w:val="32"/>
          <w:szCs w:val="32"/>
          <w:highlight w:val="none"/>
          <w:lang w:val="en-US" w:eastAsia="zh-CN" w:bidi="ar-SA"/>
        </w:rPr>
        <w:t>河</w:t>
      </w:r>
      <w:r>
        <w:rPr>
          <w:rFonts w:ascii="Times New Roman" w:hAnsi="Times New Roman" w:eastAsia="仿宋_GB2312" w:cs="Times New Roman"/>
          <w:color w:val="auto"/>
          <w:kern w:val="2"/>
          <w:sz w:val="32"/>
          <w:szCs w:val="32"/>
          <w:highlight w:val="none"/>
          <w:lang w:val="en-US" w:eastAsia="zh-CN" w:bidi="ar-SA"/>
        </w:rPr>
        <w:t>流等重要生态功能用地，优化生态用地结构，拓展蓝绿空间，提升生态服务功能。</w:t>
      </w:r>
    </w:p>
    <w:p w14:paraId="35E1B7B2">
      <w:pPr>
        <w:rPr>
          <w:rFonts w:ascii="Calibri" w:hAnsi="Calibri" w:cs="Times New Roman"/>
          <w:color w:val="auto"/>
          <w:szCs w:val="32"/>
          <w:highlight w:val="none"/>
        </w:rPr>
      </w:pPr>
      <w:r>
        <w:rPr>
          <w:rFonts w:ascii="Calibri" w:hAnsi="Calibri" w:cs="Times New Roman"/>
          <w:color w:val="auto"/>
          <w:szCs w:val="32"/>
          <w:highlight w:val="none"/>
        </w:rPr>
        <w:br w:type="page"/>
      </w:r>
    </w:p>
    <w:bookmarkEnd w:id="60"/>
    <w:bookmarkEnd w:id="61"/>
    <w:p w14:paraId="1557C7E5">
      <w:pPr>
        <w:keepNext/>
        <w:keepLines w:val="0"/>
        <w:widowControl w:val="0"/>
        <w:numPr>
          <w:ilvl w:val="0"/>
          <w:numId w:val="0"/>
        </w:numPr>
        <w:spacing w:before="340" w:beforeLines="50" w:after="330" w:afterLines="50" w:line="600" w:lineRule="exact"/>
        <w:jc w:val="center"/>
        <w:outlineLvl w:val="0"/>
        <w:rPr>
          <w:rFonts w:ascii="Times New Roman" w:hAnsi="Times New Roman" w:eastAsia="方正小标宋简体" w:cs="Times New Roman"/>
          <w:color w:val="auto"/>
          <w:kern w:val="44"/>
          <w:sz w:val="36"/>
          <w:szCs w:val="24"/>
          <w:highlight w:val="none"/>
          <w:lang w:val="en-US" w:eastAsia="zh-CN" w:bidi="ar-SA"/>
        </w:rPr>
      </w:pPr>
      <w:bookmarkStart w:id="62" w:name="_Toc19040"/>
      <w:bookmarkStart w:id="63" w:name="_Toc22107"/>
      <w:r>
        <w:rPr>
          <w:rFonts w:ascii="Times New Roman" w:hAnsi="Times New Roman" w:eastAsia="方正小标宋简体" w:cs="Times New Roman"/>
          <w:color w:val="auto"/>
          <w:kern w:val="44"/>
          <w:sz w:val="36"/>
          <w:szCs w:val="36"/>
          <w:highlight w:val="none"/>
          <w:lang w:val="en-US" w:eastAsia="zh-CN" w:bidi="ar-SA"/>
        </w:rPr>
        <w:t>第</w:t>
      </w:r>
      <w:r>
        <w:rPr>
          <w:rFonts w:hint="eastAsia" w:ascii="Times New Roman" w:hAnsi="Times New Roman" w:eastAsia="方正小标宋简体" w:cs="Times New Roman"/>
          <w:color w:val="auto"/>
          <w:kern w:val="44"/>
          <w:sz w:val="36"/>
          <w:szCs w:val="36"/>
          <w:highlight w:val="none"/>
          <w:lang w:val="en-US" w:eastAsia="zh-CN" w:bidi="ar-SA"/>
        </w:rPr>
        <w:t>四</w:t>
      </w:r>
      <w:r>
        <w:rPr>
          <w:rFonts w:ascii="Times New Roman" w:hAnsi="Times New Roman" w:eastAsia="方正小标宋简体" w:cs="Times New Roman"/>
          <w:color w:val="auto"/>
          <w:kern w:val="44"/>
          <w:sz w:val="36"/>
          <w:szCs w:val="36"/>
          <w:highlight w:val="none"/>
          <w:lang w:val="en-US" w:eastAsia="zh-CN" w:bidi="ar-SA"/>
        </w:rPr>
        <w:t xml:space="preserve">章 </w:t>
      </w:r>
      <w:r>
        <w:rPr>
          <w:rFonts w:hint="eastAsia" w:ascii="Times New Roman" w:hAnsi="Times New Roman" w:eastAsia="方正小标宋简体" w:cs="Times New Roman"/>
          <w:color w:val="auto"/>
          <w:kern w:val="44"/>
          <w:sz w:val="36"/>
          <w:szCs w:val="36"/>
          <w:highlight w:val="none"/>
          <w:lang w:val="en-US" w:eastAsia="zh-CN" w:bidi="ar-SA"/>
        </w:rPr>
        <w:t>空间布局优化</w:t>
      </w:r>
      <w:bookmarkEnd w:id="62"/>
    </w:p>
    <w:p w14:paraId="2D679E31">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64" w:name="_Toc141431243"/>
      <w:bookmarkStart w:id="65" w:name="_Toc18020"/>
      <w:bookmarkStart w:id="66" w:name="_Hlk175289020"/>
      <w:bookmarkStart w:id="67" w:name="_Toc141538963"/>
      <w:r>
        <w:rPr>
          <w:rFonts w:ascii="Times New Roman" w:hAnsi="Times New Roman" w:eastAsia="黑体" w:cs="Times New Roman"/>
          <w:color w:val="auto"/>
          <w:kern w:val="2"/>
          <w:sz w:val="32"/>
          <w:szCs w:val="24"/>
          <w:highlight w:val="none"/>
          <w:lang w:val="en-US" w:eastAsia="zh-CN" w:bidi="ar-SA"/>
        </w:rPr>
        <w:t xml:space="preserve">第一节 </w:t>
      </w:r>
      <w:bookmarkEnd w:id="64"/>
      <w:r>
        <w:rPr>
          <w:rFonts w:hint="eastAsia" w:ascii="Times New Roman" w:hAnsi="Times New Roman" w:eastAsia="黑体" w:cs="Times New Roman"/>
          <w:color w:val="auto"/>
          <w:kern w:val="2"/>
          <w:sz w:val="32"/>
          <w:szCs w:val="24"/>
          <w:highlight w:val="none"/>
          <w:lang w:val="en-US" w:eastAsia="zh-CN" w:bidi="ar-SA"/>
        </w:rPr>
        <w:t>构建现代农业空间</w:t>
      </w:r>
      <w:bookmarkEnd w:id="65"/>
    </w:p>
    <w:bookmarkEnd w:id="66"/>
    <w:p w14:paraId="2C9268F7">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农业总体格局</w:t>
      </w:r>
    </w:p>
    <w:p w14:paraId="67B920B5">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8"/>
          <w:highlight w:val="none"/>
          <w:lang w:val="en-US" w:eastAsia="zh-CN" w:bidi="ar-SA"/>
        </w:rPr>
      </w:pPr>
      <w:bookmarkStart w:id="68" w:name="_Hlk175289113"/>
      <w:r>
        <w:rPr>
          <w:rFonts w:ascii="Times New Roman" w:hAnsi="Times New Roman" w:eastAsia="仿宋_GB2312" w:cs="Times New Roman"/>
          <w:color w:val="auto"/>
          <w:kern w:val="2"/>
          <w:sz w:val="32"/>
          <w:szCs w:val="28"/>
          <w:highlight w:val="none"/>
          <w:lang w:val="en-US" w:eastAsia="zh-CN" w:bidi="ar-SA"/>
        </w:rPr>
        <w:t>落实三江平原国家农产品主产区功能定位要求，保障国家粮食安全；树立大食物观，保障优质水稻、玉米、大豆和畜禽产品供给，拓展农产品多样化生产空间，支撑农业规模化、优质化、特色化、科技化发展，构建“一心、两轴、三区”的农业空间格局。</w:t>
      </w:r>
    </w:p>
    <w:p w14:paraId="023DB623">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8"/>
          <w:highlight w:val="none"/>
          <w:lang w:val="en-US" w:eastAsia="zh-CN" w:bidi="ar-SA"/>
        </w:rPr>
      </w:pPr>
      <w:r>
        <w:rPr>
          <w:rFonts w:ascii="Times New Roman" w:hAnsi="Times New Roman" w:eastAsia="仿宋_GB2312" w:cs="Times New Roman"/>
          <w:color w:val="auto"/>
          <w:kern w:val="2"/>
          <w:sz w:val="32"/>
          <w:szCs w:val="28"/>
          <w:highlight w:val="none"/>
          <w:lang w:val="en-US" w:eastAsia="zh-CN" w:bidi="ar-SA"/>
        </w:rPr>
        <w:t>“一心”依托于</w:t>
      </w:r>
      <w:r>
        <w:rPr>
          <w:rFonts w:hint="eastAsia" w:ascii="Times New Roman" w:hAnsi="Times New Roman" w:eastAsia="仿宋_GB2312" w:cs="Times New Roman"/>
          <w:color w:val="auto"/>
          <w:kern w:val="2"/>
          <w:sz w:val="32"/>
          <w:szCs w:val="28"/>
          <w:highlight w:val="none"/>
          <w:lang w:val="en-US" w:eastAsia="zh-CN" w:bidi="ar-SA"/>
        </w:rPr>
        <w:t>镇</w:t>
      </w:r>
      <w:r>
        <w:rPr>
          <w:rFonts w:ascii="Times New Roman" w:hAnsi="Times New Roman" w:eastAsia="仿宋_GB2312" w:cs="Times New Roman"/>
          <w:color w:val="auto"/>
          <w:kern w:val="2"/>
          <w:sz w:val="32"/>
          <w:szCs w:val="28"/>
          <w:highlight w:val="none"/>
          <w:lang w:val="en-US" w:eastAsia="zh-CN" w:bidi="ar-SA"/>
        </w:rPr>
        <w:t>政府驻地打造农业服务核心。</w:t>
      </w:r>
    </w:p>
    <w:p w14:paraId="2504B2BD">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8"/>
          <w:highlight w:val="none"/>
          <w:lang w:val="en-US" w:eastAsia="zh-CN" w:bidi="ar-SA"/>
        </w:rPr>
      </w:pPr>
      <w:r>
        <w:rPr>
          <w:rFonts w:ascii="Times New Roman" w:hAnsi="Times New Roman" w:eastAsia="仿宋_GB2312" w:cs="Times New Roman"/>
          <w:color w:val="auto"/>
          <w:kern w:val="2"/>
          <w:sz w:val="32"/>
          <w:szCs w:val="28"/>
          <w:highlight w:val="none"/>
          <w:lang w:val="en-US" w:eastAsia="zh-CN" w:bidi="ar-SA"/>
        </w:rPr>
        <w:t>“两轴”指两条农业发展</w:t>
      </w:r>
      <w:r>
        <w:rPr>
          <w:rFonts w:ascii="Times New Roman" w:hAnsi="Times New Roman" w:eastAsia="仿宋_GB2312" w:cs="Times New Roman"/>
          <w:color w:val="auto"/>
          <w:kern w:val="2"/>
          <w:sz w:val="32"/>
          <w:szCs w:val="28"/>
          <w:highlight w:val="none"/>
          <w:shd w:val="clear" w:color="auto" w:fill="FFFFFF"/>
          <w:lang w:val="en-US" w:eastAsia="zh-CN" w:bidi="ar-SA"/>
        </w:rPr>
        <w:t>轴</w:t>
      </w:r>
      <w:r>
        <w:rPr>
          <w:rFonts w:ascii="Times New Roman" w:hAnsi="Times New Roman" w:eastAsia="仿宋_GB2312" w:cs="Times New Roman"/>
          <w:color w:val="auto"/>
          <w:kern w:val="2"/>
          <w:sz w:val="32"/>
          <w:szCs w:val="28"/>
          <w:highlight w:val="none"/>
          <w:lang w:val="en-US" w:eastAsia="zh-CN" w:bidi="ar-SA"/>
        </w:rPr>
        <w:t>，一条是南北向的农业发展主轴，一条是自</w:t>
      </w:r>
      <w:r>
        <w:rPr>
          <w:rFonts w:hint="eastAsia" w:ascii="Times New Roman" w:hAnsi="Times New Roman" w:eastAsia="仿宋_GB2312" w:cs="Times New Roman"/>
          <w:color w:val="auto"/>
          <w:kern w:val="2"/>
          <w:sz w:val="32"/>
          <w:szCs w:val="28"/>
          <w:highlight w:val="none"/>
          <w:lang w:val="en-US" w:eastAsia="zh-CN" w:bidi="ar-SA"/>
        </w:rPr>
        <w:t>镇</w:t>
      </w:r>
      <w:r>
        <w:rPr>
          <w:rFonts w:ascii="Times New Roman" w:hAnsi="Times New Roman" w:eastAsia="仿宋_GB2312" w:cs="Times New Roman"/>
          <w:color w:val="auto"/>
          <w:kern w:val="2"/>
          <w:sz w:val="32"/>
          <w:szCs w:val="28"/>
          <w:highlight w:val="none"/>
          <w:lang w:val="en-US" w:eastAsia="zh-CN" w:bidi="ar-SA"/>
        </w:rPr>
        <w:t>政府驻地向西的农业发展副轴。</w:t>
      </w:r>
    </w:p>
    <w:p w14:paraId="6746F8F3">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8"/>
          <w:highlight w:val="none"/>
          <w:lang w:val="en-US" w:eastAsia="zh-CN" w:bidi="ar-SA"/>
        </w:rPr>
      </w:pPr>
      <w:r>
        <w:rPr>
          <w:rFonts w:ascii="Times New Roman" w:hAnsi="Times New Roman" w:eastAsia="仿宋_GB2312" w:cs="Times New Roman"/>
          <w:color w:val="auto"/>
          <w:kern w:val="2"/>
          <w:sz w:val="32"/>
          <w:szCs w:val="28"/>
          <w:highlight w:val="none"/>
          <w:lang w:val="en-US" w:eastAsia="zh-CN" w:bidi="ar-SA"/>
        </w:rPr>
        <w:t>“三区”指东部滨水生态农业区、西部农业综合发展区和南部特色农业发展区。滨水生态农业区以丰收</w:t>
      </w:r>
      <w:r>
        <w:rPr>
          <w:rFonts w:ascii="Times New Roman" w:hAnsi="Times New Roman" w:eastAsia="仿宋_GB2312" w:cs="Times New Roman"/>
          <w:color w:val="auto"/>
          <w:kern w:val="2"/>
          <w:sz w:val="32"/>
          <w:szCs w:val="28"/>
          <w:highlight w:val="none"/>
          <w:shd w:val="clear" w:color="auto" w:fill="FFFFFF"/>
          <w:lang w:val="en-US" w:eastAsia="zh-CN" w:bidi="ar-SA"/>
        </w:rPr>
        <w:t>沟</w:t>
      </w:r>
      <w:r>
        <w:rPr>
          <w:rFonts w:ascii="Times New Roman" w:hAnsi="Times New Roman" w:eastAsia="仿宋_GB2312" w:cs="Times New Roman"/>
          <w:color w:val="auto"/>
          <w:kern w:val="2"/>
          <w:sz w:val="32"/>
          <w:szCs w:val="28"/>
          <w:highlight w:val="none"/>
          <w:lang w:val="en-US" w:eastAsia="zh-CN" w:bidi="ar-SA"/>
        </w:rPr>
        <w:t>水系南侧大面积耕地为基底，水资源丰富，是</w:t>
      </w:r>
      <w:r>
        <w:rPr>
          <w:rFonts w:hint="eastAsia" w:ascii="Times New Roman" w:hAnsi="Times New Roman" w:eastAsia="仿宋_GB2312" w:cs="Times New Roman"/>
          <w:color w:val="auto"/>
          <w:kern w:val="2"/>
          <w:sz w:val="32"/>
          <w:szCs w:val="28"/>
          <w:highlight w:val="none"/>
          <w:shd w:val="clear" w:color="auto" w:fill="FFFFFF"/>
          <w:lang w:val="en-US" w:eastAsia="zh-CN" w:bidi="ar-SA"/>
        </w:rPr>
        <w:t>镇</w:t>
      </w:r>
      <w:r>
        <w:rPr>
          <w:rFonts w:ascii="Times New Roman" w:hAnsi="Times New Roman" w:eastAsia="仿宋_GB2312" w:cs="Times New Roman"/>
          <w:color w:val="auto"/>
          <w:kern w:val="2"/>
          <w:sz w:val="32"/>
          <w:szCs w:val="28"/>
          <w:highlight w:val="none"/>
          <w:shd w:val="clear" w:color="auto" w:fill="FFFFFF"/>
          <w:lang w:val="en-US" w:eastAsia="zh-CN" w:bidi="ar-SA"/>
        </w:rPr>
        <w:t>域</w:t>
      </w:r>
      <w:r>
        <w:rPr>
          <w:rFonts w:ascii="Times New Roman" w:hAnsi="Times New Roman" w:eastAsia="仿宋_GB2312" w:cs="Times New Roman"/>
          <w:color w:val="auto"/>
          <w:kern w:val="2"/>
          <w:sz w:val="32"/>
          <w:szCs w:val="28"/>
          <w:highlight w:val="none"/>
          <w:lang w:val="en-US" w:eastAsia="zh-CN" w:bidi="ar-SA"/>
        </w:rPr>
        <w:t>水田主要集中耕作区域。西部农业综合服务区借助</w:t>
      </w:r>
      <w:r>
        <w:rPr>
          <w:rFonts w:hint="eastAsia" w:ascii="Times New Roman" w:hAnsi="Times New Roman" w:eastAsia="仿宋_GB2312" w:cs="Times New Roman"/>
          <w:color w:val="auto"/>
          <w:kern w:val="2"/>
          <w:sz w:val="32"/>
          <w:szCs w:val="28"/>
          <w:highlight w:val="none"/>
          <w:lang w:val="en-US" w:eastAsia="zh-CN" w:bidi="ar-SA"/>
        </w:rPr>
        <w:t>镇</w:t>
      </w:r>
      <w:r>
        <w:rPr>
          <w:rFonts w:ascii="Times New Roman" w:hAnsi="Times New Roman" w:eastAsia="仿宋_GB2312" w:cs="Times New Roman"/>
          <w:color w:val="auto"/>
          <w:kern w:val="2"/>
          <w:sz w:val="32"/>
          <w:szCs w:val="28"/>
          <w:highlight w:val="none"/>
          <w:lang w:val="en-US" w:eastAsia="zh-CN" w:bidi="ar-SA"/>
        </w:rPr>
        <w:t>政府驻地的发展优势，以种植业、养殖业为基础，重点向农产品加工、酒水加工等方向发展。南部特色发展区以粮食种植为基础，重点发展生猪、</w:t>
      </w:r>
      <w:r>
        <w:rPr>
          <w:rFonts w:ascii="Times New Roman" w:hAnsi="Times New Roman" w:eastAsia="仿宋_GB2312" w:cs="Times New Roman"/>
          <w:color w:val="auto"/>
          <w:kern w:val="2"/>
          <w:sz w:val="32"/>
          <w:szCs w:val="32"/>
          <w:highlight w:val="none"/>
          <w:lang w:val="en-US" w:eastAsia="zh-CN" w:bidi="ar-SA"/>
        </w:rPr>
        <w:t>肉</w:t>
      </w:r>
      <w:r>
        <w:rPr>
          <w:rFonts w:ascii="Times New Roman" w:hAnsi="Times New Roman" w:eastAsia="仿宋_GB2312" w:cs="Times New Roman"/>
          <w:color w:val="auto"/>
          <w:kern w:val="2"/>
          <w:sz w:val="32"/>
          <w:szCs w:val="28"/>
          <w:highlight w:val="none"/>
          <w:lang w:val="en-US" w:eastAsia="zh-CN" w:bidi="ar-SA"/>
        </w:rPr>
        <w:t>牛、乌鸡的规模化养殖，发展庭院经济等特色种植。</w:t>
      </w:r>
    </w:p>
    <w:bookmarkEnd w:id="67"/>
    <w:bookmarkEnd w:id="68"/>
    <w:p w14:paraId="4A5D0446">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严保耕地和落实永久基本农田红线</w:t>
      </w:r>
    </w:p>
    <w:p w14:paraId="4FDB7373">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u w:val="single"/>
          <w:lang w:val="en-US" w:eastAsia="zh-CN" w:bidi="ar-SA"/>
        </w:rPr>
      </w:pPr>
      <w:bookmarkStart w:id="69" w:name="_Hlk175287152"/>
      <w:r>
        <w:rPr>
          <w:rFonts w:ascii="Times New Roman" w:hAnsi="Times New Roman" w:eastAsia="仿宋_GB2312" w:cs="Times New Roman"/>
          <w:color w:val="auto"/>
          <w:kern w:val="2"/>
          <w:sz w:val="32"/>
          <w:szCs w:val="24"/>
          <w:highlight w:val="none"/>
          <w:lang w:val="en-US" w:eastAsia="zh-CN" w:bidi="ar-SA"/>
        </w:rPr>
        <w:t>落实耕地数量、质量、生态“三位一体”保护，</w:t>
      </w:r>
      <w:r>
        <w:rPr>
          <w:rFonts w:ascii="Times New Roman" w:hAnsi="Times New Roman" w:eastAsia="仿宋_GB2312" w:cs="Times New Roman"/>
          <w:color w:val="auto"/>
          <w:kern w:val="2"/>
          <w:sz w:val="32"/>
          <w:szCs w:val="32"/>
          <w:highlight w:val="none"/>
          <w:lang w:val="en-US" w:eastAsia="zh-CN" w:bidi="ar-SA"/>
        </w:rPr>
        <w:t>落实</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级规划确定的耕地和永久基本农田保护界线，以现状稳定耕地为基础，优先将优质耕地划为永久基本农田。</w:t>
      </w:r>
    </w:p>
    <w:bookmarkEnd w:id="69"/>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8"/>
        <w:gridCol w:w="5284"/>
      </w:tblGrid>
      <w:tr w14:paraId="5B17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22" w:type="dxa"/>
            <w:gridSpan w:val="2"/>
            <w:vAlign w:val="center"/>
          </w:tcPr>
          <w:p w14:paraId="288669CD">
            <w:pPr>
              <w:widowControl w:val="0"/>
              <w:spacing w:line="240" w:lineRule="auto"/>
              <w:ind w:firstLine="0" w:firstLineChars="0"/>
              <w:jc w:val="center"/>
              <w:rPr>
                <w:rFonts w:ascii="Times New Roman" w:hAnsi="Times New Roman" w:eastAsia="仿宋_GB2312" w:cs="Times New Roman"/>
                <w:color w:val="auto"/>
                <w:kern w:val="0"/>
                <w:sz w:val="24"/>
                <w:szCs w:val="24"/>
                <w:highlight w:val="none"/>
                <w:lang w:val="en-US" w:eastAsia="zh-CN" w:bidi="ar-SA"/>
              </w:rPr>
            </w:pPr>
            <w:bookmarkStart w:id="70" w:name="_Hlk175290736"/>
            <w:r>
              <w:rPr>
                <w:rFonts w:ascii="Times New Roman" w:hAnsi="Times New Roman" w:eastAsia="黑体" w:cs="Times New Roman"/>
                <w:color w:val="auto"/>
                <w:kern w:val="2"/>
                <w:sz w:val="30"/>
                <w:szCs w:val="30"/>
                <w:highlight w:val="none"/>
                <w:lang w:val="en-US" w:eastAsia="zh-CN" w:bidi="ar-SA"/>
              </w:rPr>
              <w:t>专栏</w:t>
            </w:r>
            <w:r>
              <w:rPr>
                <w:rFonts w:hint="eastAsia" w:ascii="Times New Roman" w:hAnsi="Times New Roman" w:eastAsia="黑体" w:cs="Times New Roman"/>
                <w:color w:val="auto"/>
                <w:kern w:val="2"/>
                <w:sz w:val="30"/>
                <w:szCs w:val="30"/>
                <w:highlight w:val="none"/>
                <w:lang w:val="en-US" w:eastAsia="zh-CN" w:bidi="ar-SA"/>
              </w:rPr>
              <w:t>2</w:t>
            </w:r>
            <w:r>
              <w:rPr>
                <w:rFonts w:ascii="Times New Roman" w:hAnsi="Times New Roman" w:eastAsia="黑体" w:cs="Times New Roman"/>
                <w:color w:val="auto"/>
                <w:kern w:val="2"/>
                <w:sz w:val="30"/>
                <w:szCs w:val="30"/>
                <w:highlight w:val="none"/>
                <w:lang w:val="en-US" w:eastAsia="zh-CN" w:bidi="ar-SA"/>
              </w:rPr>
              <w:t>：管控原则与保护措施</w:t>
            </w:r>
          </w:p>
        </w:tc>
      </w:tr>
      <w:tr w14:paraId="1FC3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238" w:type="dxa"/>
            <w:vAlign w:val="center"/>
          </w:tcPr>
          <w:p w14:paraId="770EF5E1">
            <w:pPr>
              <w:widowControl/>
              <w:spacing w:line="240" w:lineRule="auto"/>
              <w:jc w:val="center"/>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管控原则</w:t>
            </w:r>
          </w:p>
        </w:tc>
        <w:tc>
          <w:tcPr>
            <w:tcW w:w="5284" w:type="dxa"/>
            <w:vAlign w:val="center"/>
          </w:tcPr>
          <w:p w14:paraId="55D7BCF1">
            <w:pPr>
              <w:widowControl/>
              <w:spacing w:line="240" w:lineRule="auto"/>
              <w:jc w:val="center"/>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保护措施</w:t>
            </w:r>
          </w:p>
        </w:tc>
      </w:tr>
      <w:tr w14:paraId="06C8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8" w:type="dxa"/>
            <w:vAlign w:val="center"/>
          </w:tcPr>
          <w:p w14:paraId="626F1FAC">
            <w:pPr>
              <w:widowControl/>
              <w:spacing w:line="240" w:lineRule="auto"/>
              <w:ind w:firstLine="480" w:firstLineChars="200"/>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从严管控非农建设占用永久基本农田，永久基本农田一经划定，任何单位和个人不得擅自占用或者擅自改变用途，严禁通过擅自调整规划规避占用永久基本农田的审批，严禁未经审批违法违规占用。</w:t>
            </w:r>
          </w:p>
          <w:p w14:paraId="5134D676">
            <w:pPr>
              <w:widowControl/>
              <w:spacing w:line="240" w:lineRule="auto"/>
              <w:ind w:firstLine="480" w:firstLineChars="200"/>
              <w:jc w:val="center"/>
              <w:rPr>
                <w:rFonts w:ascii="Times New Roman" w:hAnsi="Times New Roman" w:cs="Times New Roman"/>
                <w:color w:val="auto"/>
                <w:kern w:val="0"/>
                <w:sz w:val="24"/>
                <w:highlight w:val="none"/>
              </w:rPr>
            </w:pPr>
          </w:p>
        </w:tc>
        <w:tc>
          <w:tcPr>
            <w:tcW w:w="5284" w:type="dxa"/>
            <w:vAlign w:val="center"/>
          </w:tcPr>
          <w:p w14:paraId="659E147B">
            <w:pPr>
              <w:widowControl/>
              <w:spacing w:line="240" w:lineRule="auto"/>
              <w:ind w:firstLine="480" w:firstLineChars="200"/>
              <w:jc w:val="left"/>
              <w:rPr>
                <w:rFonts w:ascii="Times New Roman" w:hAnsi="Times New Roman" w:cs="Times New Roman"/>
                <w:color w:val="auto"/>
                <w:kern w:val="0"/>
                <w:sz w:val="24"/>
                <w:highlight w:val="none"/>
              </w:rPr>
            </w:pPr>
            <w:r>
              <w:rPr>
                <w:rFonts w:ascii="Times New Roman" w:hAnsi="Times New Roman" w:cs="Times New Roman"/>
                <w:color w:val="auto"/>
                <w:kern w:val="0"/>
                <w:sz w:val="24"/>
                <w:highlight w:val="none"/>
              </w:rPr>
              <w:t>坚决防止永久基本农田“非农化”，永久基本农田必须坚持农地农用，禁止破坏永久基本农田活动，禁止占用永久基本农田植树造林，禁止闲置、撂荒永久基本农田，禁止以设施农用地为名乱占永久基本农田，合理引导利用永久基本农田进行农业结构调整，规范临时用地、设施农用地占用永久基本农田管理。坚决禁止永久基本农田、高标准农田“非粮化”，分类明确耕地用途，严格落实耕地利用优先序，耕地主要用于粮食和棉、油、糖、蔬菜等农产品及饲草饲料生产，永久基本农田重点用于粮食生产，高标准农田原则上全部用于粮食生产。引导新发展林果业上山上坡，鼓励利用“四荒”资源，不与粮争地。</w:t>
            </w:r>
          </w:p>
        </w:tc>
      </w:tr>
      <w:bookmarkEnd w:id="70"/>
    </w:tbl>
    <w:p w14:paraId="5EF14AA2">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推进黑土</w:t>
      </w:r>
      <w:r>
        <w:rPr>
          <w:rFonts w:hint="eastAsia" w:ascii="Calibri" w:hAnsi="Calibri" w:eastAsia="楷体_GB2312" w:cs="Times New Roman"/>
          <w:b/>
          <w:color w:val="auto"/>
          <w:kern w:val="2"/>
          <w:sz w:val="32"/>
          <w:szCs w:val="24"/>
          <w:highlight w:val="none"/>
          <w:lang w:val="en-US" w:eastAsia="zh-CN" w:bidi="ar-SA"/>
        </w:rPr>
        <w:t>地</w:t>
      </w:r>
      <w:r>
        <w:rPr>
          <w:rFonts w:ascii="Calibri" w:hAnsi="Calibri" w:eastAsia="楷体_GB2312" w:cs="Times New Roman"/>
          <w:b/>
          <w:color w:val="auto"/>
          <w:kern w:val="2"/>
          <w:sz w:val="32"/>
          <w:szCs w:val="24"/>
          <w:highlight w:val="none"/>
          <w:lang w:val="en-US" w:eastAsia="zh-CN" w:bidi="ar-SA"/>
        </w:rPr>
        <w:t>耕地保护利用</w:t>
      </w:r>
    </w:p>
    <w:p w14:paraId="5C6BAF25">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71" w:name="_Hlk175287317"/>
      <w:bookmarkStart w:id="72" w:name="OLE_LINK1"/>
      <w:r>
        <w:rPr>
          <w:rFonts w:ascii="Times New Roman" w:hAnsi="Times New Roman" w:eastAsia="仿宋_GB2312" w:cs="Times New Roman"/>
          <w:color w:val="auto"/>
          <w:kern w:val="2"/>
          <w:sz w:val="32"/>
          <w:szCs w:val="32"/>
          <w:highlight w:val="none"/>
          <w:lang w:val="en-US" w:eastAsia="zh-CN" w:bidi="ar-SA"/>
        </w:rPr>
        <w:t>黑土地是黑龙江</w:t>
      </w:r>
      <w:r>
        <w:rPr>
          <w:rFonts w:hint="eastAsia" w:ascii="Times New Roman" w:hAnsi="Times New Roman" w:eastAsia="仿宋_GB2312" w:cs="Times New Roman"/>
          <w:color w:val="auto"/>
          <w:kern w:val="2"/>
          <w:sz w:val="32"/>
          <w:szCs w:val="32"/>
          <w:highlight w:val="none"/>
          <w:lang w:val="en-US" w:eastAsia="zh-CN" w:bidi="ar-SA"/>
        </w:rPr>
        <w:t>省</w:t>
      </w:r>
      <w:r>
        <w:rPr>
          <w:rFonts w:ascii="Times New Roman" w:hAnsi="Times New Roman" w:eastAsia="仿宋_GB2312" w:cs="Times New Roman"/>
          <w:color w:val="auto"/>
          <w:kern w:val="2"/>
          <w:sz w:val="32"/>
          <w:szCs w:val="32"/>
          <w:highlight w:val="none"/>
          <w:lang w:val="en-US" w:eastAsia="zh-CN" w:bidi="ar-SA"/>
        </w:rPr>
        <w:t>的特色资源之一，将黑土</w:t>
      </w:r>
      <w:r>
        <w:rPr>
          <w:rFonts w:hint="eastAsia" w:ascii="Times New Roman" w:hAnsi="Times New Roman" w:eastAsia="仿宋_GB2312" w:cs="Times New Roman"/>
          <w:color w:val="auto"/>
          <w:kern w:val="2"/>
          <w:sz w:val="32"/>
          <w:szCs w:val="32"/>
          <w:highlight w:val="none"/>
          <w:lang w:val="en-US" w:eastAsia="zh-CN" w:bidi="ar-SA"/>
        </w:rPr>
        <w:t>地</w:t>
      </w:r>
      <w:r>
        <w:rPr>
          <w:rFonts w:ascii="Times New Roman" w:hAnsi="Times New Roman" w:eastAsia="仿宋_GB2312" w:cs="Times New Roman"/>
          <w:color w:val="auto"/>
          <w:kern w:val="2"/>
          <w:sz w:val="32"/>
          <w:szCs w:val="32"/>
          <w:highlight w:val="none"/>
          <w:lang w:val="en-US" w:eastAsia="zh-CN" w:bidi="ar-SA"/>
        </w:rPr>
        <w:t>耕地所在区域的优质农田划入永久基本农田保护区和粮食生产功能区等重点区域，提高黑土</w:t>
      </w:r>
      <w:r>
        <w:rPr>
          <w:rFonts w:hint="eastAsia" w:ascii="Times New Roman" w:hAnsi="Times New Roman" w:eastAsia="仿宋_GB2312" w:cs="Times New Roman"/>
          <w:color w:val="auto"/>
          <w:kern w:val="2"/>
          <w:sz w:val="32"/>
          <w:szCs w:val="32"/>
          <w:highlight w:val="none"/>
          <w:lang w:val="en-US" w:eastAsia="zh-CN" w:bidi="ar-SA"/>
        </w:rPr>
        <w:t>地</w:t>
      </w:r>
      <w:r>
        <w:rPr>
          <w:rFonts w:ascii="Times New Roman" w:hAnsi="Times New Roman" w:eastAsia="仿宋_GB2312" w:cs="Times New Roman"/>
          <w:color w:val="auto"/>
          <w:kern w:val="2"/>
          <w:sz w:val="32"/>
          <w:szCs w:val="32"/>
          <w:highlight w:val="none"/>
          <w:lang w:val="en-US" w:eastAsia="zh-CN" w:bidi="ar-SA"/>
        </w:rPr>
        <w:t>耕地保护和建设力度。采取工程、生物和耕作措施相结合，治理黑土区水土流失。</w:t>
      </w:r>
    </w:p>
    <w:p w14:paraId="1B36C3AD">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完善土地调查监测体系和耕地质量监测网络，建立卫星遥感+耕地质量检测物联网+土壤取样化验等技术组合应用模式，对耕地蓄水保墒、有机质含量、土壤侵蚀、土壤生物性状和稳产高产能力等耕地质量指标进行实时监测。制定实施黑土地质量标准和分等定级技术规范，为推进实施黑土地保护和黑土</w:t>
      </w:r>
      <w:r>
        <w:rPr>
          <w:rFonts w:hint="eastAsia" w:ascii="Times New Roman" w:hAnsi="Times New Roman" w:eastAsia="仿宋_GB2312" w:cs="Times New Roman"/>
          <w:color w:val="auto"/>
          <w:kern w:val="2"/>
          <w:sz w:val="32"/>
          <w:szCs w:val="32"/>
          <w:highlight w:val="none"/>
          <w:lang w:val="en-US" w:eastAsia="zh-CN" w:bidi="ar-SA"/>
        </w:rPr>
        <w:t>地</w:t>
      </w:r>
      <w:r>
        <w:rPr>
          <w:rFonts w:ascii="Times New Roman" w:hAnsi="Times New Roman" w:eastAsia="仿宋_GB2312" w:cs="Times New Roman"/>
          <w:color w:val="auto"/>
          <w:kern w:val="2"/>
          <w:sz w:val="32"/>
          <w:szCs w:val="32"/>
          <w:highlight w:val="none"/>
          <w:lang w:val="en-US" w:eastAsia="zh-CN" w:bidi="ar-SA"/>
        </w:rPr>
        <w:t>耕地占补平衡工作提供依据。</w:t>
      </w:r>
    </w:p>
    <w:p w14:paraId="145B1659">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充分挖掘黑土</w:t>
      </w:r>
      <w:r>
        <w:rPr>
          <w:rFonts w:hint="eastAsia" w:ascii="Times New Roman" w:hAnsi="Times New Roman" w:eastAsia="仿宋_GB2312" w:cs="Times New Roman"/>
          <w:color w:val="auto"/>
          <w:kern w:val="2"/>
          <w:sz w:val="32"/>
          <w:szCs w:val="32"/>
          <w:highlight w:val="none"/>
          <w:lang w:val="en-US" w:eastAsia="zh-CN" w:bidi="ar-SA"/>
        </w:rPr>
        <w:t>地</w:t>
      </w:r>
      <w:r>
        <w:rPr>
          <w:rFonts w:ascii="Times New Roman" w:hAnsi="Times New Roman" w:eastAsia="仿宋_GB2312" w:cs="Times New Roman"/>
          <w:color w:val="auto"/>
          <w:kern w:val="2"/>
          <w:sz w:val="32"/>
          <w:szCs w:val="32"/>
          <w:highlight w:val="none"/>
          <w:lang w:val="en-US" w:eastAsia="zh-CN" w:bidi="ar-SA"/>
        </w:rPr>
        <w:t>耕地潜力，支持黑土表土剥离再利用计划，推进黑土区土地复垦工程，规范引导耕地后备资源适度生态化开发利用，鼓励开展黑土地生态修复和综合治理。</w:t>
      </w:r>
    </w:p>
    <w:p w14:paraId="2FE451A8">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完善各级政府耕地保护责任目标考核办法，把保护黑土</w:t>
      </w:r>
      <w:r>
        <w:rPr>
          <w:rFonts w:hint="eastAsia" w:ascii="Times New Roman" w:hAnsi="Times New Roman" w:eastAsia="仿宋_GB2312" w:cs="Times New Roman"/>
          <w:color w:val="auto"/>
          <w:kern w:val="2"/>
          <w:sz w:val="32"/>
          <w:szCs w:val="32"/>
          <w:highlight w:val="none"/>
          <w:lang w:val="en-US" w:eastAsia="zh-CN" w:bidi="ar-SA"/>
        </w:rPr>
        <w:t>地</w:t>
      </w:r>
      <w:r>
        <w:rPr>
          <w:rFonts w:ascii="Times New Roman" w:hAnsi="Times New Roman" w:eastAsia="仿宋_GB2312" w:cs="Times New Roman"/>
          <w:color w:val="auto"/>
          <w:kern w:val="2"/>
          <w:sz w:val="32"/>
          <w:szCs w:val="32"/>
          <w:highlight w:val="none"/>
          <w:lang w:val="en-US" w:eastAsia="zh-CN" w:bidi="ar-SA"/>
        </w:rPr>
        <w:t>耕地数量、质量作为重要考核指标，加强对黑土区补充耕地任务完成情况、耕地占补平衡落实情况的检查；建立有效的约束管控机制，定期开展黑土</w:t>
      </w:r>
      <w:r>
        <w:rPr>
          <w:rFonts w:hint="eastAsia" w:ascii="Times New Roman" w:hAnsi="Times New Roman" w:eastAsia="仿宋_GB2312" w:cs="Times New Roman"/>
          <w:color w:val="auto"/>
          <w:kern w:val="2"/>
          <w:sz w:val="32"/>
          <w:szCs w:val="32"/>
          <w:highlight w:val="none"/>
          <w:lang w:val="en-US" w:eastAsia="zh-CN" w:bidi="ar-SA"/>
        </w:rPr>
        <w:t>地</w:t>
      </w:r>
      <w:r>
        <w:rPr>
          <w:rFonts w:ascii="Times New Roman" w:hAnsi="Times New Roman" w:eastAsia="仿宋_GB2312" w:cs="Times New Roman"/>
          <w:color w:val="auto"/>
          <w:kern w:val="2"/>
          <w:sz w:val="32"/>
          <w:szCs w:val="32"/>
          <w:highlight w:val="none"/>
          <w:lang w:val="en-US" w:eastAsia="zh-CN" w:bidi="ar-SA"/>
        </w:rPr>
        <w:t>耕地保护成效第三方评估评价，根据实绩实效兑现奖惩。</w:t>
      </w:r>
      <w:bookmarkEnd w:id="71"/>
    </w:p>
    <w:bookmarkEnd w:id="72"/>
    <w:p w14:paraId="7D67438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拓展农产品生产空间</w:t>
      </w:r>
    </w:p>
    <w:p w14:paraId="1C6C6770">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73" w:name="_Hlk175288494"/>
      <w:r>
        <w:rPr>
          <w:rFonts w:ascii="Times New Roman" w:hAnsi="Times New Roman" w:eastAsia="仿宋_GB2312" w:cs="Times New Roman"/>
          <w:color w:val="auto"/>
          <w:kern w:val="2"/>
          <w:sz w:val="32"/>
          <w:szCs w:val="32"/>
          <w:highlight w:val="none"/>
          <w:lang w:val="en-US" w:eastAsia="zh-CN" w:bidi="ar-SA"/>
        </w:rPr>
        <w:t>种植空间。加快推进粮食产能建设，稳定发展现有种植结构，坚持稳定面积、调整结构和提高单产并重。推进特色种植向规模化、集约化、标准化方向发展。利用林地资源发展林下经济。同时做好生态退耕工作，积极落实粮食生产功能区和重要农产品生产保护区的高标准农田建设工作。发展林下经济。</w:t>
      </w:r>
    </w:p>
    <w:p w14:paraId="418DC966">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养殖空间。以“优供给、强安全、保生态”为目标，以集约化、规模化、标准化养殖为方向，稳步提升畜牧业综合生产能力。逐渐发展壮大生猪、肉牛、家禽等养殖，进一步优化畜禽品种结构，构建协同发展、相互促进的畜牧产业格局。</w:t>
      </w:r>
      <w:bookmarkStart w:id="74" w:name="_Toc81291240"/>
      <w:bookmarkStart w:id="75" w:name="_Toc73522742"/>
      <w:bookmarkStart w:id="76" w:name="_Toc89871132"/>
    </w:p>
    <w:p w14:paraId="2A04E801">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特色农业空间</w:t>
      </w:r>
      <w:bookmarkEnd w:id="74"/>
      <w:bookmarkEnd w:id="75"/>
      <w:bookmarkEnd w:id="76"/>
      <w:r>
        <w:rPr>
          <w:rFonts w:ascii="Times New Roman" w:hAnsi="Times New Roman" w:eastAsia="仿宋_GB2312" w:cs="Times New Roman"/>
          <w:color w:val="auto"/>
          <w:kern w:val="2"/>
          <w:sz w:val="32"/>
          <w:szCs w:val="32"/>
          <w:highlight w:val="none"/>
          <w:lang w:val="en-US" w:eastAsia="zh-CN" w:bidi="ar-SA"/>
        </w:rPr>
        <w:t>。坚持用工业化理念发展农业，围绕鲜食玉米、南瓜、马铃薯等高值高效经济作物种植带动庭院经济种植。</w:t>
      </w:r>
    </w:p>
    <w:bookmarkEnd w:id="73"/>
    <w:p w14:paraId="71FA9444">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77" w:name="_Toc5297"/>
      <w:bookmarkStart w:id="78" w:name="_Toc15303"/>
      <w:r>
        <w:rPr>
          <w:rFonts w:ascii="Times New Roman" w:hAnsi="Times New Roman" w:eastAsia="黑体" w:cs="Times New Roman"/>
          <w:color w:val="auto"/>
          <w:kern w:val="2"/>
          <w:sz w:val="32"/>
          <w:szCs w:val="24"/>
          <w:highlight w:val="none"/>
          <w:lang w:val="en-US" w:eastAsia="zh-CN" w:bidi="ar-SA"/>
        </w:rPr>
        <w:t>第</w:t>
      </w:r>
      <w:r>
        <w:rPr>
          <w:rFonts w:hint="eastAsia" w:ascii="Times New Roman" w:hAnsi="Times New Roman" w:eastAsia="黑体" w:cs="Times New Roman"/>
          <w:color w:val="auto"/>
          <w:kern w:val="2"/>
          <w:sz w:val="32"/>
          <w:szCs w:val="24"/>
          <w:highlight w:val="none"/>
          <w:lang w:val="en-US" w:eastAsia="zh-CN" w:bidi="ar-SA"/>
        </w:rPr>
        <w:t>二</w:t>
      </w:r>
      <w:r>
        <w:rPr>
          <w:rFonts w:ascii="Times New Roman" w:hAnsi="Times New Roman" w:eastAsia="黑体" w:cs="Times New Roman"/>
          <w:color w:val="auto"/>
          <w:kern w:val="2"/>
          <w:sz w:val="32"/>
          <w:szCs w:val="24"/>
          <w:highlight w:val="none"/>
          <w:lang w:val="en-US" w:eastAsia="zh-CN" w:bidi="ar-SA"/>
        </w:rPr>
        <w:t>节 构建生态安全格局</w:t>
      </w:r>
      <w:bookmarkEnd w:id="77"/>
      <w:bookmarkStart w:id="79" w:name="_Toc141538967"/>
    </w:p>
    <w:bookmarkEnd w:id="79"/>
    <w:p w14:paraId="67E02E40">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生态空间格局</w:t>
      </w:r>
    </w:p>
    <w:p w14:paraId="626B0549">
      <w:pPr>
        <w:ind w:firstLine="640" w:firstLineChars="200"/>
        <w:rPr>
          <w:rFonts w:ascii="Times New Roman" w:hAnsi="Times New Roman" w:cs="Times New Roman"/>
          <w:color w:val="auto"/>
          <w:highlight w:val="none"/>
        </w:rPr>
      </w:pPr>
      <w:bookmarkStart w:id="80" w:name="_Hlk175290060"/>
      <w:r>
        <w:rPr>
          <w:rFonts w:ascii="Times New Roman" w:hAnsi="Times New Roman" w:cs="Times New Roman"/>
          <w:color w:val="auto"/>
          <w:highlight w:val="none"/>
        </w:rPr>
        <w:t>落实桦川</w:t>
      </w:r>
      <w:r>
        <w:rPr>
          <w:rFonts w:hint="eastAsia" w:ascii="Times New Roman" w:hAnsi="Times New Roman" w:cs="Times New Roman"/>
          <w:color w:val="auto"/>
          <w:highlight w:val="none"/>
          <w:lang w:eastAsia="zh-CN"/>
        </w:rPr>
        <w:t>县</w:t>
      </w:r>
      <w:r>
        <w:rPr>
          <w:rFonts w:ascii="Times New Roman" w:hAnsi="Times New Roman" w:cs="Times New Roman"/>
          <w:color w:val="auto"/>
          <w:highlight w:val="none"/>
        </w:rPr>
        <w:t>“一心、一廊、三带”的生态格局要求，筑牢</w:t>
      </w:r>
      <w:r>
        <w:rPr>
          <w:rFonts w:ascii="Times New Roman" w:hAnsi="Times New Roman" w:cs="Times New Roman"/>
          <w:bCs/>
          <w:color w:val="auto"/>
          <w:szCs w:val="32"/>
          <w:highlight w:val="none"/>
        </w:rPr>
        <w:t>丰收</w:t>
      </w:r>
      <w:r>
        <w:rPr>
          <w:rFonts w:ascii="Times New Roman" w:hAnsi="Times New Roman" w:cs="Times New Roman"/>
          <w:bCs/>
          <w:color w:val="auto"/>
          <w:szCs w:val="32"/>
          <w:highlight w:val="none"/>
          <w:shd w:val="clear" w:color="auto" w:fill="FFFFFF"/>
        </w:rPr>
        <w:t>沟</w:t>
      </w:r>
      <w:r>
        <w:rPr>
          <w:rFonts w:ascii="Times New Roman" w:hAnsi="Times New Roman" w:cs="Times New Roman"/>
          <w:color w:val="auto"/>
          <w:highlight w:val="none"/>
        </w:rPr>
        <w:t>生态廊道，强化</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域</w:t>
      </w:r>
      <w:r>
        <w:rPr>
          <w:rFonts w:ascii="Times New Roman" w:hAnsi="Times New Roman" w:cs="Times New Roman"/>
          <w:color w:val="auto"/>
          <w:highlight w:val="none"/>
        </w:rPr>
        <w:t>生态廊道联通性，构建“一廊、一带”生态系统保护格局，作为苏家店</w:t>
      </w:r>
      <w:r>
        <w:rPr>
          <w:rFonts w:hint="eastAsia" w:ascii="Times New Roman" w:hAnsi="Times New Roman" w:cs="Times New Roman"/>
          <w:color w:val="auto"/>
          <w:highlight w:val="none"/>
          <w:lang w:eastAsia="zh-CN"/>
        </w:rPr>
        <w:t>镇</w:t>
      </w:r>
      <w:r>
        <w:rPr>
          <w:rFonts w:ascii="Times New Roman" w:hAnsi="Times New Roman" w:cs="Times New Roman"/>
          <w:color w:val="auto"/>
          <w:highlight w:val="none"/>
        </w:rPr>
        <w:t>基本生态骨架，维持生态系统功能稳定的基底，提升全域</w:t>
      </w:r>
      <w:r>
        <w:rPr>
          <w:rFonts w:hint="eastAsia" w:ascii="Times New Roman" w:hAnsi="Times New Roman" w:cs="Times New Roman"/>
          <w:color w:val="auto"/>
          <w:highlight w:val="none"/>
        </w:rPr>
        <w:t>生态系统碳汇能力</w:t>
      </w:r>
      <w:r>
        <w:rPr>
          <w:rFonts w:ascii="Times New Roman" w:hAnsi="Times New Roman" w:cs="Times New Roman"/>
          <w:color w:val="auto"/>
          <w:highlight w:val="none"/>
        </w:rPr>
        <w:t>。</w:t>
      </w:r>
    </w:p>
    <w:p w14:paraId="211C5D22">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shd w:val="clear" w:color="auto" w:fill="FFFFFF"/>
          <w:lang w:val="en-US" w:eastAsia="zh-CN" w:bidi="ar-SA"/>
        </w:rPr>
      </w:pPr>
      <w:r>
        <w:rPr>
          <w:rFonts w:ascii="Times New Roman" w:hAnsi="Times New Roman" w:eastAsia="仿宋_GB2312" w:cs="Times New Roman"/>
          <w:color w:val="auto"/>
          <w:kern w:val="2"/>
          <w:sz w:val="32"/>
          <w:szCs w:val="32"/>
          <w:highlight w:val="none"/>
          <w:shd w:val="clear" w:color="auto" w:fill="FFFFFF"/>
          <w:lang w:val="en-US" w:eastAsia="zh-CN" w:bidi="ar-SA"/>
        </w:rPr>
        <w:t>一廊：指穿过苏家店</w:t>
      </w:r>
      <w:r>
        <w:rPr>
          <w:rFonts w:hint="eastAsia" w:ascii="Times New Roman" w:hAnsi="Times New Roman" w:eastAsia="仿宋_GB2312" w:cs="Times New Roman"/>
          <w:color w:val="auto"/>
          <w:kern w:val="2"/>
          <w:sz w:val="32"/>
          <w:szCs w:val="32"/>
          <w:highlight w:val="none"/>
          <w:shd w:val="clear" w:color="auto" w:fill="FFFFFF"/>
          <w:lang w:val="en-US" w:eastAsia="zh-CN" w:bidi="ar-SA"/>
        </w:rPr>
        <w:t>镇镇</w:t>
      </w:r>
      <w:r>
        <w:rPr>
          <w:rFonts w:ascii="Times New Roman" w:hAnsi="Times New Roman" w:eastAsia="仿宋_GB2312" w:cs="Times New Roman"/>
          <w:color w:val="auto"/>
          <w:kern w:val="2"/>
          <w:sz w:val="32"/>
          <w:szCs w:val="32"/>
          <w:highlight w:val="none"/>
          <w:shd w:val="clear" w:color="auto" w:fill="FFFFFF"/>
          <w:lang w:val="en-US" w:eastAsia="zh-CN" w:bidi="ar-SA"/>
        </w:rPr>
        <w:t>域东侧的丰收沟生态廊道。规划应发挥丰收沟这条松花江支流生态廊道的生态作用，加强生态修复和空间的植被种植，充分发挥廊道的护蓝、增绿、通风等作用。</w:t>
      </w:r>
    </w:p>
    <w:p w14:paraId="67CB2592">
      <w:pPr>
        <w:widowControl w:val="0"/>
        <w:spacing w:line="600" w:lineRule="exact"/>
        <w:ind w:firstLine="640" w:firstLineChars="200"/>
        <w:jc w:val="both"/>
        <w:rPr>
          <w:rFonts w:ascii="Times New Roman" w:hAnsi="Times New Roman" w:eastAsia="仿宋_GB2312" w:cs="Times New Roman"/>
          <w:bCs/>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shd w:val="clear" w:color="auto" w:fill="FFFFFF"/>
          <w:lang w:val="en-US" w:eastAsia="zh-CN" w:bidi="ar-SA"/>
        </w:rPr>
        <w:t>一带：</w:t>
      </w:r>
      <w:r>
        <w:rPr>
          <w:rFonts w:ascii="Times New Roman" w:hAnsi="Times New Roman" w:eastAsia="仿宋_GB2312" w:cs="Times New Roman"/>
          <w:color w:val="auto"/>
          <w:kern w:val="2"/>
          <w:sz w:val="32"/>
          <w:szCs w:val="32"/>
          <w:highlight w:val="none"/>
          <w:lang w:val="en-US" w:eastAsia="zh-CN" w:bidi="ar-SA"/>
        </w:rPr>
        <w:t>指</w:t>
      </w:r>
      <w:r>
        <w:rPr>
          <w:rFonts w:ascii="Times New Roman" w:hAnsi="Times New Roman" w:eastAsia="仿宋_GB2312" w:cs="Times New Roman"/>
          <w:color w:val="auto"/>
          <w:kern w:val="2"/>
          <w:sz w:val="32"/>
          <w:szCs w:val="32"/>
          <w:highlight w:val="none"/>
          <w:shd w:val="clear" w:color="auto" w:fill="FFFFFF"/>
          <w:lang w:val="en-US" w:eastAsia="zh-CN" w:bidi="ar-SA"/>
        </w:rPr>
        <w:t>沿</w:t>
      </w:r>
      <w:r>
        <w:rPr>
          <w:rFonts w:ascii="Times New Roman" w:hAnsi="Times New Roman" w:eastAsia="仿宋_GB2312" w:cs="Times New Roman"/>
          <w:color w:val="auto"/>
          <w:kern w:val="2"/>
          <w:sz w:val="32"/>
          <w:szCs w:val="32"/>
          <w:highlight w:val="none"/>
          <w:lang w:val="en-US" w:eastAsia="zh-CN" w:bidi="ar-SA"/>
        </w:rPr>
        <w:t>苏家店村通往集贤村道路南侧形成的山林生态绿带。</w:t>
      </w:r>
      <w:r>
        <w:rPr>
          <w:rFonts w:ascii="Times New Roman" w:hAnsi="Times New Roman" w:eastAsia="仿宋_GB2312" w:cs="Times New Roman"/>
          <w:bCs/>
          <w:color w:val="auto"/>
          <w:kern w:val="2"/>
          <w:sz w:val="32"/>
          <w:szCs w:val="32"/>
          <w:highlight w:val="none"/>
          <w:lang w:val="en-US" w:eastAsia="zh-CN" w:bidi="ar-SA"/>
        </w:rPr>
        <w:t>结合山体生态修复，打造</w:t>
      </w:r>
      <w:r>
        <w:rPr>
          <w:rFonts w:hint="eastAsia" w:ascii="Times New Roman" w:hAnsi="Times New Roman" w:eastAsia="仿宋_GB2312" w:cs="Times New Roman"/>
          <w:bCs/>
          <w:color w:val="auto"/>
          <w:kern w:val="2"/>
          <w:sz w:val="32"/>
          <w:szCs w:val="32"/>
          <w:highlight w:val="none"/>
          <w:shd w:val="clear" w:color="auto" w:fill="FFFFFF"/>
          <w:lang w:val="en-US" w:eastAsia="zh-CN" w:bidi="ar-SA"/>
        </w:rPr>
        <w:t>镇</w:t>
      </w:r>
      <w:r>
        <w:rPr>
          <w:rFonts w:ascii="Times New Roman" w:hAnsi="Times New Roman" w:eastAsia="仿宋_GB2312" w:cs="Times New Roman"/>
          <w:bCs/>
          <w:color w:val="auto"/>
          <w:kern w:val="2"/>
          <w:sz w:val="32"/>
          <w:szCs w:val="32"/>
          <w:highlight w:val="none"/>
          <w:shd w:val="clear" w:color="auto" w:fill="FFFFFF"/>
          <w:lang w:val="en-US" w:eastAsia="zh-CN" w:bidi="ar-SA"/>
        </w:rPr>
        <w:t>域</w:t>
      </w:r>
      <w:r>
        <w:rPr>
          <w:rFonts w:ascii="Times New Roman" w:hAnsi="Times New Roman" w:eastAsia="仿宋_GB2312" w:cs="Times New Roman"/>
          <w:bCs/>
          <w:color w:val="auto"/>
          <w:kern w:val="2"/>
          <w:sz w:val="32"/>
          <w:szCs w:val="32"/>
          <w:highlight w:val="none"/>
          <w:lang w:val="en-US" w:eastAsia="zh-CN" w:bidi="ar-SA"/>
        </w:rPr>
        <w:t>东西向山林生态绿带</w:t>
      </w:r>
      <w:bookmarkEnd w:id="80"/>
      <w:r>
        <w:rPr>
          <w:rFonts w:ascii="Times New Roman" w:hAnsi="Times New Roman" w:eastAsia="仿宋_GB2312" w:cs="Times New Roman"/>
          <w:bCs/>
          <w:color w:val="auto"/>
          <w:kern w:val="2"/>
          <w:sz w:val="32"/>
          <w:szCs w:val="32"/>
          <w:highlight w:val="none"/>
          <w:lang w:val="en-US" w:eastAsia="zh-CN" w:bidi="ar-SA"/>
        </w:rPr>
        <w:t>。</w:t>
      </w:r>
    </w:p>
    <w:p w14:paraId="5746F22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水资源保护与利用</w:t>
      </w:r>
    </w:p>
    <w:p w14:paraId="3BB0942A">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bookmarkStart w:id="81" w:name="_Hlk175290147"/>
      <w:r>
        <w:rPr>
          <w:rFonts w:ascii="Times New Roman" w:hAnsi="Times New Roman" w:eastAsia="仿宋_GB2312" w:cs="Times New Roman"/>
          <w:color w:val="auto"/>
          <w:kern w:val="2"/>
          <w:sz w:val="32"/>
          <w:szCs w:val="24"/>
          <w:highlight w:val="none"/>
          <w:lang w:val="en-US" w:eastAsia="zh-CN" w:bidi="ar-SA"/>
        </w:rPr>
        <w:t>坚持以水定城、以水定地、以水定人、以水定产的总体思路，实施最严格的水资源管理制度，严格用水总量、用水效率、水功能限制纳污三条红线，落实水资源消耗总量与强度双控，坚决抑制不合理用水需求。至2035年，完成上级下达任务，严格控制全</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用水总量。</w:t>
      </w:r>
    </w:p>
    <w:p w14:paraId="4071A720">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保障水源地安全。划定并严格保护</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级集中式饮用水水源保护区。至2035年，全</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集中式饮用水水源水质达到或优于</w:t>
      </w:r>
      <w:r>
        <w:rPr>
          <w:rFonts w:hint="eastAsia" w:ascii="Times New Roman" w:hAnsi="Times New Roman" w:eastAsia="仿宋_GB2312" w:cs="Times New Roman"/>
          <w:color w:val="auto"/>
          <w:kern w:val="2"/>
          <w:sz w:val="32"/>
          <w:szCs w:val="24"/>
          <w:highlight w:val="none"/>
          <w:shd w:val="clear" w:color="auto" w:fill="FFFFFF"/>
          <w:lang w:val="en-US" w:eastAsia="zh-CN" w:bidi="ar-SA"/>
        </w:rPr>
        <w:t>Ⅲ</w:t>
      </w:r>
      <w:r>
        <w:rPr>
          <w:rFonts w:ascii="Times New Roman" w:hAnsi="Times New Roman" w:eastAsia="仿宋_GB2312" w:cs="Times New Roman"/>
          <w:color w:val="auto"/>
          <w:kern w:val="2"/>
          <w:sz w:val="32"/>
          <w:szCs w:val="24"/>
          <w:highlight w:val="none"/>
          <w:lang w:val="en-US" w:eastAsia="zh-CN" w:bidi="ar-SA"/>
        </w:rPr>
        <w:t>类比例达到100%。</w:t>
      </w:r>
    </w:p>
    <w:p w14:paraId="168C65E1">
      <w:pPr>
        <w:ind w:firstLine="640" w:firstLineChars="200"/>
        <w:rPr>
          <w:rFonts w:ascii="Times New Roman" w:hAnsi="Times New Roman" w:cs="Times New Roman"/>
          <w:color w:val="auto"/>
          <w:highlight w:val="none"/>
        </w:rPr>
      </w:pPr>
      <w:r>
        <w:rPr>
          <w:rFonts w:ascii="Times New Roman" w:hAnsi="Times New Roman" w:cs="Times New Roman"/>
          <w:color w:val="auto"/>
          <w:highlight w:val="none"/>
        </w:rPr>
        <w:t>强化水域空间用途管制。强化</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长制，统筹流域保护，开展</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水域岸线登记，保持</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岸线自然形态，维护</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水域岸线生态空间的完整性、原真性。加强用途管制，正确处理开发与保护的关系，</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岸线土地开发利用和产业布局，与</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水域岸线的分区管控要求相衔接。规范采砂等涉水活动，整治侵占、破坏</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行为。规范各级涉</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建设项目审批、</w:t>
      </w:r>
      <w:r>
        <w:rPr>
          <w:rFonts w:hint="eastAsia" w:ascii="Times New Roman" w:hAnsi="Times New Roman" w:cs="Times New Roman"/>
          <w:color w:val="auto"/>
          <w:highlight w:val="none"/>
          <w:lang w:eastAsia="zh-CN"/>
        </w:rPr>
        <w:t>河</w:t>
      </w:r>
      <w:r>
        <w:rPr>
          <w:rFonts w:ascii="Times New Roman" w:hAnsi="Times New Roman" w:cs="Times New Roman"/>
          <w:color w:val="auto"/>
          <w:highlight w:val="none"/>
        </w:rPr>
        <w:t>道采砂许可和实施监管，确保</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水域岸线有效保护和节约集约利用，持续改善</w:t>
      </w:r>
      <w:r>
        <w:rPr>
          <w:rFonts w:hint="eastAsia" w:ascii="Times New Roman" w:hAnsi="Times New Roman" w:cs="Times New Roman"/>
          <w:color w:val="auto"/>
          <w:highlight w:val="none"/>
          <w:lang w:eastAsia="zh-CN"/>
        </w:rPr>
        <w:t>河湖</w:t>
      </w:r>
      <w:r>
        <w:rPr>
          <w:rFonts w:ascii="Times New Roman" w:hAnsi="Times New Roman" w:cs="Times New Roman"/>
          <w:color w:val="auto"/>
          <w:highlight w:val="none"/>
        </w:rPr>
        <w:t>面貌。</w:t>
      </w:r>
    </w:p>
    <w:p w14:paraId="40191BBD">
      <w:pPr>
        <w:tabs>
          <w:tab w:val="left" w:pos="1701"/>
          <w:tab w:val="left" w:pos="1985"/>
        </w:tabs>
        <w:ind w:firstLine="640" w:firstLineChars="200"/>
        <w:rPr>
          <w:rFonts w:ascii="Times New Roman" w:hAnsi="Times New Roman" w:cs="Times New Roman"/>
          <w:color w:val="auto"/>
          <w:highlight w:val="none"/>
        </w:rPr>
      </w:pPr>
      <w:r>
        <w:rPr>
          <w:rFonts w:ascii="Times New Roman" w:hAnsi="Times New Roman" w:cs="Times New Roman"/>
          <w:color w:val="auto"/>
          <w:highlight w:val="none"/>
        </w:rPr>
        <w:t>水环境污染治理。实施水污染综合治理工程，统筹治理黑臭水体、工业废水、农业退水、城</w:t>
      </w:r>
      <w:r>
        <w:rPr>
          <w:rFonts w:hint="eastAsia" w:ascii="Times New Roman" w:hAnsi="Times New Roman" w:cs="Times New Roman"/>
          <w:color w:val="auto"/>
          <w:highlight w:val="none"/>
          <w:lang w:eastAsia="zh-CN"/>
        </w:rPr>
        <w:t>乡</w:t>
      </w:r>
      <w:r>
        <w:rPr>
          <w:rFonts w:ascii="Times New Roman" w:hAnsi="Times New Roman" w:cs="Times New Roman"/>
          <w:color w:val="auto"/>
          <w:highlight w:val="none"/>
        </w:rPr>
        <w:t>污水，推进生态沟道、污水净塘、人工湿地、植物隔离条带等生态拦截净化工程，加强污水处置设施建设提标改造，逐年提升农村污水处理覆盖率，全面取缔工业直排口、非法入</w:t>
      </w:r>
      <w:r>
        <w:rPr>
          <w:rFonts w:hint="eastAsia" w:ascii="Times New Roman" w:hAnsi="Times New Roman" w:cs="Times New Roman"/>
          <w:color w:val="auto"/>
          <w:highlight w:val="none"/>
          <w:lang w:eastAsia="zh-CN"/>
        </w:rPr>
        <w:t>河</w:t>
      </w:r>
      <w:r>
        <w:rPr>
          <w:rFonts w:ascii="Times New Roman" w:hAnsi="Times New Roman" w:cs="Times New Roman"/>
          <w:color w:val="auto"/>
          <w:highlight w:val="none"/>
        </w:rPr>
        <w:t>排污口，清理整顿列入负面清单的产业和项目，贯彻“源头消减”和“过程拦截”方式，建立“点源控制+面源消减”的污染治理体系，综合改善水环境质量。</w:t>
      </w:r>
    </w:p>
    <w:bookmarkEnd w:id="81"/>
    <w:p w14:paraId="6E5AB3CF">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森林资源保护与利用</w:t>
      </w:r>
    </w:p>
    <w:p w14:paraId="397AAEAB">
      <w:pPr>
        <w:widowControl w:val="0"/>
        <w:overflowPunct w:val="0"/>
        <w:spacing w:line="600" w:lineRule="exact"/>
        <w:ind w:firstLine="640"/>
        <w:jc w:val="both"/>
        <w:rPr>
          <w:rFonts w:ascii="Times New Roman" w:hAnsi="Times New Roman" w:eastAsia="仿宋_GB2312" w:cs="Times New Roman"/>
          <w:color w:val="auto"/>
          <w:kern w:val="2"/>
          <w:sz w:val="32"/>
          <w:szCs w:val="24"/>
          <w:highlight w:val="none"/>
          <w:lang w:val="en-US" w:eastAsia="zh-CN" w:bidi="ar-SA"/>
        </w:rPr>
      </w:pPr>
      <w:bookmarkStart w:id="82" w:name="_Hlk175290328"/>
      <w:r>
        <w:rPr>
          <w:rFonts w:ascii="Times New Roman" w:hAnsi="Times New Roman" w:eastAsia="仿宋_GB2312" w:cs="Times New Roman"/>
          <w:color w:val="auto"/>
          <w:kern w:val="2"/>
          <w:sz w:val="32"/>
          <w:szCs w:val="24"/>
          <w:highlight w:val="none"/>
          <w:lang w:val="en-US" w:eastAsia="zh-CN" w:bidi="ar-SA"/>
        </w:rPr>
        <w:t>严格控制林地转为建设用地，加强</w:t>
      </w:r>
      <w:r>
        <w:rPr>
          <w:rFonts w:hint="eastAsia" w:ascii="Times New Roman" w:hAnsi="Times New Roman" w:eastAsia="仿宋_GB2312" w:cs="Times New Roman"/>
          <w:color w:val="auto"/>
          <w:kern w:val="2"/>
          <w:sz w:val="32"/>
          <w:szCs w:val="24"/>
          <w:highlight w:val="none"/>
          <w:shd w:val="clear" w:color="auto" w:fill="FFFFFF"/>
          <w:lang w:val="en-US" w:eastAsia="zh-CN" w:bidi="ar-SA"/>
        </w:rPr>
        <w:t>镇</w:t>
      </w:r>
      <w:r>
        <w:rPr>
          <w:rFonts w:ascii="Times New Roman" w:hAnsi="Times New Roman" w:eastAsia="仿宋_GB2312" w:cs="Times New Roman"/>
          <w:color w:val="auto"/>
          <w:kern w:val="2"/>
          <w:sz w:val="32"/>
          <w:szCs w:val="24"/>
          <w:highlight w:val="none"/>
          <w:shd w:val="clear" w:color="auto" w:fill="FFFFFF"/>
          <w:lang w:val="en-US" w:eastAsia="zh-CN" w:bidi="ar-SA"/>
        </w:rPr>
        <w:t>域</w:t>
      </w:r>
      <w:r>
        <w:rPr>
          <w:rFonts w:ascii="Times New Roman" w:hAnsi="Times New Roman" w:eastAsia="仿宋_GB2312" w:cs="Times New Roman"/>
          <w:color w:val="auto"/>
          <w:kern w:val="2"/>
          <w:sz w:val="32"/>
          <w:szCs w:val="24"/>
          <w:highlight w:val="none"/>
          <w:lang w:val="en-US" w:eastAsia="zh-CN" w:bidi="ar-SA"/>
        </w:rPr>
        <w:t>林业资源管理，禁止毁林开垦。规划期内稳步推进提升林地面积，落实</w:t>
      </w:r>
      <w:r>
        <w:rPr>
          <w:rFonts w:hint="eastAsia" w:ascii="Times New Roman" w:hAnsi="Times New Roman" w:eastAsia="仿宋_GB2312" w:cs="Times New Roman"/>
          <w:color w:val="auto"/>
          <w:kern w:val="2"/>
          <w:sz w:val="32"/>
          <w:szCs w:val="24"/>
          <w:highlight w:val="none"/>
          <w:lang w:val="en-US" w:eastAsia="zh-CN" w:bidi="ar-SA"/>
        </w:rPr>
        <w:t>县</w:t>
      </w:r>
      <w:r>
        <w:rPr>
          <w:rFonts w:ascii="Times New Roman" w:hAnsi="Times New Roman" w:eastAsia="仿宋_GB2312" w:cs="Times New Roman"/>
          <w:color w:val="auto"/>
          <w:kern w:val="2"/>
          <w:sz w:val="32"/>
          <w:szCs w:val="24"/>
          <w:highlight w:val="none"/>
          <w:lang w:val="en-US" w:eastAsia="zh-CN" w:bidi="ar-SA"/>
        </w:rPr>
        <w:t>级造林绿化目标，至2035年，不低于上级下达的森林覆盖率指标。</w:t>
      </w:r>
    </w:p>
    <w:p w14:paraId="43A136C0">
      <w:pPr>
        <w:widowControl w:val="0"/>
        <w:overflowPunct w:val="0"/>
        <w:spacing w:line="600" w:lineRule="exact"/>
        <w:ind w:firstLine="64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加强森林资源管护。</w:t>
      </w:r>
      <w:r>
        <w:rPr>
          <w:rFonts w:ascii="Times New Roman" w:hAnsi="Times New Roman" w:eastAsia="仿宋_GB2312" w:cs="Times New Roman"/>
          <w:color w:val="auto"/>
          <w:kern w:val="2"/>
          <w:sz w:val="32"/>
          <w:szCs w:val="24"/>
          <w:highlight w:val="none"/>
          <w:lang w:val="en-US" w:eastAsia="zh-CN" w:bidi="ar-SA"/>
        </w:rPr>
        <w:t>坚持森林保护优先、保护与利用兼顾的原则。</w:t>
      </w:r>
      <w:r>
        <w:rPr>
          <w:rFonts w:ascii="Times New Roman" w:hAnsi="Times New Roman" w:eastAsia="仿宋_GB2312" w:cs="Times New Roman"/>
          <w:color w:val="auto"/>
          <w:kern w:val="2"/>
          <w:sz w:val="32"/>
          <w:szCs w:val="32"/>
          <w:highlight w:val="none"/>
          <w:lang w:val="en-US" w:eastAsia="zh-CN" w:bidi="ar-SA"/>
        </w:rPr>
        <w:t>强化林地利用管理，严禁盗伐滥伐林木行为，严格执行森林采伐限额，继续执行全面停止天然林商业性采伐制度等措施。</w:t>
      </w:r>
    </w:p>
    <w:p w14:paraId="5EDF000A">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严格实施林地用途管制。在不破坏地表植被、不影响生物多样性保护前提下，允许有限利用林地适度发展生态旅游、休闲康养、研学基地和营地、自然教育、特色种植养殖等绿色产业。各类建设必须占用林地时，必须按相关要求做好林地使用补偿措施，做到资金专户储存、专款专用、严肃财经纪律等。</w:t>
      </w:r>
    </w:p>
    <w:bookmarkEnd w:id="82"/>
    <w:p w14:paraId="4CCC7A74">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草地资源保护与利用</w:t>
      </w:r>
    </w:p>
    <w:p w14:paraId="2F670899">
      <w:pPr>
        <w:widowControl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bookmarkStart w:id="83" w:name="_Hlk175290457"/>
      <w:r>
        <w:rPr>
          <w:rFonts w:ascii="Times New Roman" w:hAnsi="Times New Roman" w:eastAsia="仿宋_GB2312" w:cs="Times New Roman"/>
          <w:color w:val="auto"/>
          <w:kern w:val="2"/>
          <w:sz w:val="32"/>
          <w:szCs w:val="32"/>
          <w:highlight w:val="none"/>
          <w:lang w:val="en-US" w:eastAsia="zh-CN" w:bidi="ar-SA"/>
        </w:rPr>
        <w:t>落实</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级封禁沙化土地保护区管理要求，加强草原用途管制。</w:t>
      </w:r>
    </w:p>
    <w:p w14:paraId="5FC8458D">
      <w:pPr>
        <w:widowControl w:val="0"/>
        <w:overflowPunct w:val="0"/>
        <w:spacing w:line="600" w:lineRule="exact"/>
        <w:ind w:firstLine="64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加大草地资源保护。防止天然、人工牧草地因耕地开垦、城</w:t>
      </w:r>
      <w:r>
        <w:rPr>
          <w:rFonts w:hint="eastAsia" w:ascii="Times New Roman" w:hAnsi="Times New Roman" w:eastAsia="仿宋_GB2312" w:cs="Times New Roman"/>
          <w:color w:val="auto"/>
          <w:kern w:val="2"/>
          <w:sz w:val="32"/>
          <w:szCs w:val="24"/>
          <w:highlight w:val="none"/>
          <w:lang w:val="en-US" w:eastAsia="zh-CN" w:bidi="ar-SA"/>
        </w:rPr>
        <w:t>市</w:t>
      </w:r>
      <w:r>
        <w:rPr>
          <w:rFonts w:ascii="Times New Roman" w:hAnsi="Times New Roman" w:eastAsia="仿宋_GB2312" w:cs="Times New Roman"/>
          <w:color w:val="auto"/>
          <w:kern w:val="2"/>
          <w:sz w:val="32"/>
          <w:szCs w:val="24"/>
          <w:highlight w:val="none"/>
          <w:lang w:val="en-US" w:eastAsia="zh-CN" w:bidi="ar-SA"/>
        </w:rPr>
        <w:t>扩张、修路开矿等而被破坏。实施更加严格</w:t>
      </w:r>
      <w:r>
        <w:rPr>
          <w:rFonts w:hint="eastAsia" w:ascii="Times New Roman" w:hAnsi="Times New Roman" w:eastAsia="仿宋_GB2312" w:cs="Times New Roman"/>
          <w:color w:val="auto"/>
          <w:kern w:val="2"/>
          <w:sz w:val="32"/>
          <w:szCs w:val="24"/>
          <w:highlight w:val="none"/>
          <w:lang w:val="en-US" w:eastAsia="zh-CN" w:bidi="ar-SA"/>
        </w:rPr>
        <w:t>地</w:t>
      </w:r>
      <w:r>
        <w:rPr>
          <w:rFonts w:ascii="Times New Roman" w:hAnsi="Times New Roman" w:eastAsia="仿宋_GB2312" w:cs="Times New Roman"/>
          <w:color w:val="auto"/>
          <w:kern w:val="2"/>
          <w:sz w:val="32"/>
          <w:szCs w:val="24"/>
          <w:highlight w:val="none"/>
          <w:lang w:val="en-US" w:eastAsia="zh-CN" w:bidi="ar-SA"/>
        </w:rPr>
        <w:t>保护和管理，确保基本草原面积不减少、质量不下降、用途不改变。严厉打击、坚决遏制各类非法挤占草原生态空间、乱开滥垦草原等行为。加强矿藏开采、工程建设等征占用草原审核审批管理，强化源头管控和事中事后监管。完善落实禁牧休牧和草畜平衡制度，依法查处超载过牧和禁牧休牧期违规放牧行为。</w:t>
      </w:r>
    </w:p>
    <w:p w14:paraId="01266F52">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加快推进天然、人工牧草地恢复。加快退化草原植被和土壤恢复，提升草原生态功能和生产功能。在水土条件适宜地区，实施退化草原生态修复，鼓励和支持人工草地建设，恢复提升草原生产能力，支持优质储备饲草基地建设，促进草原生态修复与草原畜牧业高质量发展有机融合。强化草原生物灾害监测预警，加强草原有害生物及外来入侵物种防治，不断提高绿色防治水平。</w:t>
      </w:r>
    </w:p>
    <w:bookmarkEnd w:id="83"/>
    <w:p w14:paraId="5BABB319">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加强生物多样性保护</w:t>
      </w:r>
    </w:p>
    <w:p w14:paraId="79638EB1">
      <w:pPr>
        <w:widowControl w:val="0"/>
        <w:overflowPunct w:val="0"/>
        <w:spacing w:line="600" w:lineRule="exact"/>
        <w:ind w:firstLine="640" w:firstLineChars="200"/>
        <w:jc w:val="both"/>
        <w:rPr>
          <w:rFonts w:ascii="Times New Roman" w:hAnsi="Times New Roman" w:eastAsia="仿宋_GB2312" w:cs="Times New Roman"/>
          <w:color w:val="auto"/>
          <w:kern w:val="2"/>
          <w:sz w:val="32"/>
          <w:szCs w:val="24"/>
          <w:highlight w:val="none"/>
          <w:lang w:val="en-US" w:eastAsia="zh-CN" w:bidi="ar-SA"/>
        </w:rPr>
      </w:pPr>
      <w:bookmarkStart w:id="84" w:name="_Hlk175290552"/>
      <w:r>
        <w:rPr>
          <w:rFonts w:ascii="Times New Roman" w:hAnsi="Times New Roman" w:eastAsia="仿宋_GB2312" w:cs="Times New Roman"/>
          <w:color w:val="auto"/>
          <w:kern w:val="2"/>
          <w:sz w:val="32"/>
          <w:szCs w:val="24"/>
          <w:highlight w:val="none"/>
          <w:lang w:val="en-US" w:eastAsia="zh-CN" w:bidi="ar-SA"/>
        </w:rPr>
        <w:t>以</w:t>
      </w:r>
      <w:r>
        <w:rPr>
          <w:rFonts w:hint="eastAsia" w:ascii="Times New Roman" w:hAnsi="Times New Roman" w:eastAsia="仿宋_GB2312" w:cs="Times New Roman"/>
          <w:color w:val="auto"/>
          <w:kern w:val="2"/>
          <w:sz w:val="32"/>
          <w:szCs w:val="24"/>
          <w:highlight w:val="none"/>
          <w:lang w:val="en-US" w:eastAsia="zh-CN" w:bidi="ar-SA"/>
        </w:rPr>
        <w:t>镇</w:t>
      </w:r>
      <w:r>
        <w:rPr>
          <w:rFonts w:ascii="Times New Roman" w:hAnsi="Times New Roman" w:eastAsia="仿宋_GB2312" w:cs="Times New Roman"/>
          <w:color w:val="auto"/>
          <w:kern w:val="2"/>
          <w:sz w:val="32"/>
          <w:szCs w:val="24"/>
          <w:highlight w:val="none"/>
          <w:lang w:val="en-US" w:eastAsia="zh-CN" w:bidi="ar-SA"/>
        </w:rPr>
        <w:t>域内丰收沟和南侧自然山体为主体，加强对生物多样性重点地区的自然生态系统原真性、完整性保护工作。保护和修复珍稀濒危野生动植物重要栖息地，构建以陆生野生动物和候鸟迁徙廊道为连通的生物多样性保护网络</w:t>
      </w:r>
      <w:bookmarkEnd w:id="84"/>
      <w:r>
        <w:rPr>
          <w:rFonts w:ascii="Times New Roman" w:hAnsi="Times New Roman" w:eastAsia="仿宋_GB2312" w:cs="Times New Roman"/>
          <w:color w:val="auto"/>
          <w:kern w:val="2"/>
          <w:sz w:val="32"/>
          <w:szCs w:val="24"/>
          <w:highlight w:val="none"/>
          <w:lang w:val="en-US" w:eastAsia="zh-CN" w:bidi="ar-SA"/>
        </w:rPr>
        <w:t>。</w:t>
      </w:r>
    </w:p>
    <w:p w14:paraId="13E8F823">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矿产资源保护与利用</w:t>
      </w:r>
    </w:p>
    <w:p w14:paraId="69446E84">
      <w:pPr>
        <w:widowControl w:val="0"/>
        <w:spacing w:line="600" w:lineRule="exact"/>
        <w:ind w:firstLine="640"/>
        <w:jc w:val="both"/>
        <w:rPr>
          <w:rFonts w:ascii="Times New Roman" w:hAnsi="Times New Roman" w:eastAsia="仿宋_GB2312" w:cs="Times New Roman"/>
          <w:color w:val="auto"/>
          <w:kern w:val="2"/>
          <w:sz w:val="32"/>
          <w:szCs w:val="32"/>
          <w:highlight w:val="none"/>
          <w:lang w:val="en-US" w:eastAsia="zh-CN" w:bidi="ar-SA"/>
        </w:rPr>
      </w:pPr>
      <w:bookmarkStart w:id="85" w:name="_Hlk175296746"/>
      <w:r>
        <w:rPr>
          <w:rFonts w:ascii="Times New Roman" w:hAnsi="Times New Roman" w:eastAsia="仿宋_GB2312" w:cs="Times New Roman"/>
          <w:color w:val="auto"/>
          <w:kern w:val="2"/>
          <w:sz w:val="32"/>
          <w:szCs w:val="32"/>
          <w:highlight w:val="none"/>
          <w:lang w:val="en-US" w:eastAsia="zh-CN" w:bidi="ar-SA"/>
        </w:rPr>
        <w:t>矿产资源供给与保障能力进一步提升；矿产资源开发利用结构和布局进一步优化；主要矿产资源节约集约利用水平有效提升；矿产资源领域治理体系和治理能力得到进一步完善；矿业产业与经济社会、生态文明协调发展的新格局基本建成</w:t>
      </w:r>
      <w:bookmarkEnd w:id="85"/>
      <w:r>
        <w:rPr>
          <w:rFonts w:ascii="Times New Roman" w:hAnsi="Times New Roman" w:eastAsia="仿宋_GB2312" w:cs="Times New Roman"/>
          <w:color w:val="auto"/>
          <w:kern w:val="2"/>
          <w:sz w:val="32"/>
          <w:szCs w:val="32"/>
          <w:highlight w:val="none"/>
          <w:lang w:val="en-US" w:eastAsia="zh-CN" w:bidi="ar-SA"/>
        </w:rPr>
        <w:t>。</w:t>
      </w:r>
    </w:p>
    <w:p w14:paraId="31D4D5DB">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绿色矿山建设</w:t>
      </w:r>
    </w:p>
    <w:p w14:paraId="1A64DA55">
      <w:pPr>
        <w:widowControl w:val="0"/>
        <w:spacing w:line="600" w:lineRule="exact"/>
        <w:ind w:firstLine="640"/>
        <w:jc w:val="both"/>
        <w:rPr>
          <w:rFonts w:ascii="Times New Roman" w:hAnsi="Times New Roman" w:eastAsia="仿宋_GB2312" w:cs="Times New Roman"/>
          <w:color w:val="auto"/>
          <w:kern w:val="2"/>
          <w:sz w:val="32"/>
          <w:szCs w:val="32"/>
          <w:highlight w:val="none"/>
          <w:lang w:val="en-US" w:eastAsia="zh-CN" w:bidi="ar-SA"/>
        </w:rPr>
      </w:pPr>
      <w:bookmarkStart w:id="86" w:name="_Hlk175296766"/>
      <w:r>
        <w:rPr>
          <w:rFonts w:ascii="Times New Roman" w:hAnsi="Times New Roman" w:eastAsia="仿宋_GB2312" w:cs="Times New Roman"/>
          <w:color w:val="auto"/>
          <w:kern w:val="2"/>
          <w:sz w:val="32"/>
          <w:szCs w:val="32"/>
          <w:highlight w:val="none"/>
          <w:lang w:val="en-US" w:eastAsia="zh-CN" w:bidi="ar-SA"/>
        </w:rPr>
        <w:t>重点矿区要按照</w:t>
      </w:r>
      <w:r>
        <w:rPr>
          <w:rFonts w:hint="eastAsia" w:ascii="Times New Roman" w:hAnsi="Times New Roman" w:eastAsia="仿宋_GB2312" w:cs="Times New Roman"/>
          <w:color w:val="auto"/>
          <w:kern w:val="2"/>
          <w:sz w:val="32"/>
          <w:szCs w:val="32"/>
          <w:highlight w:val="none"/>
          <w:lang w:val="en-US" w:eastAsia="zh-CN" w:bidi="ar-SA"/>
        </w:rPr>
        <w:t>省</w:t>
      </w:r>
      <w:r>
        <w:rPr>
          <w:rFonts w:ascii="Times New Roman" w:hAnsi="Times New Roman" w:eastAsia="仿宋_GB2312" w:cs="Times New Roman"/>
          <w:color w:val="auto"/>
          <w:kern w:val="2"/>
          <w:sz w:val="32"/>
          <w:szCs w:val="32"/>
          <w:highlight w:val="none"/>
          <w:lang w:val="en-US" w:eastAsia="zh-CN" w:bidi="ar-SA"/>
        </w:rPr>
        <w:t>级及以上绿色矿山建设标准，加快各矿山绿色矿山建设，积极争取纳入国家级绿色矿山管理名录。储备区内，</w:t>
      </w:r>
      <w:r>
        <w:rPr>
          <w:rFonts w:ascii="Times New Roman" w:hAnsi="Times New Roman" w:eastAsia="仿宋_GB2312" w:cs="Times New Roman"/>
          <w:color w:val="auto"/>
          <w:kern w:val="2"/>
          <w:sz w:val="32"/>
          <w:szCs w:val="32"/>
          <w:highlight w:val="none"/>
          <w:shd w:val="clear" w:color="auto" w:fill="FFFFFF"/>
          <w:lang w:val="en-US" w:eastAsia="zh-CN" w:bidi="ar-SA"/>
        </w:rPr>
        <w:t>非</w:t>
      </w:r>
      <w:r>
        <w:rPr>
          <w:rFonts w:ascii="Times New Roman" w:hAnsi="Times New Roman" w:eastAsia="仿宋_GB2312" w:cs="Times New Roman"/>
          <w:color w:val="auto"/>
          <w:kern w:val="2"/>
          <w:sz w:val="32"/>
          <w:szCs w:val="32"/>
          <w:highlight w:val="none"/>
          <w:lang w:val="en-US" w:eastAsia="zh-CN" w:bidi="ar-SA"/>
        </w:rPr>
        <w:t>主矿种的其他矿山严格设置准入，确需设置的，须经严格论证，在不影响主矿种的情况下且经</w:t>
      </w:r>
      <w:r>
        <w:rPr>
          <w:rFonts w:hint="eastAsia" w:ascii="Times New Roman" w:hAnsi="Times New Roman" w:eastAsia="仿宋_GB2312" w:cs="Times New Roman"/>
          <w:color w:val="auto"/>
          <w:kern w:val="2"/>
          <w:sz w:val="32"/>
          <w:szCs w:val="32"/>
          <w:highlight w:val="none"/>
          <w:lang w:val="en-US" w:eastAsia="zh-CN" w:bidi="ar-SA"/>
        </w:rPr>
        <w:t>省</w:t>
      </w:r>
      <w:r>
        <w:rPr>
          <w:rFonts w:ascii="Times New Roman" w:hAnsi="Times New Roman" w:eastAsia="仿宋_GB2312" w:cs="Times New Roman"/>
          <w:color w:val="auto"/>
          <w:kern w:val="2"/>
          <w:sz w:val="32"/>
          <w:szCs w:val="32"/>
          <w:highlight w:val="none"/>
          <w:lang w:val="en-US" w:eastAsia="zh-CN" w:bidi="ar-SA"/>
        </w:rPr>
        <w:t>级自然资源管理部门批准，方能设立。完善监测管理系统，实现矿山地质环境保护与治理的动态管理，所有生产矿山必须制定环境保护方案，并合理使用矿山地质环境治理恢复基金，切实保护生态环境，同时严格执行矿山地质环境破坏的处罚制度，从严从重处罚破坏矿山地质环境的活动。</w:t>
      </w:r>
    </w:p>
    <w:bookmarkEnd w:id="86"/>
    <w:p w14:paraId="53EA8DD6">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87" w:name="_Toc26477"/>
      <w:r>
        <w:rPr>
          <w:rFonts w:ascii="Times New Roman" w:hAnsi="Times New Roman" w:eastAsia="黑体" w:cs="Times New Roman"/>
          <w:color w:val="auto"/>
          <w:kern w:val="2"/>
          <w:sz w:val="32"/>
          <w:szCs w:val="24"/>
          <w:highlight w:val="none"/>
          <w:lang w:val="en-US" w:eastAsia="zh-CN" w:bidi="ar-SA"/>
        </w:rPr>
        <w:t>第</w:t>
      </w:r>
      <w:r>
        <w:rPr>
          <w:rFonts w:hint="eastAsia" w:ascii="Times New Roman" w:hAnsi="Times New Roman" w:eastAsia="黑体" w:cs="Times New Roman"/>
          <w:color w:val="auto"/>
          <w:kern w:val="2"/>
          <w:sz w:val="32"/>
          <w:szCs w:val="24"/>
          <w:highlight w:val="none"/>
          <w:lang w:val="en-US" w:eastAsia="zh-CN" w:bidi="ar-SA"/>
        </w:rPr>
        <w:t>三</w:t>
      </w:r>
      <w:r>
        <w:rPr>
          <w:rFonts w:ascii="Times New Roman" w:hAnsi="Times New Roman" w:eastAsia="黑体" w:cs="Times New Roman"/>
          <w:color w:val="auto"/>
          <w:kern w:val="2"/>
          <w:sz w:val="32"/>
          <w:szCs w:val="24"/>
          <w:highlight w:val="none"/>
          <w:lang w:val="en-US" w:eastAsia="zh-CN" w:bidi="ar-SA"/>
        </w:rPr>
        <w:t>节 优化城</w:t>
      </w:r>
      <w:r>
        <w:rPr>
          <w:rFonts w:hint="eastAsia" w:ascii="Times New Roman" w:hAnsi="Times New Roman" w:eastAsia="黑体" w:cs="Times New Roman"/>
          <w:color w:val="auto"/>
          <w:kern w:val="2"/>
          <w:sz w:val="32"/>
          <w:szCs w:val="24"/>
          <w:highlight w:val="none"/>
          <w:lang w:val="en-US" w:eastAsia="zh-CN" w:bidi="ar-SA"/>
        </w:rPr>
        <w:t>乡</w:t>
      </w:r>
      <w:r>
        <w:rPr>
          <w:rFonts w:ascii="Times New Roman" w:hAnsi="Times New Roman" w:eastAsia="黑体" w:cs="Times New Roman"/>
          <w:color w:val="auto"/>
          <w:kern w:val="2"/>
          <w:sz w:val="32"/>
          <w:szCs w:val="24"/>
          <w:highlight w:val="none"/>
          <w:lang w:val="en-US" w:eastAsia="zh-CN" w:bidi="ar-SA"/>
        </w:rPr>
        <w:t>发展空间</w:t>
      </w:r>
      <w:bookmarkEnd w:id="78"/>
      <w:bookmarkEnd w:id="87"/>
    </w:p>
    <w:p w14:paraId="038634F6">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hint="eastAsia" w:ascii="Calibri" w:hAnsi="Calibri" w:eastAsia="楷体_GB2312" w:cs="Times New Roman"/>
          <w:b/>
          <w:color w:val="auto"/>
          <w:kern w:val="2"/>
          <w:sz w:val="32"/>
          <w:szCs w:val="24"/>
          <w:highlight w:val="none"/>
          <w:lang w:val="en-US" w:eastAsia="zh-CN" w:bidi="ar-SA"/>
        </w:rPr>
        <w:t>乡镇</w:t>
      </w:r>
      <w:r>
        <w:rPr>
          <w:rFonts w:ascii="Calibri" w:hAnsi="Calibri" w:eastAsia="楷体_GB2312" w:cs="Times New Roman"/>
          <w:b/>
          <w:color w:val="auto"/>
          <w:kern w:val="2"/>
          <w:sz w:val="32"/>
          <w:szCs w:val="24"/>
          <w:highlight w:val="none"/>
          <w:lang w:val="en-US" w:eastAsia="zh-CN" w:bidi="ar-SA"/>
        </w:rPr>
        <w:t>人口规模预测</w:t>
      </w:r>
    </w:p>
    <w:p w14:paraId="3C0390BC">
      <w:pPr>
        <w:ind w:firstLine="640" w:firstLineChars="200"/>
        <w:rPr>
          <w:rFonts w:ascii="Times New Roman" w:hAnsi="Times New Roman" w:cs="Times New Roman"/>
          <w:color w:val="auto"/>
          <w:szCs w:val="32"/>
          <w:highlight w:val="none"/>
        </w:rPr>
      </w:pPr>
      <w:bookmarkStart w:id="88" w:name="_Hlk175290622"/>
      <w:r>
        <w:rPr>
          <w:rFonts w:ascii="Times New Roman" w:hAnsi="Times New Roman" w:cs="Times New Roman"/>
          <w:color w:val="auto"/>
          <w:szCs w:val="32"/>
          <w:highlight w:val="none"/>
        </w:rPr>
        <w:t>综合考虑苏家店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人口发展历程和社会经济发展状况，苏家店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户籍人口和常住人口均处于逐年减少的态势。</w:t>
      </w:r>
    </w:p>
    <w:p w14:paraId="52DA74F4">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截至</w:t>
      </w:r>
      <w:r>
        <w:rPr>
          <w:rFonts w:ascii="Times New Roman" w:hAnsi="Times New Roman" w:cs="Times New Roman"/>
          <w:color w:val="auto"/>
          <w:szCs w:val="32"/>
          <w:highlight w:val="none"/>
        </w:rPr>
        <w:t>2020年末，苏家店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全域常住人口</w:t>
      </w:r>
      <w:r>
        <w:rPr>
          <w:rFonts w:hint="eastAsia" w:ascii="Times New Roman" w:hAnsi="Times New Roman" w:cs="Times New Roman"/>
          <w:color w:val="auto"/>
          <w:szCs w:val="32"/>
          <w:highlight w:val="none"/>
          <w:lang w:val="en-US" w:eastAsia="zh-CN"/>
        </w:rPr>
        <w:t>0.</w:t>
      </w:r>
      <w:r>
        <w:rPr>
          <w:rFonts w:ascii="Times New Roman" w:hAnsi="Times New Roman" w:cs="Times New Roman"/>
          <w:color w:val="auto"/>
          <w:szCs w:val="32"/>
          <w:highlight w:val="none"/>
        </w:rPr>
        <w:t>88</w:t>
      </w:r>
      <w:r>
        <w:rPr>
          <w:rFonts w:hint="eastAsia" w:ascii="Times New Roman" w:hAnsi="Times New Roman" w:cs="Times New Roman"/>
          <w:color w:val="auto"/>
          <w:szCs w:val="32"/>
          <w:highlight w:val="none"/>
          <w:lang w:val="en-US" w:eastAsia="zh-CN"/>
        </w:rPr>
        <w:t>万</w:t>
      </w:r>
      <w:r>
        <w:rPr>
          <w:rFonts w:ascii="Times New Roman" w:hAnsi="Times New Roman" w:cs="Times New Roman"/>
          <w:color w:val="auto"/>
          <w:szCs w:val="32"/>
          <w:highlight w:val="none"/>
        </w:rPr>
        <w:t>人，预计到2025年</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域常住人口约为0.85万人，到2035年</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域常住人口约为0.8万人。</w:t>
      </w:r>
    </w:p>
    <w:p w14:paraId="0101B7C6">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截至</w:t>
      </w:r>
      <w:r>
        <w:rPr>
          <w:rFonts w:ascii="Times New Roman" w:hAnsi="Times New Roman" w:cs="Times New Roman"/>
          <w:color w:val="auto"/>
          <w:szCs w:val="32"/>
          <w:highlight w:val="none"/>
        </w:rPr>
        <w:t>2020年末，</w:t>
      </w:r>
      <w:r>
        <w:rPr>
          <w:rFonts w:hint="eastAsia" w:ascii="Times New Roman" w:hAnsi="Times New Roman" w:cs="Times New Roman"/>
          <w:color w:val="auto"/>
          <w:szCs w:val="32"/>
          <w:highlight w:val="none"/>
        </w:rPr>
        <w:t>苏家店</w:t>
      </w:r>
      <w:r>
        <w:rPr>
          <w:rFonts w:hint="eastAsia" w:ascii="Times New Roman" w:hAnsi="Times New Roman" w:cs="Times New Roman"/>
          <w:color w:val="auto"/>
          <w:szCs w:val="32"/>
          <w:highlight w:val="none"/>
          <w:lang w:eastAsia="zh-CN"/>
        </w:rPr>
        <w:t>镇镇</w:t>
      </w:r>
      <w:r>
        <w:rPr>
          <w:rFonts w:hint="eastAsia" w:ascii="Times New Roman" w:hAnsi="Times New Roman" w:cs="Times New Roman"/>
          <w:color w:val="auto"/>
          <w:szCs w:val="32"/>
          <w:highlight w:val="none"/>
        </w:rPr>
        <w:t>政府驻地</w:t>
      </w:r>
      <w:r>
        <w:rPr>
          <w:rFonts w:ascii="Times New Roman" w:hAnsi="Times New Roman" w:cs="Times New Roman"/>
          <w:color w:val="auto"/>
          <w:szCs w:val="32"/>
          <w:highlight w:val="none"/>
        </w:rPr>
        <w:t>常住人口为2237人，预计到2025年</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政府驻地常住人口约为0.23万人，到2035年</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政府驻地常住人口约为0.25万人。</w:t>
      </w:r>
    </w:p>
    <w:bookmarkEnd w:id="88"/>
    <w:p w14:paraId="63AF16BF">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城</w:t>
      </w:r>
      <w:r>
        <w:rPr>
          <w:rFonts w:hint="eastAsia" w:ascii="Calibri" w:hAnsi="Calibri" w:eastAsia="楷体_GB2312" w:cs="Times New Roman"/>
          <w:b/>
          <w:color w:val="auto"/>
          <w:kern w:val="2"/>
          <w:sz w:val="32"/>
          <w:szCs w:val="24"/>
          <w:highlight w:val="none"/>
          <w:lang w:val="en-US" w:eastAsia="zh-CN" w:bidi="ar-SA"/>
        </w:rPr>
        <w:t>镇</w:t>
      </w:r>
      <w:r>
        <w:rPr>
          <w:rFonts w:ascii="Calibri" w:hAnsi="Calibri" w:eastAsia="楷体_GB2312" w:cs="Times New Roman"/>
          <w:b/>
          <w:color w:val="auto"/>
          <w:kern w:val="2"/>
          <w:sz w:val="32"/>
          <w:szCs w:val="24"/>
          <w:highlight w:val="none"/>
          <w:lang w:val="en-US" w:eastAsia="zh-CN" w:bidi="ar-SA"/>
        </w:rPr>
        <w:t>化率预测</w:t>
      </w:r>
    </w:p>
    <w:p w14:paraId="00E46C26">
      <w:pPr>
        <w:widowControl/>
        <w:ind w:firstLine="640" w:firstLineChars="200"/>
        <w:rPr>
          <w:rFonts w:ascii="Times New Roman" w:hAnsi="Times New Roman" w:cs="Times New Roman"/>
          <w:color w:val="auto"/>
          <w:szCs w:val="32"/>
          <w:highlight w:val="none"/>
        </w:rPr>
      </w:pPr>
      <w:bookmarkStart w:id="89" w:name="_Hlk175290655"/>
      <w:r>
        <w:rPr>
          <w:rFonts w:hint="eastAsia" w:ascii="Times New Roman" w:hAnsi="Times New Roman" w:cs="Times New Roman"/>
          <w:color w:val="auto"/>
          <w:szCs w:val="32"/>
          <w:highlight w:val="none"/>
        </w:rPr>
        <w:t>截至</w:t>
      </w:r>
      <w:r>
        <w:rPr>
          <w:rFonts w:ascii="Times New Roman" w:hAnsi="Times New Roman" w:cs="Times New Roman"/>
          <w:color w:val="auto"/>
          <w:szCs w:val="32"/>
          <w:highlight w:val="none"/>
        </w:rPr>
        <w:t>2020年末，苏家店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全域城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常住人口为2237人，常住人口城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化率为25.</w:t>
      </w:r>
      <w:r>
        <w:rPr>
          <w:rFonts w:hint="eastAsia" w:ascii="Times New Roman" w:hAnsi="Times New Roman" w:cs="Times New Roman"/>
          <w:color w:val="auto"/>
          <w:szCs w:val="32"/>
          <w:highlight w:val="none"/>
          <w:lang w:val="en-US" w:eastAsia="zh-CN"/>
        </w:rPr>
        <w:t>00</w:t>
      </w:r>
      <w:r>
        <w:rPr>
          <w:rFonts w:ascii="Times New Roman" w:hAnsi="Times New Roman" w:cs="Times New Roman"/>
          <w:color w:val="auto"/>
          <w:szCs w:val="32"/>
          <w:highlight w:val="none"/>
        </w:rPr>
        <w:t>%。</w:t>
      </w:r>
    </w:p>
    <w:p w14:paraId="64C3C126">
      <w:pPr>
        <w:widowControl/>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按照桦川</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化发展的规律，在未来一段时间内发展速度会保持稳步提高。预测到2025年苏家店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化率27.06%，到2035年城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化率31.25%</w:t>
      </w:r>
      <w:bookmarkEnd w:id="89"/>
      <w:r>
        <w:rPr>
          <w:rFonts w:ascii="Times New Roman" w:hAnsi="Times New Roman" w:cs="Times New Roman"/>
          <w:color w:val="auto"/>
          <w:szCs w:val="32"/>
          <w:highlight w:val="none"/>
        </w:rPr>
        <w:t>。</w:t>
      </w:r>
    </w:p>
    <w:p w14:paraId="1674F878">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构建</w:t>
      </w:r>
      <w:r>
        <w:rPr>
          <w:rFonts w:hint="eastAsia" w:ascii="Calibri" w:hAnsi="Calibri" w:eastAsia="楷体_GB2312" w:cs="Times New Roman"/>
          <w:b/>
          <w:color w:val="auto"/>
          <w:kern w:val="2"/>
          <w:sz w:val="32"/>
          <w:szCs w:val="24"/>
          <w:highlight w:val="none"/>
          <w:lang w:val="en-US" w:eastAsia="zh-CN" w:bidi="ar-SA"/>
        </w:rPr>
        <w:t>镇</w:t>
      </w:r>
      <w:r>
        <w:rPr>
          <w:rFonts w:ascii="Calibri" w:hAnsi="Calibri" w:eastAsia="楷体_GB2312" w:cs="Times New Roman"/>
          <w:b/>
          <w:color w:val="auto"/>
          <w:kern w:val="2"/>
          <w:sz w:val="32"/>
          <w:szCs w:val="24"/>
          <w:highlight w:val="none"/>
          <w:lang w:val="en-US" w:eastAsia="zh-CN" w:bidi="ar-SA"/>
        </w:rPr>
        <w:t>村等级体系</w:t>
      </w:r>
    </w:p>
    <w:p w14:paraId="56568B3D">
      <w:pPr>
        <w:ind w:firstLine="640" w:firstLineChars="200"/>
        <w:rPr>
          <w:rFonts w:ascii="Times New Roman" w:hAnsi="Times New Roman" w:cs="Times New Roman"/>
          <w:color w:val="auto"/>
          <w:szCs w:val="32"/>
          <w:highlight w:val="none"/>
        </w:rPr>
      </w:pPr>
      <w:bookmarkStart w:id="90" w:name="_Hlk175290692"/>
      <w:r>
        <w:rPr>
          <w:rFonts w:ascii="Times New Roman" w:hAnsi="Times New Roman" w:cs="Times New Roman"/>
          <w:color w:val="auto"/>
          <w:szCs w:val="32"/>
          <w:highlight w:val="none"/>
        </w:rPr>
        <w:t>综合考虑</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当地人口规模、经济职能等因素，同时结合</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村振兴战略要求，在村庄分类调整的基础上规划形成</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政府驻地、中心村和基层村三级</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村等级体系：</w:t>
      </w:r>
      <w:bookmarkEnd w:id="90"/>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1"/>
        <w:gridCol w:w="6168"/>
      </w:tblGrid>
      <w:tr w14:paraId="6C5B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vAlign w:val="center"/>
          </w:tcPr>
          <w:p w14:paraId="2245B9C4">
            <w:pPr>
              <w:widowControl w:val="0"/>
              <w:spacing w:line="240" w:lineRule="auto"/>
              <w:ind w:firstLine="0" w:firstLineChars="0"/>
              <w:jc w:val="center"/>
              <w:rPr>
                <w:rFonts w:ascii="Times New Roman" w:hAnsi="Times New Roman" w:eastAsia="宋体" w:cs="Times New Roman"/>
                <w:bCs/>
                <w:color w:val="auto"/>
                <w:kern w:val="2"/>
                <w:sz w:val="24"/>
                <w:szCs w:val="24"/>
                <w:highlight w:val="none"/>
                <w:lang w:val="en-US" w:eastAsia="zh-CN" w:bidi="ar-SA"/>
              </w:rPr>
            </w:pPr>
            <w:bookmarkStart w:id="91" w:name="_Hlk175290805"/>
            <w:r>
              <w:rPr>
                <w:rFonts w:ascii="Times New Roman" w:hAnsi="Times New Roman" w:eastAsia="黑体" w:cs="Times New Roman"/>
                <w:bCs w:val="0"/>
                <w:color w:val="auto"/>
                <w:kern w:val="2"/>
                <w:sz w:val="30"/>
                <w:szCs w:val="30"/>
                <w:highlight w:val="none"/>
                <w:lang w:val="en-US" w:eastAsia="zh-CN" w:bidi="ar-SA"/>
              </w:rPr>
              <w:t>专栏</w:t>
            </w:r>
            <w:r>
              <w:rPr>
                <w:rFonts w:hint="eastAsia" w:ascii="Times New Roman" w:hAnsi="Times New Roman" w:eastAsia="黑体" w:cs="Times New Roman"/>
                <w:bCs w:val="0"/>
                <w:color w:val="auto"/>
                <w:kern w:val="2"/>
                <w:sz w:val="30"/>
                <w:szCs w:val="30"/>
                <w:highlight w:val="none"/>
                <w:lang w:val="en-US" w:eastAsia="zh-CN" w:bidi="ar-SA"/>
              </w:rPr>
              <w:t>3</w:t>
            </w:r>
            <w:r>
              <w:rPr>
                <w:rFonts w:ascii="Times New Roman" w:hAnsi="Times New Roman" w:eastAsia="黑体" w:cs="Times New Roman"/>
                <w:bCs w:val="0"/>
                <w:color w:val="auto"/>
                <w:kern w:val="2"/>
                <w:sz w:val="30"/>
                <w:szCs w:val="30"/>
                <w:highlight w:val="none"/>
                <w:lang w:val="en-US" w:eastAsia="zh-CN" w:bidi="ar-SA"/>
              </w:rPr>
              <w:t>：</w:t>
            </w:r>
            <w:r>
              <w:rPr>
                <w:rFonts w:hint="eastAsia" w:ascii="Times New Roman" w:hAnsi="Times New Roman" w:eastAsia="黑体" w:cs="Times New Roman"/>
                <w:bCs w:val="0"/>
                <w:color w:val="auto"/>
                <w:kern w:val="2"/>
                <w:sz w:val="30"/>
                <w:szCs w:val="30"/>
                <w:highlight w:val="none"/>
                <w:lang w:val="en-US" w:eastAsia="zh-CN" w:bidi="ar-SA"/>
              </w:rPr>
              <w:t>镇</w:t>
            </w:r>
            <w:r>
              <w:rPr>
                <w:rFonts w:ascii="Times New Roman" w:hAnsi="Times New Roman" w:eastAsia="黑体" w:cs="Times New Roman"/>
                <w:bCs w:val="0"/>
                <w:color w:val="auto"/>
                <w:kern w:val="2"/>
                <w:sz w:val="30"/>
                <w:szCs w:val="30"/>
                <w:highlight w:val="none"/>
                <w:lang w:val="en-US" w:eastAsia="zh-CN" w:bidi="ar-SA"/>
              </w:rPr>
              <w:t>村等级体系一览表</w:t>
            </w:r>
          </w:p>
        </w:tc>
      </w:tr>
      <w:tr w14:paraId="5A275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731F316D">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等级</w:t>
            </w:r>
          </w:p>
        </w:tc>
        <w:tc>
          <w:tcPr>
            <w:tcW w:w="3619" w:type="pct"/>
            <w:vAlign w:val="center"/>
          </w:tcPr>
          <w:p w14:paraId="09D2B1B5">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名称</w:t>
            </w:r>
          </w:p>
        </w:tc>
      </w:tr>
      <w:tr w14:paraId="006B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1BE3AC6A">
            <w:pPr>
              <w:spacing w:line="240" w:lineRule="auto"/>
              <w:jc w:val="center"/>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镇</w:t>
            </w:r>
            <w:r>
              <w:rPr>
                <w:rFonts w:ascii="Times New Roman" w:hAnsi="Times New Roman" w:cs="Times New Roman"/>
                <w:color w:val="auto"/>
                <w:sz w:val="24"/>
                <w:highlight w:val="none"/>
              </w:rPr>
              <w:t>政府驻地</w:t>
            </w:r>
          </w:p>
        </w:tc>
        <w:tc>
          <w:tcPr>
            <w:tcW w:w="3619" w:type="pct"/>
            <w:vAlign w:val="center"/>
          </w:tcPr>
          <w:p w14:paraId="63850E0D">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苏家店村</w:t>
            </w:r>
          </w:p>
        </w:tc>
      </w:tr>
      <w:tr w14:paraId="3653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21B689D0">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中心村</w:t>
            </w:r>
          </w:p>
        </w:tc>
        <w:tc>
          <w:tcPr>
            <w:tcW w:w="3619" w:type="pct"/>
            <w:vAlign w:val="center"/>
          </w:tcPr>
          <w:p w14:paraId="2F05963D">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shd w:val="clear" w:color="auto" w:fill="FFFFFF"/>
              </w:rPr>
              <w:t>自</w:t>
            </w:r>
            <w:r>
              <w:rPr>
                <w:rFonts w:ascii="Times New Roman" w:hAnsi="Times New Roman" w:cs="Times New Roman"/>
                <w:color w:val="auto"/>
                <w:sz w:val="24"/>
                <w:highlight w:val="none"/>
              </w:rPr>
              <w:t>新村、中安村、集贤村、新胜村、朱家村</w:t>
            </w:r>
          </w:p>
        </w:tc>
      </w:tr>
      <w:tr w14:paraId="6C55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exact"/>
        </w:trPr>
        <w:tc>
          <w:tcPr>
            <w:tcW w:w="1380" w:type="pct"/>
            <w:vAlign w:val="center"/>
          </w:tcPr>
          <w:p w14:paraId="010CFA5E">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基层村</w:t>
            </w:r>
          </w:p>
        </w:tc>
        <w:tc>
          <w:tcPr>
            <w:tcW w:w="3619" w:type="pct"/>
            <w:vAlign w:val="center"/>
          </w:tcPr>
          <w:p w14:paraId="398F4DD1">
            <w:pPr>
              <w:spacing w:line="24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北山村、八家子村、团结村、兴光村、桦树川村</w:t>
            </w:r>
          </w:p>
        </w:tc>
      </w:tr>
      <w:bookmarkEnd w:id="91"/>
    </w:tbl>
    <w:p w14:paraId="21E017B9">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92" w:name="_Toc18078"/>
      <w:r>
        <w:rPr>
          <w:rFonts w:ascii="Calibri" w:hAnsi="Calibri" w:eastAsia="楷体_GB2312" w:cs="Times New Roman"/>
          <w:b/>
          <w:color w:val="auto"/>
          <w:kern w:val="2"/>
          <w:sz w:val="32"/>
          <w:szCs w:val="24"/>
          <w:highlight w:val="none"/>
          <w:lang w:val="en-US" w:eastAsia="zh-CN" w:bidi="ar-SA"/>
        </w:rPr>
        <w:t>构建特色现代产业体系</w:t>
      </w:r>
    </w:p>
    <w:p w14:paraId="670FAC42">
      <w:pPr>
        <w:ind w:firstLine="640" w:firstLineChars="200"/>
        <w:rPr>
          <w:rFonts w:ascii="Times New Roman" w:hAnsi="Times New Roman" w:cs="Times New Roman"/>
          <w:color w:val="auto"/>
          <w:szCs w:val="32"/>
          <w:highlight w:val="none"/>
        </w:rPr>
      </w:pPr>
      <w:bookmarkStart w:id="93" w:name="_Hlk175291099"/>
      <w:r>
        <w:rPr>
          <w:rFonts w:ascii="Times New Roman" w:hAnsi="Times New Roman" w:cs="Times New Roman"/>
          <w:color w:val="auto"/>
          <w:szCs w:val="32"/>
          <w:highlight w:val="none"/>
        </w:rPr>
        <w:t>依托苏家店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自身产业特征，规划形成“3+1+1”产业体系。包括3个支柱产业，1个特色产业以及1个潜力产业。</w:t>
      </w:r>
    </w:p>
    <w:p w14:paraId="30ACC6B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未来产业发展应充分发挥现有优势，以现代农业为基础，以粮食和农副产品加工业为支撑，以绿色有机食品为引擎。重点改造提升“三大支柱产业”、巩固完善“特色引擎产业”，积极培育“潜力产业”，构建“3+1+1”的产业发展体系。</w:t>
      </w:r>
      <w:bookmarkEnd w:id="93"/>
    </w:p>
    <w:p w14:paraId="6DE3336F">
      <w:pPr>
        <w:ind w:firstLine="640" w:firstLineChars="200"/>
        <w:rPr>
          <w:rFonts w:ascii="Times New Roman" w:hAnsi="Times New Roman" w:cs="Times New Roman"/>
          <w:color w:val="auto"/>
          <w:szCs w:val="32"/>
          <w:highlight w:val="none"/>
        </w:rPr>
      </w:pPr>
      <w:bookmarkStart w:id="94" w:name="_Hlk175291143"/>
      <w:r>
        <w:rPr>
          <w:rFonts w:ascii="Times New Roman" w:hAnsi="Times New Roman" w:cs="Times New Roman"/>
          <w:color w:val="auto"/>
          <w:szCs w:val="32"/>
          <w:highlight w:val="none"/>
        </w:rPr>
        <w:t>“3”：即现代农业、绿色有机食品业、粮食和农副产品加工业。改造提升三大支柱产业。</w:t>
      </w:r>
    </w:p>
    <w:p w14:paraId="7C256A0B">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“1”：即酒文化文旅产业。做强特色产业。</w:t>
      </w:r>
    </w:p>
    <w:p w14:paraId="46DDEA47">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“1”：即仓储物流产业。突出区位和交通优势，积极培育潜力产业。</w:t>
      </w:r>
    </w:p>
    <w:bookmarkEnd w:id="63"/>
    <w:bookmarkEnd w:id="92"/>
    <w:bookmarkEnd w:id="94"/>
    <w:p w14:paraId="2387E7CF">
      <w:pPr>
        <w:keepNext/>
        <w:keepLines w:val="0"/>
        <w:widowControl w:val="0"/>
        <w:spacing w:before="340" w:beforeLines="50" w:after="330" w:afterLines="50" w:line="600" w:lineRule="exact"/>
        <w:jc w:val="center"/>
        <w:outlineLvl w:val="0"/>
        <w:rPr>
          <w:rFonts w:ascii="Times New Roman" w:hAnsi="Times New Roman" w:eastAsia="方正小标宋简体" w:cs="Times New Roman"/>
          <w:color w:val="auto"/>
          <w:kern w:val="44"/>
          <w:sz w:val="36"/>
          <w:szCs w:val="24"/>
          <w:highlight w:val="none"/>
          <w:lang w:val="en-US" w:eastAsia="zh-CN" w:bidi="ar-SA"/>
        </w:rPr>
      </w:pPr>
      <w:bookmarkStart w:id="95" w:name="_Toc26686"/>
      <w:bookmarkStart w:id="96" w:name="_Toc6577"/>
      <w:bookmarkStart w:id="97" w:name="_Toc26665"/>
      <w:r>
        <w:rPr>
          <w:rFonts w:ascii="Times New Roman" w:hAnsi="Times New Roman" w:eastAsia="方正小标宋简体" w:cs="Times New Roman"/>
          <w:color w:val="auto"/>
          <w:kern w:val="44"/>
          <w:sz w:val="36"/>
          <w:szCs w:val="24"/>
          <w:highlight w:val="none"/>
          <w:lang w:val="en-US" w:eastAsia="zh-CN" w:bidi="ar-SA"/>
        </w:rPr>
        <w:t>第</w:t>
      </w:r>
      <w:r>
        <w:rPr>
          <w:rFonts w:hint="eastAsia" w:ascii="Times New Roman" w:hAnsi="Times New Roman" w:eastAsia="方正小标宋简体" w:cs="Times New Roman"/>
          <w:color w:val="auto"/>
          <w:kern w:val="44"/>
          <w:sz w:val="36"/>
          <w:szCs w:val="24"/>
          <w:highlight w:val="none"/>
          <w:lang w:val="en-US" w:eastAsia="zh-CN" w:bidi="ar-SA"/>
        </w:rPr>
        <w:t>五</w:t>
      </w:r>
      <w:r>
        <w:rPr>
          <w:rFonts w:ascii="Times New Roman" w:hAnsi="Times New Roman" w:eastAsia="方正小标宋简体" w:cs="Times New Roman"/>
          <w:color w:val="auto"/>
          <w:kern w:val="44"/>
          <w:sz w:val="36"/>
          <w:szCs w:val="24"/>
          <w:highlight w:val="none"/>
          <w:lang w:val="en-US" w:eastAsia="zh-CN" w:bidi="ar-SA"/>
        </w:rPr>
        <w:t xml:space="preserve">章 </w:t>
      </w:r>
      <w:r>
        <w:rPr>
          <w:rFonts w:hint="eastAsia" w:ascii="Times New Roman" w:hAnsi="Times New Roman" w:eastAsia="方正小标宋简体" w:cs="Times New Roman"/>
          <w:color w:val="auto"/>
          <w:kern w:val="44"/>
          <w:sz w:val="36"/>
          <w:szCs w:val="24"/>
          <w:highlight w:val="none"/>
          <w:lang w:val="en-US" w:eastAsia="zh-CN" w:bidi="ar-SA"/>
        </w:rPr>
        <w:t>镇</w:t>
      </w:r>
      <w:r>
        <w:rPr>
          <w:rFonts w:ascii="Times New Roman" w:hAnsi="Times New Roman" w:eastAsia="方正小标宋简体" w:cs="Times New Roman"/>
          <w:color w:val="auto"/>
          <w:kern w:val="44"/>
          <w:sz w:val="36"/>
          <w:szCs w:val="24"/>
          <w:highlight w:val="none"/>
          <w:lang w:val="en-US" w:eastAsia="zh-CN" w:bidi="ar-SA"/>
        </w:rPr>
        <w:t>政府驻地用地布局与结构</w:t>
      </w:r>
      <w:bookmarkEnd w:id="95"/>
    </w:p>
    <w:p w14:paraId="3F043010">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98" w:name="_Toc5087"/>
      <w:bookmarkStart w:id="99" w:name="_Toc9453"/>
      <w:r>
        <w:rPr>
          <w:rFonts w:ascii="Times New Roman" w:hAnsi="Times New Roman" w:eastAsia="黑体" w:cs="Times New Roman"/>
          <w:color w:val="auto"/>
          <w:kern w:val="2"/>
          <w:sz w:val="32"/>
          <w:szCs w:val="24"/>
          <w:highlight w:val="none"/>
          <w:lang w:val="en-US" w:eastAsia="zh-CN" w:bidi="ar-SA"/>
        </w:rPr>
        <w:t>第一节 优化空间结构与用地布局</w:t>
      </w:r>
      <w:bookmarkEnd w:id="98"/>
      <w:bookmarkEnd w:id="99"/>
    </w:p>
    <w:p w14:paraId="56B05C9A">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优化空间结构</w:t>
      </w:r>
    </w:p>
    <w:p w14:paraId="5F74999D">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bookmarkStart w:id="100" w:name="_Hlk175291644"/>
      <w:r>
        <w:rPr>
          <w:rFonts w:ascii="Times New Roman" w:hAnsi="Times New Roman" w:eastAsia="仿宋_GB2312" w:cs="Times New Roman"/>
          <w:bCs w:val="0"/>
          <w:color w:val="auto"/>
          <w:kern w:val="2"/>
          <w:sz w:val="32"/>
          <w:szCs w:val="32"/>
          <w:highlight w:val="none"/>
          <w:lang w:val="en-US" w:eastAsia="zh-CN" w:bidi="ar-SA"/>
        </w:rPr>
        <w:t>规划形成“一轴、一心、五区”的用地布局结构。</w:t>
      </w:r>
    </w:p>
    <w:p w14:paraId="08152729">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“一轴”：</w:t>
      </w:r>
      <w:r>
        <w:rPr>
          <w:rFonts w:ascii="Times New Roman" w:hAnsi="Times New Roman" w:eastAsia="仿宋_GB2312" w:cs="Times New Roman"/>
          <w:bCs w:val="0"/>
          <w:color w:val="auto"/>
          <w:kern w:val="2"/>
          <w:sz w:val="32"/>
          <w:szCs w:val="32"/>
          <w:highlight w:val="none"/>
          <w:shd w:val="clear" w:color="auto" w:fill="FFFFFF"/>
          <w:lang w:val="en-US" w:eastAsia="zh-CN" w:bidi="ar-SA"/>
        </w:rPr>
        <w:t>指</w:t>
      </w:r>
      <w:r>
        <w:rPr>
          <w:rFonts w:ascii="Times New Roman" w:hAnsi="Times New Roman" w:eastAsia="仿宋_GB2312" w:cs="Times New Roman"/>
          <w:bCs w:val="0"/>
          <w:color w:val="auto"/>
          <w:kern w:val="2"/>
          <w:sz w:val="32"/>
          <w:szCs w:val="32"/>
          <w:highlight w:val="none"/>
          <w:lang w:val="en-US" w:eastAsia="zh-CN" w:bidi="ar-SA"/>
        </w:rPr>
        <w:t>城</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发展主轴——指以</w:t>
      </w:r>
      <w:r>
        <w:rPr>
          <w:rFonts w:hint="eastAsia" w:ascii="Times New Roman" w:hAnsi="Times New Roman" w:eastAsia="仿宋_GB2312" w:cs="Times New Roman"/>
          <w:bCs w:val="0"/>
          <w:color w:val="auto"/>
          <w:kern w:val="2"/>
          <w:sz w:val="32"/>
          <w:szCs w:val="32"/>
          <w:highlight w:val="none"/>
          <w:lang w:val="en-US" w:eastAsia="zh-CN" w:bidi="ar-SA"/>
        </w:rPr>
        <w:t>国道</w:t>
      </w:r>
      <w:r>
        <w:rPr>
          <w:rFonts w:ascii="Times New Roman" w:hAnsi="Times New Roman" w:eastAsia="仿宋_GB2312" w:cs="Times New Roman"/>
          <w:bCs w:val="0"/>
          <w:color w:val="auto"/>
          <w:kern w:val="2"/>
          <w:sz w:val="32"/>
          <w:szCs w:val="32"/>
          <w:highlight w:val="none"/>
          <w:lang w:val="en-US" w:eastAsia="zh-CN" w:bidi="ar-SA"/>
        </w:rPr>
        <w:t>G221同哈</w:t>
      </w:r>
      <w:r>
        <w:rPr>
          <w:rFonts w:hint="eastAsia" w:ascii="Times New Roman" w:hAnsi="Times New Roman" w:eastAsia="仿宋_GB2312" w:cs="Times New Roman"/>
          <w:bCs w:val="0"/>
          <w:color w:val="auto"/>
          <w:kern w:val="2"/>
          <w:sz w:val="32"/>
          <w:szCs w:val="32"/>
          <w:highlight w:val="none"/>
          <w:lang w:val="en-US" w:eastAsia="zh-CN" w:bidi="ar-SA"/>
        </w:rPr>
        <w:t>公路</w:t>
      </w:r>
      <w:r>
        <w:rPr>
          <w:rFonts w:ascii="Times New Roman" w:hAnsi="Times New Roman" w:eastAsia="仿宋_GB2312" w:cs="Times New Roman"/>
          <w:bCs w:val="0"/>
          <w:color w:val="auto"/>
          <w:kern w:val="2"/>
          <w:sz w:val="32"/>
          <w:szCs w:val="32"/>
          <w:highlight w:val="none"/>
          <w:lang w:val="en-US" w:eastAsia="zh-CN" w:bidi="ar-SA"/>
        </w:rPr>
        <w:t>为核心的南北向城</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发展轴。</w:t>
      </w:r>
    </w:p>
    <w:p w14:paraId="7CD4AC35">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“一心”：</w:t>
      </w:r>
      <w:r>
        <w:rPr>
          <w:rFonts w:ascii="Times New Roman" w:hAnsi="Times New Roman" w:eastAsia="仿宋_GB2312" w:cs="Times New Roman"/>
          <w:bCs w:val="0"/>
          <w:color w:val="auto"/>
          <w:kern w:val="2"/>
          <w:sz w:val="32"/>
          <w:szCs w:val="32"/>
          <w:highlight w:val="none"/>
          <w:shd w:val="clear" w:color="auto" w:fill="FFFFFF"/>
          <w:lang w:val="en-US" w:eastAsia="zh-CN" w:bidi="ar-SA"/>
        </w:rPr>
        <w:t>指</w:t>
      </w:r>
      <w:r>
        <w:rPr>
          <w:rFonts w:ascii="Times New Roman" w:hAnsi="Times New Roman" w:eastAsia="仿宋_GB2312" w:cs="Times New Roman"/>
          <w:bCs w:val="0"/>
          <w:color w:val="auto"/>
          <w:kern w:val="2"/>
          <w:sz w:val="32"/>
          <w:szCs w:val="32"/>
          <w:highlight w:val="none"/>
          <w:lang w:val="en-US" w:eastAsia="zh-CN" w:bidi="ar-SA"/>
        </w:rPr>
        <w:t>综合服务中心——</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政府所在地，是集生活休闲、公共服务、商业贸易等多种功能为一体的综合服务中心。</w:t>
      </w:r>
    </w:p>
    <w:p w14:paraId="22C56FA9">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“五区”：</w:t>
      </w:r>
      <w:r>
        <w:rPr>
          <w:rFonts w:ascii="Times New Roman" w:hAnsi="Times New Roman" w:eastAsia="仿宋_GB2312" w:cs="Times New Roman"/>
          <w:bCs w:val="0"/>
          <w:color w:val="auto"/>
          <w:kern w:val="2"/>
          <w:sz w:val="32"/>
          <w:szCs w:val="32"/>
          <w:highlight w:val="none"/>
          <w:shd w:val="clear" w:color="auto" w:fill="FFFFFF"/>
          <w:lang w:val="en-US" w:eastAsia="zh-CN" w:bidi="ar-SA"/>
        </w:rPr>
        <w:t>指</w:t>
      </w:r>
      <w:r>
        <w:rPr>
          <w:rFonts w:ascii="Times New Roman" w:hAnsi="Times New Roman" w:eastAsia="仿宋_GB2312" w:cs="Times New Roman"/>
          <w:bCs w:val="0"/>
          <w:color w:val="auto"/>
          <w:kern w:val="2"/>
          <w:sz w:val="32"/>
          <w:szCs w:val="32"/>
          <w:highlight w:val="none"/>
          <w:lang w:val="en-US" w:eastAsia="zh-CN" w:bidi="ar-SA"/>
        </w:rPr>
        <w:t>中部科教</w:t>
      </w:r>
      <w:r>
        <w:rPr>
          <w:rFonts w:ascii="Times New Roman" w:hAnsi="Times New Roman" w:eastAsia="仿宋_GB2312" w:cs="Times New Roman"/>
          <w:bCs w:val="0"/>
          <w:color w:val="auto"/>
          <w:kern w:val="2"/>
          <w:sz w:val="32"/>
          <w:szCs w:val="32"/>
          <w:highlight w:val="none"/>
          <w:shd w:val="clear" w:color="auto" w:fill="FFFFFF"/>
          <w:lang w:val="en-US" w:eastAsia="zh-CN" w:bidi="ar-SA"/>
        </w:rPr>
        <w:t>公服</w:t>
      </w:r>
      <w:r>
        <w:rPr>
          <w:rFonts w:ascii="Times New Roman" w:hAnsi="Times New Roman" w:eastAsia="仿宋_GB2312" w:cs="Times New Roman"/>
          <w:bCs w:val="0"/>
          <w:color w:val="auto"/>
          <w:kern w:val="2"/>
          <w:sz w:val="32"/>
          <w:szCs w:val="32"/>
          <w:highlight w:val="none"/>
          <w:lang w:val="en-US" w:eastAsia="zh-CN" w:bidi="ar-SA"/>
        </w:rPr>
        <w:t>区、西部酒坊体验区、南部庭院经济区、北部产业物流区，及北部生态游憩区原为砖厂矿坑，经生态修复与土地治理发展露营垂钓，是生态旅游的中心。重点打造西部酒坊体验区，通过民房改造具有关东酒家风情，街区改造增绿、添置酒文化小品，规划新建酒文化展示和特色农副产品销售中心，打造</w:t>
      </w:r>
      <w:r>
        <w:rPr>
          <w:rFonts w:ascii="Times New Roman" w:hAnsi="Times New Roman" w:eastAsia="仿宋_GB2312" w:cs="Times New Roman"/>
          <w:bCs w:val="0"/>
          <w:color w:val="auto"/>
          <w:kern w:val="2"/>
          <w:sz w:val="32"/>
          <w:szCs w:val="32"/>
          <w:highlight w:val="none"/>
          <w:shd w:val="clear" w:color="auto" w:fill="FFFFFF"/>
          <w:lang w:val="en-US" w:eastAsia="zh-CN" w:bidi="ar-SA"/>
        </w:rPr>
        <w:t>集</w:t>
      </w:r>
      <w:r>
        <w:rPr>
          <w:rFonts w:ascii="Times New Roman" w:hAnsi="Times New Roman" w:eastAsia="仿宋_GB2312" w:cs="Times New Roman"/>
          <w:bCs w:val="0"/>
          <w:color w:val="auto"/>
          <w:kern w:val="2"/>
          <w:sz w:val="32"/>
          <w:szCs w:val="32"/>
          <w:highlight w:val="none"/>
          <w:lang w:val="en-US" w:eastAsia="zh-CN" w:bidi="ar-SA"/>
        </w:rPr>
        <w:t>烧酒古法制造品鉴、餐饮、住宿为一体的综合文旅体验区。</w:t>
      </w:r>
      <w:bookmarkEnd w:id="100"/>
    </w:p>
    <w:p w14:paraId="4D6743BA">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01" w:name="_Toc29418"/>
      <w:bookmarkStart w:id="102" w:name="_Toc97277980"/>
      <w:bookmarkStart w:id="103" w:name="_Toc107904351"/>
      <w:bookmarkStart w:id="104" w:name="_Toc32745"/>
      <w:bookmarkStart w:id="105" w:name="_Toc25293"/>
      <w:bookmarkStart w:id="106" w:name="_Toc17458"/>
      <w:bookmarkStart w:id="107" w:name="_Toc20098"/>
      <w:bookmarkStart w:id="108" w:name="_Toc18296"/>
      <w:bookmarkStart w:id="109" w:name="_Toc1836"/>
      <w:bookmarkStart w:id="110" w:name="_Toc3915"/>
      <w:bookmarkStart w:id="111" w:name="_Toc22588"/>
      <w:bookmarkStart w:id="112" w:name="_Toc15312"/>
      <w:r>
        <w:rPr>
          <w:rFonts w:ascii="Times New Roman" w:hAnsi="Times New Roman" w:eastAsia="黑体" w:cs="Times New Roman"/>
          <w:color w:val="auto"/>
          <w:kern w:val="2"/>
          <w:sz w:val="32"/>
          <w:szCs w:val="24"/>
          <w:highlight w:val="none"/>
          <w:lang w:val="en-US" w:eastAsia="zh-CN" w:bidi="ar-SA"/>
        </w:rPr>
        <w:t>第二节 居住空间布局</w:t>
      </w:r>
      <w:bookmarkEnd w:id="101"/>
    </w:p>
    <w:p w14:paraId="118457A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 xml:space="preserve">住房保障 </w:t>
      </w:r>
    </w:p>
    <w:p w14:paraId="5F374ACB">
      <w:pPr>
        <w:widowControl/>
        <w:ind w:firstLine="640" w:firstLineChars="200"/>
        <w:jc w:val="left"/>
        <w:rPr>
          <w:rFonts w:ascii="Times New Roman" w:hAnsi="Times New Roman" w:cs="Times New Roman"/>
          <w:color w:val="auto"/>
          <w:szCs w:val="32"/>
          <w:highlight w:val="none"/>
        </w:rPr>
      </w:pPr>
      <w:r>
        <w:rPr>
          <w:rFonts w:ascii="Times New Roman" w:hAnsi="Times New Roman" w:cs="Times New Roman"/>
          <w:color w:val="auto"/>
          <w:kern w:val="0"/>
          <w:szCs w:val="32"/>
          <w:highlight w:val="none"/>
        </w:rPr>
        <w:t>提高土地节约集约利用水平，运用</w:t>
      </w:r>
      <w:r>
        <w:rPr>
          <w:rFonts w:hint="eastAsia" w:ascii="Times New Roman" w:hAnsi="Times New Roman" w:cs="Times New Roman"/>
          <w:color w:val="auto"/>
          <w:kern w:val="0"/>
          <w:szCs w:val="32"/>
          <w:highlight w:val="none"/>
          <w:lang w:eastAsia="zh-CN"/>
        </w:rPr>
        <w:t>市</w:t>
      </w:r>
      <w:r>
        <w:rPr>
          <w:rFonts w:ascii="Times New Roman" w:hAnsi="Times New Roman" w:cs="Times New Roman"/>
          <w:color w:val="auto"/>
          <w:kern w:val="0"/>
          <w:szCs w:val="32"/>
          <w:highlight w:val="none"/>
        </w:rPr>
        <w:t>场机制盘活存量土地和低效用地，做好土地储备和整理工作。统筹安排危房改造、人居环境整治等各项建设。严格控制高层高密度住宅建设。</w:t>
      </w:r>
    </w:p>
    <w:p w14:paraId="45777AB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 xml:space="preserve">居住用地布局 </w:t>
      </w:r>
    </w:p>
    <w:p w14:paraId="76B865DF">
      <w:pPr>
        <w:widowControl/>
        <w:ind w:firstLine="640" w:firstLineChars="200"/>
        <w:rPr>
          <w:rFonts w:ascii="Times New Roman" w:hAnsi="Times New Roman" w:cs="Times New Roman"/>
          <w:color w:val="auto"/>
          <w:kern w:val="0"/>
          <w:szCs w:val="32"/>
          <w:highlight w:val="none"/>
        </w:rPr>
      </w:pPr>
      <w:r>
        <w:rPr>
          <w:rFonts w:hint="eastAsia" w:ascii="Times New Roman" w:hAnsi="Times New Roman" w:cs="Times New Roman"/>
          <w:color w:val="auto"/>
          <w:kern w:val="0"/>
          <w:szCs w:val="32"/>
          <w:highlight w:val="none"/>
          <w:lang w:eastAsia="zh-CN"/>
        </w:rPr>
        <w:t>镇</w:t>
      </w:r>
      <w:r>
        <w:rPr>
          <w:rFonts w:ascii="Times New Roman" w:hAnsi="Times New Roman" w:cs="Times New Roman"/>
          <w:color w:val="auto"/>
          <w:kern w:val="0"/>
          <w:szCs w:val="32"/>
          <w:highlight w:val="none"/>
        </w:rPr>
        <w:t>政府驻地以繁华中心街为界划分为东西两个居住组团。居住组团现状为宅基地，规划以城</w:t>
      </w:r>
      <w:r>
        <w:rPr>
          <w:rFonts w:hint="eastAsia" w:ascii="Times New Roman" w:hAnsi="Times New Roman" w:cs="Times New Roman"/>
          <w:color w:val="auto"/>
          <w:kern w:val="0"/>
          <w:szCs w:val="32"/>
          <w:highlight w:val="none"/>
          <w:lang w:eastAsia="zh-CN"/>
        </w:rPr>
        <w:t>镇</w:t>
      </w:r>
      <w:r>
        <w:rPr>
          <w:rFonts w:ascii="Times New Roman" w:hAnsi="Times New Roman" w:cs="Times New Roman"/>
          <w:color w:val="auto"/>
          <w:kern w:val="0"/>
          <w:szCs w:val="32"/>
          <w:highlight w:val="none"/>
        </w:rPr>
        <w:t>居住用地为主，用地规模较大，条件允许可进行多层住宅建设，提高土地利用效率。居住用地以存量更新为主，增量建设为辅。</w:t>
      </w:r>
    </w:p>
    <w:p w14:paraId="733D4C70">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住房建设</w:t>
      </w:r>
    </w:p>
    <w:p w14:paraId="408A6C36">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bookmarkStart w:id="113" w:name="_Hlk175292578"/>
      <w:r>
        <w:rPr>
          <w:rFonts w:ascii="Times New Roman" w:hAnsi="Times New Roman" w:eastAsia="仿宋_GB2312" w:cs="Times New Roman"/>
          <w:bCs w:val="0"/>
          <w:color w:val="auto"/>
          <w:kern w:val="2"/>
          <w:sz w:val="32"/>
          <w:szCs w:val="32"/>
          <w:highlight w:val="none"/>
          <w:lang w:val="en-US" w:eastAsia="zh-CN" w:bidi="ar-SA"/>
        </w:rPr>
        <w:t>规划立足现实状况，以改善居民生产生活条件为出发点，按</w:t>
      </w:r>
      <w:r>
        <w:rPr>
          <w:rFonts w:hint="eastAsia" w:ascii="Times New Roman" w:hAnsi="Times New Roman" w:eastAsia="仿宋_GB2312" w:cs="Times New Roman"/>
          <w:bCs w:val="0"/>
          <w:color w:val="auto"/>
          <w:kern w:val="2"/>
          <w:sz w:val="32"/>
          <w:szCs w:val="32"/>
          <w:highlight w:val="none"/>
          <w:lang w:val="en-US" w:eastAsia="zh-CN" w:bidi="ar-SA"/>
        </w:rPr>
        <w:t>乡镇</w:t>
      </w:r>
      <w:r>
        <w:rPr>
          <w:rFonts w:ascii="Times New Roman" w:hAnsi="Times New Roman" w:eastAsia="仿宋_GB2312" w:cs="Times New Roman"/>
          <w:bCs w:val="0"/>
          <w:color w:val="auto"/>
          <w:kern w:val="2"/>
          <w:sz w:val="32"/>
          <w:szCs w:val="32"/>
          <w:highlight w:val="none"/>
          <w:lang w:val="en-US" w:eastAsia="zh-CN" w:bidi="ar-SA"/>
        </w:rPr>
        <w:t>标准配建各类公共服务设施和</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政公用设施，留足绿地及公共活动空间，创造良好的人居环境</w:t>
      </w:r>
      <w:bookmarkEnd w:id="113"/>
      <w:r>
        <w:rPr>
          <w:rFonts w:ascii="Times New Roman" w:hAnsi="Times New Roman" w:eastAsia="仿宋_GB2312" w:cs="Times New Roman"/>
          <w:bCs w:val="0"/>
          <w:color w:val="auto"/>
          <w:kern w:val="2"/>
          <w:sz w:val="32"/>
          <w:szCs w:val="32"/>
          <w:highlight w:val="none"/>
          <w:lang w:val="en-US" w:eastAsia="zh-CN" w:bidi="ar-SA"/>
        </w:rPr>
        <w:t>。</w:t>
      </w:r>
    </w:p>
    <w:p w14:paraId="0195C345">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14" w:name="_Toc30849"/>
      <w:r>
        <w:rPr>
          <w:rFonts w:ascii="Times New Roman" w:hAnsi="Times New Roman" w:eastAsia="黑体" w:cs="Times New Roman"/>
          <w:color w:val="auto"/>
          <w:kern w:val="2"/>
          <w:sz w:val="32"/>
          <w:szCs w:val="24"/>
          <w:highlight w:val="none"/>
          <w:lang w:val="en-US" w:eastAsia="zh-CN" w:bidi="ar-SA"/>
        </w:rPr>
        <w:t>第三节 公共服务空间布局</w:t>
      </w:r>
      <w:bookmarkEnd w:id="114"/>
    </w:p>
    <w:p w14:paraId="2FB2310A">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机关团体用地</w:t>
      </w:r>
    </w:p>
    <w:p w14:paraId="68AD7B68">
      <w:pPr>
        <w:widowControl/>
        <w:ind w:firstLine="640" w:firstLineChars="200"/>
        <w:rPr>
          <w:rFonts w:ascii="Times New Roman" w:hAnsi="Times New Roman" w:cs="Times New Roman"/>
          <w:color w:val="auto"/>
          <w:kern w:val="0"/>
          <w:szCs w:val="32"/>
          <w:highlight w:val="none"/>
        </w:rPr>
      </w:pPr>
      <w:r>
        <w:rPr>
          <w:rFonts w:ascii="Times New Roman" w:hAnsi="Times New Roman" w:cs="Times New Roman"/>
          <w:color w:val="auto"/>
          <w:kern w:val="0"/>
          <w:szCs w:val="32"/>
          <w:highlight w:val="none"/>
        </w:rPr>
        <w:t>规划保留现状位于繁华中心路东侧的</w:t>
      </w:r>
      <w:r>
        <w:rPr>
          <w:rFonts w:hint="eastAsia" w:ascii="Times New Roman" w:hAnsi="Times New Roman" w:cs="Times New Roman"/>
          <w:color w:val="auto"/>
          <w:kern w:val="0"/>
          <w:szCs w:val="32"/>
          <w:highlight w:val="none"/>
          <w:lang w:eastAsia="zh-CN"/>
        </w:rPr>
        <w:t>镇</w:t>
      </w:r>
      <w:r>
        <w:rPr>
          <w:rFonts w:ascii="Times New Roman" w:hAnsi="Times New Roman" w:cs="Times New Roman"/>
          <w:color w:val="auto"/>
          <w:kern w:val="0"/>
          <w:szCs w:val="32"/>
          <w:highlight w:val="none"/>
        </w:rPr>
        <w:t>政府办公用地和西侧的村委会办公用地。</w:t>
      </w:r>
    </w:p>
    <w:p w14:paraId="0A761C3B">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文化设施</w:t>
      </w:r>
    </w:p>
    <w:p w14:paraId="2C483BD5">
      <w:pPr>
        <w:widowControl/>
        <w:ind w:firstLine="640" w:firstLineChars="200"/>
        <w:rPr>
          <w:rFonts w:ascii="Times New Roman" w:hAnsi="Times New Roman" w:cs="Times New Roman"/>
          <w:color w:val="auto"/>
          <w:kern w:val="0"/>
          <w:szCs w:val="32"/>
          <w:highlight w:val="none"/>
        </w:rPr>
      </w:pPr>
      <w:r>
        <w:rPr>
          <w:rFonts w:hint="eastAsia" w:ascii="Times New Roman" w:hAnsi="Times New Roman" w:cs="Times New Roman"/>
          <w:color w:val="auto"/>
          <w:kern w:val="0"/>
          <w:szCs w:val="32"/>
          <w:highlight w:val="none"/>
          <w:lang w:eastAsia="zh-CN"/>
        </w:rPr>
        <w:t>镇</w:t>
      </w:r>
      <w:r>
        <w:rPr>
          <w:rFonts w:ascii="Times New Roman" w:hAnsi="Times New Roman" w:cs="Times New Roman"/>
          <w:color w:val="auto"/>
          <w:kern w:val="0"/>
          <w:szCs w:val="32"/>
          <w:highlight w:val="none"/>
        </w:rPr>
        <w:t>政府驻地不单独设置文化用地，文化设施在机关团体用地内部兼容设置。应设置书报阅览、文娱等功能，打造城</w:t>
      </w:r>
      <w:r>
        <w:rPr>
          <w:rFonts w:hint="eastAsia" w:ascii="Times New Roman" w:hAnsi="Times New Roman" w:cs="Times New Roman"/>
          <w:color w:val="auto"/>
          <w:kern w:val="0"/>
          <w:szCs w:val="32"/>
          <w:highlight w:val="none"/>
          <w:lang w:eastAsia="zh-CN"/>
        </w:rPr>
        <w:t>镇</w:t>
      </w:r>
      <w:r>
        <w:rPr>
          <w:rFonts w:ascii="Times New Roman" w:hAnsi="Times New Roman" w:cs="Times New Roman"/>
          <w:color w:val="auto"/>
          <w:kern w:val="0"/>
          <w:szCs w:val="32"/>
          <w:highlight w:val="none"/>
        </w:rPr>
        <w:t>文化活动中心（</w:t>
      </w:r>
      <w:r>
        <w:rPr>
          <w:rFonts w:ascii="Times New Roman" w:hAnsi="Times New Roman" w:cs="Times New Roman"/>
          <w:color w:val="auto"/>
          <w:kern w:val="0"/>
          <w:szCs w:val="32"/>
          <w:highlight w:val="none"/>
          <w:shd w:val="clear" w:color="auto" w:fill="FFFFFF"/>
        </w:rPr>
        <w:t>含</w:t>
      </w:r>
      <w:r>
        <w:rPr>
          <w:rFonts w:ascii="Times New Roman" w:hAnsi="Times New Roman" w:cs="Times New Roman"/>
          <w:color w:val="auto"/>
          <w:kern w:val="0"/>
          <w:szCs w:val="32"/>
          <w:highlight w:val="none"/>
        </w:rPr>
        <w:t>青少年、老年活动中心），承办</w:t>
      </w:r>
      <w:r>
        <w:rPr>
          <w:rFonts w:hint="eastAsia" w:ascii="Times New Roman" w:hAnsi="Times New Roman" w:cs="Times New Roman"/>
          <w:color w:val="auto"/>
          <w:kern w:val="0"/>
          <w:szCs w:val="32"/>
          <w:highlight w:val="none"/>
          <w:shd w:val="clear" w:color="auto" w:fill="FFFFFF"/>
          <w:lang w:eastAsia="zh-CN"/>
        </w:rPr>
        <w:t>镇</w:t>
      </w:r>
      <w:r>
        <w:rPr>
          <w:rFonts w:ascii="Times New Roman" w:hAnsi="Times New Roman" w:cs="Times New Roman"/>
          <w:color w:val="auto"/>
          <w:kern w:val="0"/>
          <w:szCs w:val="32"/>
          <w:highlight w:val="none"/>
          <w:shd w:val="clear" w:color="auto" w:fill="FFFFFF"/>
        </w:rPr>
        <w:t>域</w:t>
      </w:r>
      <w:r>
        <w:rPr>
          <w:rFonts w:ascii="Times New Roman" w:hAnsi="Times New Roman" w:cs="Times New Roman"/>
          <w:color w:val="auto"/>
          <w:kern w:val="0"/>
          <w:szCs w:val="32"/>
          <w:highlight w:val="none"/>
        </w:rPr>
        <w:t>大中型活动以及城</w:t>
      </w:r>
      <w:r>
        <w:rPr>
          <w:rFonts w:hint="eastAsia" w:ascii="Times New Roman" w:hAnsi="Times New Roman" w:cs="Times New Roman"/>
          <w:color w:val="auto"/>
          <w:kern w:val="0"/>
          <w:szCs w:val="32"/>
          <w:highlight w:val="none"/>
          <w:lang w:eastAsia="zh-CN"/>
        </w:rPr>
        <w:t>镇</w:t>
      </w:r>
      <w:r>
        <w:rPr>
          <w:rFonts w:ascii="Times New Roman" w:hAnsi="Times New Roman" w:cs="Times New Roman"/>
          <w:color w:val="auto"/>
          <w:kern w:val="0"/>
          <w:szCs w:val="32"/>
          <w:highlight w:val="none"/>
        </w:rPr>
        <w:t>综合服务。</w:t>
      </w:r>
    </w:p>
    <w:p w14:paraId="194F8230">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教育设施</w:t>
      </w:r>
    </w:p>
    <w:p w14:paraId="03D457AF">
      <w:pPr>
        <w:widowControl/>
        <w:ind w:firstLine="640" w:firstLineChars="200"/>
        <w:rPr>
          <w:rFonts w:ascii="Times New Roman" w:hAnsi="Times New Roman" w:cs="Times New Roman"/>
          <w:color w:val="auto"/>
          <w:kern w:val="0"/>
          <w:szCs w:val="32"/>
          <w:highlight w:val="none"/>
        </w:rPr>
      </w:pPr>
      <w:r>
        <w:rPr>
          <w:rFonts w:ascii="Times New Roman" w:hAnsi="Times New Roman" w:cs="Times New Roman"/>
          <w:color w:val="auto"/>
          <w:kern w:val="0"/>
          <w:szCs w:val="32"/>
          <w:highlight w:val="none"/>
        </w:rPr>
        <w:t>规划保留现状幼儿园、中心小学、苏家店中学，并对其进行维护和修缮。</w:t>
      </w:r>
    </w:p>
    <w:p w14:paraId="0396F393">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体育设施</w:t>
      </w:r>
    </w:p>
    <w:p w14:paraId="70B06A0B">
      <w:pPr>
        <w:widowControl/>
        <w:ind w:firstLine="640" w:firstLineChars="200"/>
        <w:rPr>
          <w:rFonts w:ascii="Times New Roman" w:hAnsi="Times New Roman" w:cs="Times New Roman"/>
          <w:color w:val="auto"/>
          <w:kern w:val="0"/>
          <w:szCs w:val="32"/>
          <w:highlight w:val="none"/>
        </w:rPr>
      </w:pPr>
      <w:r>
        <w:rPr>
          <w:rFonts w:hint="eastAsia" w:ascii="Times New Roman" w:hAnsi="Times New Roman" w:cs="Times New Roman"/>
          <w:color w:val="auto"/>
          <w:kern w:val="0"/>
          <w:szCs w:val="32"/>
          <w:highlight w:val="none"/>
          <w:lang w:eastAsia="zh-CN"/>
        </w:rPr>
        <w:t>镇</w:t>
      </w:r>
      <w:r>
        <w:rPr>
          <w:rFonts w:ascii="Times New Roman" w:hAnsi="Times New Roman" w:cs="Times New Roman"/>
          <w:color w:val="auto"/>
          <w:kern w:val="0"/>
          <w:szCs w:val="32"/>
          <w:highlight w:val="none"/>
        </w:rPr>
        <w:t>政府驻地不单独设置体育用地，体育运动设施在绿地与开敞空间用地内部兼容设置，主要为全民健身器材、篮球场等，满足村民日常健身和举办小型比赛。</w:t>
      </w:r>
    </w:p>
    <w:p w14:paraId="3169B70B">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医疗卫生设施</w:t>
      </w:r>
    </w:p>
    <w:p w14:paraId="431B8CA1">
      <w:pPr>
        <w:widowControl/>
        <w:ind w:firstLine="640" w:firstLineChars="200"/>
        <w:rPr>
          <w:rFonts w:ascii="Times New Roman" w:hAnsi="Times New Roman" w:cs="Times New Roman"/>
          <w:color w:val="auto"/>
          <w:kern w:val="0"/>
          <w:szCs w:val="32"/>
          <w:highlight w:val="none"/>
        </w:rPr>
      </w:pPr>
      <w:r>
        <w:rPr>
          <w:rFonts w:ascii="Times New Roman" w:hAnsi="Times New Roman" w:cs="Times New Roman"/>
          <w:color w:val="auto"/>
          <w:kern w:val="0"/>
          <w:szCs w:val="32"/>
          <w:highlight w:val="none"/>
        </w:rPr>
        <w:t>规划保留现状苏家店</w:t>
      </w:r>
      <w:r>
        <w:rPr>
          <w:rFonts w:hint="eastAsia" w:ascii="Times New Roman" w:hAnsi="Times New Roman" w:cs="Times New Roman"/>
          <w:color w:val="auto"/>
          <w:kern w:val="0"/>
          <w:szCs w:val="32"/>
          <w:highlight w:val="none"/>
          <w:lang w:eastAsia="zh-CN"/>
        </w:rPr>
        <w:t>镇</w:t>
      </w:r>
      <w:r>
        <w:rPr>
          <w:rFonts w:ascii="Times New Roman" w:hAnsi="Times New Roman" w:cs="Times New Roman"/>
          <w:color w:val="auto"/>
          <w:kern w:val="0"/>
          <w:szCs w:val="32"/>
          <w:highlight w:val="none"/>
        </w:rPr>
        <w:t>卫生院，并对其维护和修缮，提高医疗水平和服务能力。</w:t>
      </w:r>
    </w:p>
    <w:p w14:paraId="7FF7862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社会福利设施</w:t>
      </w:r>
    </w:p>
    <w:p w14:paraId="4EE83605">
      <w:pPr>
        <w:widowControl/>
        <w:ind w:firstLine="640" w:firstLineChars="200"/>
        <w:rPr>
          <w:rFonts w:ascii="Times New Roman" w:hAnsi="Times New Roman" w:cs="Times New Roman"/>
          <w:color w:val="auto"/>
          <w:kern w:val="0"/>
          <w:szCs w:val="32"/>
          <w:highlight w:val="none"/>
        </w:rPr>
      </w:pPr>
      <w:r>
        <w:rPr>
          <w:rFonts w:ascii="Times New Roman" w:hAnsi="Times New Roman" w:cs="Times New Roman"/>
          <w:color w:val="auto"/>
          <w:kern w:val="0"/>
          <w:szCs w:val="32"/>
          <w:highlight w:val="none"/>
        </w:rPr>
        <w:t>规划保留1处养老大院，并对其维护，提高服务能力。</w:t>
      </w:r>
    </w:p>
    <w:p w14:paraId="06E3FDF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社区生活圈</w:t>
      </w:r>
    </w:p>
    <w:p w14:paraId="2BDFB8A5">
      <w:pPr>
        <w:widowControl w:val="0"/>
        <w:spacing w:line="600" w:lineRule="atLeas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bookmarkStart w:id="115" w:name="_Hlk175292347"/>
      <w:r>
        <w:rPr>
          <w:rFonts w:ascii="Times New Roman" w:hAnsi="Times New Roman" w:eastAsia="仿宋_GB2312" w:cs="Times New Roman"/>
          <w:bCs w:val="0"/>
          <w:color w:val="auto"/>
          <w:kern w:val="2"/>
          <w:sz w:val="32"/>
          <w:szCs w:val="32"/>
          <w:highlight w:val="none"/>
          <w:lang w:val="en-US" w:eastAsia="zh-CN" w:bidi="ar-SA"/>
        </w:rPr>
        <w:t>构建优质公共服务体系，超标准补齐公共服务短板，重点完善提升基础教育、文化、体育、福利等设施。</w:t>
      </w:r>
      <w:r>
        <w:rPr>
          <w:rFonts w:ascii="Times New Roman" w:hAnsi="Times New Roman" w:eastAsia="仿宋_GB2312" w:cs="Times New Roman"/>
          <w:bCs w:val="0"/>
          <w:color w:val="auto"/>
          <w:kern w:val="2"/>
          <w:sz w:val="32"/>
          <w:szCs w:val="32"/>
          <w:highlight w:val="none"/>
          <w:shd w:val="clear" w:color="auto" w:fill="FFFFFF"/>
          <w:lang w:val="en-US" w:eastAsia="zh-CN" w:bidi="ar-SA"/>
        </w:rPr>
        <w:t>共</w:t>
      </w:r>
      <w:r>
        <w:rPr>
          <w:rFonts w:ascii="Times New Roman" w:hAnsi="Times New Roman" w:eastAsia="仿宋_GB2312" w:cs="Times New Roman"/>
          <w:bCs w:val="0"/>
          <w:color w:val="auto"/>
          <w:kern w:val="2"/>
          <w:sz w:val="32"/>
          <w:szCs w:val="32"/>
          <w:highlight w:val="none"/>
          <w:lang w:val="en-US" w:eastAsia="zh-CN" w:bidi="ar-SA"/>
        </w:rPr>
        <w:t>划定1个15分钟生活圈、2个5</w:t>
      </w:r>
      <w:r>
        <w:rPr>
          <w:rFonts w:hint="eastAsia" w:ascii="Times New Roman" w:hAnsi="Times New Roman" w:eastAsia="仿宋_GB2312" w:cs="Times New Roman"/>
          <w:bCs w:val="0"/>
          <w:color w:val="auto"/>
          <w:kern w:val="2"/>
          <w:sz w:val="32"/>
          <w:szCs w:val="32"/>
          <w:highlight w:val="none"/>
          <w:lang w:val="en-US" w:eastAsia="zh-CN" w:bidi="ar-SA"/>
        </w:rPr>
        <w:t>～</w:t>
      </w:r>
      <w:r>
        <w:rPr>
          <w:rFonts w:ascii="Times New Roman" w:hAnsi="Times New Roman" w:eastAsia="仿宋_GB2312" w:cs="Times New Roman"/>
          <w:bCs w:val="0"/>
          <w:color w:val="auto"/>
          <w:kern w:val="2"/>
          <w:sz w:val="32"/>
          <w:szCs w:val="32"/>
          <w:highlight w:val="none"/>
          <w:lang w:val="en-US" w:eastAsia="zh-CN" w:bidi="ar-SA"/>
        </w:rPr>
        <w:t>10分钟生活圈。</w:t>
      </w:r>
    </w:p>
    <w:p w14:paraId="1CAD331A">
      <w:pPr>
        <w:widowControl w:val="0"/>
        <w:spacing w:line="600" w:lineRule="atLeas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强化生活圈内基本服务功能可达性，将生活圈作为社区公共资源配置和社会治理的基本单元。制定15分钟生活圈、5</w:t>
      </w:r>
      <w:r>
        <w:rPr>
          <w:rFonts w:hint="eastAsia" w:ascii="Times New Roman" w:hAnsi="Times New Roman" w:eastAsia="仿宋_GB2312" w:cs="Times New Roman"/>
          <w:bCs w:val="0"/>
          <w:color w:val="auto"/>
          <w:kern w:val="2"/>
          <w:sz w:val="32"/>
          <w:szCs w:val="32"/>
          <w:highlight w:val="none"/>
          <w:lang w:val="en-US" w:eastAsia="zh-CN" w:bidi="ar-SA"/>
        </w:rPr>
        <w:t>～</w:t>
      </w:r>
      <w:r>
        <w:rPr>
          <w:rFonts w:ascii="Times New Roman" w:hAnsi="Times New Roman" w:eastAsia="仿宋_GB2312" w:cs="Times New Roman"/>
          <w:bCs w:val="0"/>
          <w:color w:val="auto"/>
          <w:kern w:val="2"/>
          <w:sz w:val="32"/>
          <w:szCs w:val="32"/>
          <w:highlight w:val="none"/>
          <w:lang w:val="en-US" w:eastAsia="zh-CN" w:bidi="ar-SA"/>
        </w:rPr>
        <w:t>10分钟生活圈居住区配套设施配置清单</w:t>
      </w:r>
      <w:bookmarkEnd w:id="115"/>
      <w:r>
        <w:rPr>
          <w:rFonts w:ascii="Times New Roman" w:hAnsi="Times New Roman" w:eastAsia="仿宋_GB2312" w:cs="Times New Roman"/>
          <w:bCs w:val="0"/>
          <w:color w:val="auto"/>
          <w:kern w:val="2"/>
          <w:sz w:val="32"/>
          <w:szCs w:val="32"/>
          <w:highlight w:val="none"/>
          <w:lang w:val="en-US" w:eastAsia="zh-CN" w:bidi="ar-SA"/>
        </w:rPr>
        <w:t>。</w:t>
      </w:r>
    </w:p>
    <w:p w14:paraId="48936257">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16" w:name="_Toc26113"/>
      <w:r>
        <w:rPr>
          <w:rFonts w:ascii="Times New Roman" w:hAnsi="Times New Roman" w:eastAsia="黑体" w:cs="Times New Roman"/>
          <w:color w:val="auto"/>
          <w:kern w:val="2"/>
          <w:sz w:val="32"/>
          <w:szCs w:val="24"/>
          <w:highlight w:val="none"/>
          <w:lang w:val="en-US" w:eastAsia="zh-CN" w:bidi="ar-SA"/>
        </w:rPr>
        <w:t>第四节 绿地与开敞空间布局</w:t>
      </w:r>
      <w:bookmarkEnd w:id="116"/>
    </w:p>
    <w:p w14:paraId="209B76A9">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绿地与公园体系结构</w:t>
      </w:r>
    </w:p>
    <w:p w14:paraId="7E6A0DD4">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规划形成“一核、两轴、多点补充”的公园体系结构。</w:t>
      </w:r>
    </w:p>
    <w:p w14:paraId="6647D671">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“一核”为</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政府驻地北部规划公园绿地形成休闲绿化景观核心。</w:t>
      </w:r>
    </w:p>
    <w:p w14:paraId="29A0E831">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“两轴”其一为南北向的繁华中心街，主要交通两侧的绿化空间，另一</w:t>
      </w:r>
      <w:r>
        <w:rPr>
          <w:rFonts w:hint="eastAsia" w:ascii="Times New Roman" w:hAnsi="Times New Roman" w:eastAsia="仿宋_GB2312" w:cs="Times New Roman"/>
          <w:color w:val="auto"/>
          <w:kern w:val="2"/>
          <w:sz w:val="32"/>
          <w:szCs w:val="32"/>
          <w:highlight w:val="none"/>
          <w:lang w:val="en-US" w:eastAsia="zh-CN" w:bidi="ar-SA"/>
        </w:rPr>
        <w:t>条</w:t>
      </w:r>
      <w:r>
        <w:rPr>
          <w:rFonts w:ascii="Times New Roman" w:hAnsi="Times New Roman" w:eastAsia="仿宋_GB2312" w:cs="Times New Roman"/>
          <w:color w:val="auto"/>
          <w:kern w:val="2"/>
          <w:sz w:val="32"/>
          <w:szCs w:val="32"/>
          <w:highlight w:val="none"/>
          <w:lang w:val="en-US" w:eastAsia="zh-CN" w:bidi="ar-SA"/>
        </w:rPr>
        <w:t>为东西向的集贤路经酒坊街改造后增加的绿化空间，形成两条绿化景观轴线。</w:t>
      </w:r>
    </w:p>
    <w:p w14:paraId="70B07BF1">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“多点补充”指依托2处规划口袋公园以及1处健身广场、北侧主入口景观等形成的多处开敞空间。树立城</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新形象，体现苏家店</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生态、宜居、宜业的良好城</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环境。</w:t>
      </w:r>
    </w:p>
    <w:p w14:paraId="5E5D446A">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公园绿地</w:t>
      </w:r>
    </w:p>
    <w:p w14:paraId="541BE7CA">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结合城</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生态体系构建，完善</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政府驻地绿地空间布局，建设级配合理、均衡分布、类型多样、满足需求的多层次城</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公园网络。规划至2035年，规划新增1个城</w:t>
      </w: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级公园、2处口袋公园、保留1处现状广场用地。至2035年，公园绿地、广场步行5分钟覆盖率达到80%以上。远景东西两个居住组团更新改造时，合理增加公园数量。</w:t>
      </w:r>
    </w:p>
    <w:p w14:paraId="6B716E61">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防护绿地</w:t>
      </w:r>
    </w:p>
    <w:p w14:paraId="31DDD76E">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驻地北侧规划同哈</w:t>
      </w:r>
      <w:r>
        <w:rPr>
          <w:rFonts w:hint="eastAsia" w:ascii="Times New Roman" w:hAnsi="Times New Roman" w:eastAsia="仿宋_GB2312" w:cs="Times New Roman"/>
          <w:color w:val="auto"/>
          <w:kern w:val="2"/>
          <w:sz w:val="32"/>
          <w:szCs w:val="32"/>
          <w:highlight w:val="none"/>
          <w:lang w:val="en-US" w:eastAsia="zh-CN" w:bidi="ar-SA"/>
        </w:rPr>
        <w:t>公路</w:t>
      </w:r>
      <w:r>
        <w:rPr>
          <w:rFonts w:ascii="Times New Roman" w:hAnsi="Times New Roman" w:eastAsia="仿宋_GB2312" w:cs="Times New Roman"/>
          <w:color w:val="auto"/>
          <w:kern w:val="2"/>
          <w:sz w:val="32"/>
          <w:szCs w:val="32"/>
          <w:highlight w:val="none"/>
          <w:lang w:val="en-US" w:eastAsia="zh-CN" w:bidi="ar-SA"/>
        </w:rPr>
        <w:t>西侧开发建设时设置宽度不少于8米的防护绿带。对于已建成和改扩建的道路则需要根据道路两侧的用地性质区别对待，利用毗邻的带状公园和街旁绿地共同承担防护功能。</w:t>
      </w:r>
    </w:p>
    <w:p w14:paraId="116E2D98">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广场用地</w:t>
      </w:r>
    </w:p>
    <w:p w14:paraId="6BBCB45C">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规划保留现状1处健身广场，位于小学南侧、村委会北侧，对其进行维护与更新，满足日常活动、体育健身和举办集会的要求。</w:t>
      </w:r>
    </w:p>
    <w:bookmarkEnd w:id="102"/>
    <w:bookmarkEnd w:id="103"/>
    <w:bookmarkEnd w:id="104"/>
    <w:bookmarkEnd w:id="105"/>
    <w:bookmarkEnd w:id="106"/>
    <w:bookmarkEnd w:id="107"/>
    <w:bookmarkEnd w:id="108"/>
    <w:bookmarkEnd w:id="109"/>
    <w:bookmarkEnd w:id="110"/>
    <w:bookmarkEnd w:id="111"/>
    <w:bookmarkEnd w:id="112"/>
    <w:p w14:paraId="3EC36582">
      <w:pPr>
        <w:keepNext/>
        <w:keepLines w:val="0"/>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17" w:name="_Toc5021"/>
      <w:bookmarkStart w:id="118" w:name="_Toc31715"/>
      <w:r>
        <w:rPr>
          <w:rFonts w:ascii="Times New Roman" w:hAnsi="Times New Roman" w:eastAsia="黑体" w:cs="Times New Roman"/>
          <w:color w:val="auto"/>
          <w:kern w:val="2"/>
          <w:sz w:val="32"/>
          <w:szCs w:val="24"/>
          <w:highlight w:val="none"/>
          <w:lang w:val="en-US" w:eastAsia="zh-CN" w:bidi="ar-SA"/>
        </w:rPr>
        <w:t>第五节 “四线”规划</w:t>
      </w:r>
      <w:bookmarkEnd w:id="117"/>
      <w:r>
        <w:rPr>
          <w:rFonts w:ascii="Times New Roman" w:hAnsi="Times New Roman" w:eastAsia="黑体" w:cs="Times New Roman"/>
          <w:color w:val="auto"/>
          <w:kern w:val="2"/>
          <w:sz w:val="32"/>
          <w:szCs w:val="24"/>
          <w:highlight w:val="none"/>
          <w:lang w:val="en-US" w:eastAsia="zh-CN" w:bidi="ar-SA"/>
        </w:rPr>
        <w:t>与战略留白</w:t>
      </w:r>
      <w:bookmarkEnd w:id="118"/>
    </w:p>
    <w:p w14:paraId="0D751F99">
      <w:pPr>
        <w:tabs>
          <w:tab w:val="left" w:pos="0"/>
        </w:tabs>
        <w:spacing w:beforeLines="50" w:afterLines="50"/>
        <w:ind w:left="130"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苏家店</w:t>
      </w:r>
      <w:r>
        <w:rPr>
          <w:rFonts w:hint="eastAsia" w:ascii="Times New Roman" w:hAnsi="Times New Roman" w:cs="Times New Roman"/>
          <w:color w:val="auto"/>
          <w:szCs w:val="32"/>
          <w:highlight w:val="none"/>
          <w:lang w:eastAsia="zh-CN"/>
        </w:rPr>
        <w:t>镇镇</w:t>
      </w:r>
      <w:r>
        <w:rPr>
          <w:rFonts w:hint="eastAsia" w:ascii="Times New Roman" w:hAnsi="Times New Roman" w:cs="Times New Roman"/>
          <w:color w:val="auto"/>
          <w:szCs w:val="32"/>
          <w:highlight w:val="none"/>
        </w:rPr>
        <w:t>政府驻地</w:t>
      </w:r>
      <w:r>
        <w:rPr>
          <w:rFonts w:ascii="Times New Roman" w:hAnsi="Times New Roman" w:cs="Times New Roman"/>
          <w:color w:val="auto"/>
          <w:szCs w:val="32"/>
          <w:highlight w:val="none"/>
        </w:rPr>
        <w:t>规划“四线”包括绿线和黄线，不涉及蓝线和紫线控制。</w:t>
      </w:r>
    </w:p>
    <w:p w14:paraId="298A6AFB">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119" w:name="_Hlk175294436"/>
      <w:r>
        <w:rPr>
          <w:rFonts w:ascii="Calibri" w:hAnsi="Calibri" w:eastAsia="楷体_GB2312" w:cs="Times New Roman"/>
          <w:b/>
          <w:color w:val="auto"/>
          <w:kern w:val="2"/>
          <w:sz w:val="32"/>
          <w:szCs w:val="24"/>
          <w:highlight w:val="none"/>
          <w:lang w:val="en-US" w:eastAsia="zh-CN" w:bidi="ar-SA"/>
        </w:rPr>
        <w:t>绿线</w:t>
      </w:r>
    </w:p>
    <w:p w14:paraId="78181D46">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绿线严格按照《城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绿线管理办法》实施管控。绿线内的用地不得改作他用，原有建筑改造应不扩大现状占地规模。因</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政基础设施、公共服务设施建设需要等情形需要修改绿线的应遵循区域绿地总量不减少、服务半径不增加、绿地系统完整的原则。</w:t>
      </w:r>
    </w:p>
    <w:p w14:paraId="67DA816E">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黄线</w:t>
      </w:r>
    </w:p>
    <w:p w14:paraId="0CDE60C2">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黄线是指规划确定</w:t>
      </w:r>
      <w:r>
        <w:rPr>
          <w:rFonts w:hint="eastAsia" w:ascii="Times New Roman" w:hAnsi="Times New Roman" w:eastAsia="仿宋_GB2312" w:cs="Times New Roman"/>
          <w:bCs w:val="0"/>
          <w:color w:val="auto"/>
          <w:kern w:val="2"/>
          <w:sz w:val="32"/>
          <w:szCs w:val="32"/>
          <w:highlight w:val="none"/>
          <w:lang w:val="en-US" w:eastAsia="zh-CN" w:bidi="ar-SA"/>
        </w:rPr>
        <w:t>的对</w:t>
      </w:r>
      <w:r>
        <w:rPr>
          <w:rFonts w:ascii="Times New Roman" w:hAnsi="Times New Roman" w:eastAsia="仿宋_GB2312" w:cs="Times New Roman"/>
          <w:bCs w:val="0"/>
          <w:color w:val="auto"/>
          <w:kern w:val="2"/>
          <w:sz w:val="32"/>
          <w:szCs w:val="32"/>
          <w:highlight w:val="none"/>
          <w:lang w:val="en-US" w:eastAsia="zh-CN" w:bidi="ar-SA"/>
        </w:rPr>
        <w:t>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发展全局有影响的、必须控制的城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基础设施用地的边界控制界线。</w:t>
      </w:r>
    </w:p>
    <w:p w14:paraId="040BA3A0">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黄线严格按照《城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黄线管理办法》实施管控，对现有损坏或影响城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基础设施安全、正常运作的用地，应当限期整改或拆除。因城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发展和城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功能、布局变化等，需要调整黄线的，应当组织专家论证，依法调整规划。</w:t>
      </w:r>
    </w:p>
    <w:bookmarkEnd w:id="119"/>
    <w:p w14:paraId="1CAE140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预留规划留白用地</w:t>
      </w:r>
    </w:p>
    <w:p w14:paraId="552B41AC">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120" w:name="_Hlk175291356"/>
      <w:r>
        <w:rPr>
          <w:rFonts w:ascii="Times New Roman" w:hAnsi="Times New Roman" w:eastAsia="仿宋_GB2312" w:cs="Times New Roman"/>
          <w:color w:val="auto"/>
          <w:kern w:val="2"/>
          <w:sz w:val="32"/>
          <w:szCs w:val="32"/>
          <w:highlight w:val="none"/>
          <w:lang w:val="en-US" w:eastAsia="zh-CN" w:bidi="ar-SA"/>
        </w:rPr>
        <w:t>根据《自然资源部办公厅关于加强村庄规划促进</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村振兴的通知》（自然资办发〔2019〕35号），可预留不超过5%的建设用地机动指标，村民居住、农村公共公益设施、零星分散的</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村文旅设施及农村新产业新业态等用地可申请使用。</w:t>
      </w:r>
      <w:bookmarkEnd w:id="120"/>
    </w:p>
    <w:p w14:paraId="5A8FA78B">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607EF0C5">
      <w:pPr>
        <w:keepNext/>
        <w:keepLines w:val="0"/>
        <w:widowControl w:val="0"/>
        <w:spacing w:before="340" w:beforeLines="50" w:after="330" w:afterLines="50" w:line="600" w:lineRule="exact"/>
        <w:jc w:val="center"/>
        <w:outlineLvl w:val="0"/>
        <w:rPr>
          <w:rFonts w:ascii="Times New Roman" w:hAnsi="Times New Roman" w:eastAsia="方正小标宋简体" w:cs="Times New Roman"/>
          <w:color w:val="auto"/>
          <w:kern w:val="44"/>
          <w:sz w:val="36"/>
          <w:szCs w:val="24"/>
          <w:highlight w:val="none"/>
          <w:lang w:val="en-US" w:eastAsia="zh-CN" w:bidi="ar-SA"/>
        </w:rPr>
      </w:pPr>
      <w:bookmarkStart w:id="121" w:name="_Toc11690"/>
      <w:bookmarkStart w:id="122" w:name="_Toc21382"/>
      <w:r>
        <w:rPr>
          <w:rFonts w:ascii="Times New Roman" w:hAnsi="Times New Roman" w:eastAsia="方正小标宋简体" w:cs="Times New Roman"/>
          <w:color w:val="auto"/>
          <w:kern w:val="44"/>
          <w:sz w:val="36"/>
          <w:szCs w:val="24"/>
          <w:highlight w:val="none"/>
          <w:lang w:val="en-US" w:eastAsia="zh-CN" w:bidi="ar-SA"/>
        </w:rPr>
        <w:t>第</w:t>
      </w:r>
      <w:r>
        <w:rPr>
          <w:rFonts w:hint="eastAsia" w:ascii="Times New Roman" w:hAnsi="Times New Roman" w:eastAsia="方正小标宋简体" w:cs="Times New Roman"/>
          <w:color w:val="auto"/>
          <w:kern w:val="44"/>
          <w:sz w:val="36"/>
          <w:szCs w:val="24"/>
          <w:highlight w:val="none"/>
          <w:lang w:val="en-US" w:eastAsia="zh-CN" w:bidi="ar-SA"/>
        </w:rPr>
        <w:t>六</w:t>
      </w:r>
      <w:r>
        <w:rPr>
          <w:rFonts w:ascii="Times New Roman" w:hAnsi="Times New Roman" w:eastAsia="方正小标宋简体" w:cs="Times New Roman"/>
          <w:color w:val="auto"/>
          <w:kern w:val="44"/>
          <w:sz w:val="36"/>
          <w:szCs w:val="24"/>
          <w:highlight w:val="none"/>
          <w:lang w:val="en-US" w:eastAsia="zh-CN" w:bidi="ar-SA"/>
        </w:rPr>
        <w:t>章 完善基础保障体系建设</w:t>
      </w:r>
      <w:bookmarkEnd w:id="121"/>
      <w:bookmarkEnd w:id="122"/>
    </w:p>
    <w:p w14:paraId="6CE75DF7">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23" w:name="_Toc29343"/>
      <w:bookmarkStart w:id="124" w:name="_Toc9075"/>
      <w:r>
        <w:rPr>
          <w:rFonts w:ascii="Times New Roman" w:hAnsi="Times New Roman" w:eastAsia="黑体" w:cs="Times New Roman"/>
          <w:color w:val="auto"/>
          <w:kern w:val="2"/>
          <w:sz w:val="32"/>
          <w:szCs w:val="24"/>
          <w:highlight w:val="none"/>
          <w:lang w:val="en-US" w:eastAsia="zh-CN" w:bidi="ar-SA"/>
        </w:rPr>
        <w:t>第一节 优化</w:t>
      </w:r>
      <w:r>
        <w:rPr>
          <w:rFonts w:hint="eastAsia" w:ascii="Times New Roman" w:hAnsi="Times New Roman" w:eastAsia="黑体" w:cs="Times New Roman"/>
          <w:color w:val="auto"/>
          <w:kern w:val="2"/>
          <w:sz w:val="32"/>
          <w:szCs w:val="24"/>
          <w:highlight w:val="none"/>
          <w:shd w:val="clear" w:color="auto" w:fill="FFFFFF"/>
          <w:lang w:val="en-US" w:eastAsia="zh-CN" w:bidi="ar-SA"/>
        </w:rPr>
        <w:t>镇</w:t>
      </w:r>
      <w:r>
        <w:rPr>
          <w:rFonts w:ascii="Times New Roman" w:hAnsi="Times New Roman" w:eastAsia="黑体" w:cs="Times New Roman"/>
          <w:color w:val="auto"/>
          <w:kern w:val="2"/>
          <w:sz w:val="32"/>
          <w:szCs w:val="24"/>
          <w:highlight w:val="none"/>
          <w:lang w:val="en-US" w:eastAsia="zh-CN" w:bidi="ar-SA"/>
        </w:rPr>
        <w:t>域综合交通组织</w:t>
      </w:r>
      <w:bookmarkEnd w:id="123"/>
      <w:bookmarkEnd w:id="124"/>
    </w:p>
    <w:p w14:paraId="16FB8B2A">
      <w:pPr>
        <w:ind w:firstLine="640" w:firstLineChars="200"/>
        <w:rPr>
          <w:rFonts w:ascii="Times New Roman" w:hAnsi="Times New Roman" w:cs="Times New Roman"/>
          <w:color w:val="auto"/>
          <w:szCs w:val="32"/>
          <w:highlight w:val="none"/>
        </w:rPr>
      </w:pPr>
      <w:bookmarkStart w:id="125" w:name="_Hlk175294666"/>
      <w:r>
        <w:rPr>
          <w:rFonts w:ascii="Times New Roman" w:hAnsi="Times New Roman" w:cs="Times New Roman"/>
          <w:color w:val="auto"/>
          <w:szCs w:val="32"/>
          <w:highlight w:val="none"/>
        </w:rPr>
        <w:t>构建多层次综合立体交通体系，补齐交通基础设施短板，充分发挥苏家店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区位优势，支撑社会经济发展，构建以</w:t>
      </w:r>
      <w:r>
        <w:rPr>
          <w:rFonts w:hint="eastAsia" w:ascii="Times New Roman" w:hAnsi="Times New Roman" w:cs="Times New Roman"/>
          <w:color w:val="auto"/>
          <w:szCs w:val="32"/>
          <w:highlight w:val="none"/>
          <w:lang w:eastAsia="zh-CN"/>
        </w:rPr>
        <w:t>国道</w:t>
      </w:r>
      <w:r>
        <w:rPr>
          <w:rFonts w:ascii="Times New Roman" w:hAnsi="Times New Roman" w:cs="Times New Roman"/>
          <w:color w:val="auto"/>
          <w:szCs w:val="32"/>
          <w:highlight w:val="none"/>
        </w:rPr>
        <w:t>为主骨架，</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道为基础，</w:t>
      </w:r>
      <w:r>
        <w:rPr>
          <w:rFonts w:ascii="Times New Roman" w:hAnsi="Times New Roman" w:cs="Times New Roman"/>
          <w:color w:val="auto"/>
          <w:szCs w:val="32"/>
          <w:highlight w:val="none"/>
          <w:shd w:val="clear" w:color="auto" w:fill="FFFFFF"/>
        </w:rPr>
        <w:t>村</w:t>
      </w:r>
      <w:r>
        <w:rPr>
          <w:rFonts w:ascii="Times New Roman" w:hAnsi="Times New Roman" w:cs="Times New Roman"/>
          <w:color w:val="auto"/>
          <w:szCs w:val="32"/>
          <w:highlight w:val="none"/>
        </w:rPr>
        <w:t>路为补充的安全便捷、内畅外达、智慧高效的综合交通体系，促进区域交通、城</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交通协调发展。提升</w:t>
      </w:r>
      <w:r>
        <w:rPr>
          <w:rFonts w:hint="eastAsia" w:ascii="Times New Roman" w:hAnsi="Times New Roman" w:cs="Times New Roman"/>
          <w:color w:val="auto"/>
          <w:szCs w:val="32"/>
          <w:highlight w:val="none"/>
          <w:lang w:eastAsia="zh-CN"/>
        </w:rPr>
        <w:t>国道</w:t>
      </w:r>
      <w:r>
        <w:rPr>
          <w:rFonts w:ascii="Times New Roman" w:hAnsi="Times New Roman" w:cs="Times New Roman"/>
          <w:color w:val="auto"/>
          <w:szCs w:val="32"/>
          <w:highlight w:val="none"/>
        </w:rPr>
        <w:t>通行能力和服务水平，发展村</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经济。</w:t>
      </w:r>
    </w:p>
    <w:bookmarkEnd w:id="125"/>
    <w:p w14:paraId="4F9A74BA">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对外交通</w:t>
      </w:r>
    </w:p>
    <w:p w14:paraId="5CBB1F34">
      <w:pPr>
        <w:widowControl/>
        <w:ind w:firstLine="640" w:firstLineChars="200"/>
        <w:rPr>
          <w:rFonts w:ascii="Times New Roman" w:hAnsi="Times New Roman" w:cs="Times New Roman"/>
          <w:color w:val="auto"/>
          <w:kern w:val="0"/>
          <w:szCs w:val="32"/>
          <w:highlight w:val="none"/>
        </w:rPr>
      </w:pPr>
      <w:bookmarkStart w:id="126" w:name="_Hlk175294685"/>
      <w:r>
        <w:rPr>
          <w:rFonts w:hint="eastAsia" w:ascii="Times New Roman" w:hAnsi="Times New Roman" w:cs="Times New Roman"/>
          <w:color w:val="auto"/>
          <w:kern w:val="0"/>
          <w:szCs w:val="32"/>
          <w:highlight w:val="none"/>
          <w:lang w:eastAsia="zh-CN"/>
        </w:rPr>
        <w:t>国道</w:t>
      </w:r>
      <w:r>
        <w:rPr>
          <w:rFonts w:hint="eastAsia" w:ascii="Times New Roman" w:hAnsi="Times New Roman" w:cs="Times New Roman"/>
          <w:color w:val="auto"/>
          <w:kern w:val="0"/>
          <w:szCs w:val="32"/>
          <w:highlight w:val="none"/>
        </w:rPr>
        <w:t>：</w:t>
      </w:r>
      <w:r>
        <w:rPr>
          <w:rFonts w:hint="eastAsia" w:ascii="Times New Roman" w:hAnsi="Times New Roman" w:cs="Times New Roman"/>
          <w:color w:val="auto"/>
          <w:kern w:val="0"/>
          <w:szCs w:val="32"/>
          <w:highlight w:val="none"/>
          <w:lang w:eastAsia="zh-CN"/>
        </w:rPr>
        <w:t>国道</w:t>
      </w:r>
      <w:r>
        <w:rPr>
          <w:rFonts w:ascii="Times New Roman" w:hAnsi="Times New Roman" w:cs="Times New Roman"/>
          <w:color w:val="auto"/>
          <w:kern w:val="0"/>
          <w:szCs w:val="32"/>
          <w:highlight w:val="none"/>
        </w:rPr>
        <w:t>G221</w:t>
      </w:r>
      <w:r>
        <w:rPr>
          <w:rFonts w:hint="eastAsia" w:ascii="Times New Roman" w:hAnsi="Times New Roman" w:cs="Times New Roman"/>
          <w:color w:val="auto"/>
          <w:kern w:val="0"/>
          <w:szCs w:val="32"/>
          <w:highlight w:val="none"/>
        </w:rPr>
        <w:t>同哈</w:t>
      </w:r>
      <w:r>
        <w:rPr>
          <w:rFonts w:hint="eastAsia" w:ascii="Times New Roman" w:hAnsi="Times New Roman" w:cs="Times New Roman"/>
          <w:color w:val="auto"/>
          <w:kern w:val="0"/>
          <w:szCs w:val="32"/>
          <w:highlight w:val="none"/>
          <w:lang w:eastAsia="zh-CN"/>
        </w:rPr>
        <w:t>公路</w:t>
      </w:r>
      <w:r>
        <w:rPr>
          <w:rFonts w:hint="eastAsia" w:ascii="Times New Roman" w:hAnsi="Times New Roman" w:cs="Times New Roman"/>
          <w:color w:val="auto"/>
          <w:kern w:val="0"/>
          <w:szCs w:val="32"/>
          <w:highlight w:val="none"/>
        </w:rPr>
        <w:t>（</w:t>
      </w:r>
      <w:r>
        <w:rPr>
          <w:rFonts w:ascii="Times New Roman" w:hAnsi="Times New Roman" w:cs="Times New Roman"/>
          <w:color w:val="auto"/>
          <w:kern w:val="0"/>
          <w:szCs w:val="32"/>
          <w:highlight w:val="none"/>
        </w:rPr>
        <w:t>双鸭山</w:t>
      </w:r>
      <w:r>
        <w:rPr>
          <w:rFonts w:ascii="Times New Roman" w:hAnsi="Times New Roman" w:cs="Times New Roman"/>
          <w:color w:val="auto"/>
          <w:kern w:val="0"/>
          <w:szCs w:val="32"/>
          <w:highlight w:val="none"/>
          <w:shd w:val="clear" w:color="auto" w:fill="FFFFFF"/>
        </w:rPr>
        <w:t>至</w:t>
      </w:r>
      <w:r>
        <w:rPr>
          <w:rFonts w:ascii="Times New Roman" w:hAnsi="Times New Roman" w:cs="Times New Roman"/>
          <w:color w:val="auto"/>
          <w:kern w:val="0"/>
          <w:szCs w:val="32"/>
          <w:highlight w:val="none"/>
        </w:rPr>
        <w:t>桦川</w:t>
      </w:r>
      <w:r>
        <w:rPr>
          <w:rFonts w:hint="eastAsia" w:ascii="Times New Roman" w:hAnsi="Times New Roman" w:cs="Times New Roman"/>
          <w:color w:val="auto"/>
          <w:kern w:val="0"/>
          <w:szCs w:val="32"/>
          <w:highlight w:val="none"/>
        </w:rPr>
        <w:t>段）</w:t>
      </w:r>
      <w:r>
        <w:rPr>
          <w:rFonts w:ascii="Times New Roman" w:hAnsi="Times New Roman" w:cs="Times New Roman"/>
          <w:color w:val="auto"/>
          <w:kern w:val="0"/>
          <w:szCs w:val="32"/>
          <w:highlight w:val="none"/>
        </w:rPr>
        <w:t>。</w:t>
      </w:r>
    </w:p>
    <w:p w14:paraId="2E8A368C">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color w:val="auto"/>
          <w:kern w:val="0"/>
          <w:sz w:val="32"/>
          <w:szCs w:val="32"/>
          <w:highlight w:val="none"/>
          <w:lang w:val="en-US" w:eastAsia="zh-CN" w:bidi="ar-SA"/>
        </w:rPr>
        <w:t>村道</w:t>
      </w:r>
      <w:r>
        <w:rPr>
          <w:rFonts w:hint="eastAsia" w:ascii="Times New Roman" w:hAnsi="Times New Roman" w:eastAsia="仿宋_GB2312" w:cs="Times New Roman"/>
          <w:bCs/>
          <w:color w:val="auto"/>
          <w:kern w:val="0"/>
          <w:sz w:val="32"/>
          <w:szCs w:val="32"/>
          <w:highlight w:val="none"/>
          <w:lang w:val="en-US" w:eastAsia="zh-CN" w:bidi="ar-SA"/>
        </w:rPr>
        <w:t>：</w:t>
      </w:r>
      <w:r>
        <w:rPr>
          <w:rFonts w:ascii="Times New Roman" w:hAnsi="Times New Roman" w:eastAsia="仿宋_GB2312" w:cs="Times New Roman"/>
          <w:bCs w:val="0"/>
          <w:color w:val="auto"/>
          <w:kern w:val="2"/>
          <w:sz w:val="32"/>
          <w:szCs w:val="32"/>
          <w:highlight w:val="none"/>
          <w:lang w:val="en-US" w:eastAsia="zh-CN" w:bidi="ar-SA"/>
        </w:rPr>
        <w:t>加快实施通村</w:t>
      </w:r>
      <w:r>
        <w:rPr>
          <w:rFonts w:hint="eastAsia" w:ascii="Times New Roman" w:hAnsi="Times New Roman" w:eastAsia="仿宋_GB2312" w:cs="Times New Roman"/>
          <w:bCs w:val="0"/>
          <w:color w:val="auto"/>
          <w:kern w:val="2"/>
          <w:sz w:val="32"/>
          <w:szCs w:val="32"/>
          <w:highlight w:val="none"/>
          <w:lang w:val="en-US" w:eastAsia="zh-CN" w:bidi="ar-SA"/>
        </w:rPr>
        <w:t>公路</w:t>
      </w:r>
      <w:r>
        <w:rPr>
          <w:rFonts w:ascii="Times New Roman" w:hAnsi="Times New Roman" w:eastAsia="仿宋_GB2312" w:cs="Times New Roman"/>
          <w:bCs w:val="0"/>
          <w:color w:val="auto"/>
          <w:kern w:val="2"/>
          <w:sz w:val="32"/>
          <w:szCs w:val="32"/>
          <w:highlight w:val="none"/>
          <w:lang w:val="en-US" w:eastAsia="zh-CN" w:bidi="ar-SA"/>
        </w:rPr>
        <w:t>提级改造和连通工程，提高通达深度和安全水平，提升通畅水平。推进旅游路、产业路、资源路、</w:t>
      </w:r>
      <w:r>
        <w:rPr>
          <w:rFonts w:hint="eastAsia" w:ascii="Times New Roman" w:hAnsi="Times New Roman" w:eastAsia="仿宋_GB2312" w:cs="Times New Roman"/>
          <w:bCs w:val="0"/>
          <w:color w:val="auto"/>
          <w:kern w:val="2"/>
          <w:sz w:val="32"/>
          <w:szCs w:val="32"/>
          <w:highlight w:val="none"/>
          <w:lang w:val="en-US" w:eastAsia="zh-CN" w:bidi="ar-SA"/>
        </w:rPr>
        <w:t>乡镇</w:t>
      </w:r>
      <w:r>
        <w:rPr>
          <w:rFonts w:ascii="Times New Roman" w:hAnsi="Times New Roman" w:eastAsia="仿宋_GB2312" w:cs="Times New Roman"/>
          <w:bCs w:val="0"/>
          <w:color w:val="auto"/>
          <w:kern w:val="2"/>
          <w:sz w:val="32"/>
          <w:szCs w:val="32"/>
          <w:highlight w:val="none"/>
          <w:lang w:val="en-US" w:eastAsia="zh-CN" w:bidi="ar-SA"/>
        </w:rPr>
        <w:t>出口路等</w:t>
      </w:r>
      <w:r>
        <w:rPr>
          <w:rFonts w:hint="eastAsia" w:ascii="Times New Roman" w:hAnsi="Times New Roman" w:eastAsia="仿宋_GB2312" w:cs="Times New Roman"/>
          <w:bCs w:val="0"/>
          <w:color w:val="auto"/>
          <w:kern w:val="2"/>
          <w:sz w:val="32"/>
          <w:szCs w:val="32"/>
          <w:highlight w:val="none"/>
          <w:lang w:val="en-US" w:eastAsia="zh-CN" w:bidi="ar-SA"/>
        </w:rPr>
        <w:t>县乡公路</w:t>
      </w:r>
      <w:r>
        <w:rPr>
          <w:rFonts w:ascii="Times New Roman" w:hAnsi="Times New Roman" w:eastAsia="仿宋_GB2312" w:cs="Times New Roman"/>
          <w:bCs w:val="0"/>
          <w:color w:val="auto"/>
          <w:kern w:val="2"/>
          <w:sz w:val="32"/>
          <w:szCs w:val="32"/>
          <w:highlight w:val="none"/>
          <w:lang w:val="en-US" w:eastAsia="zh-CN" w:bidi="ar-SA"/>
        </w:rPr>
        <w:t>建设</w:t>
      </w:r>
      <w:bookmarkEnd w:id="126"/>
      <w:r>
        <w:rPr>
          <w:rFonts w:ascii="Times New Roman" w:hAnsi="Times New Roman" w:eastAsia="仿宋_GB2312" w:cs="Times New Roman"/>
          <w:bCs w:val="0"/>
          <w:color w:val="auto"/>
          <w:kern w:val="2"/>
          <w:sz w:val="32"/>
          <w:szCs w:val="32"/>
          <w:highlight w:val="none"/>
          <w:lang w:val="en-US" w:eastAsia="zh-CN" w:bidi="ar-SA"/>
        </w:rPr>
        <w:t>。</w:t>
      </w:r>
    </w:p>
    <w:p w14:paraId="05822B99">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交通枢纽设施</w:t>
      </w:r>
    </w:p>
    <w:p w14:paraId="478D2989">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27" w:name="_Hlk175294783"/>
      <w:r>
        <w:rPr>
          <w:rFonts w:ascii="Times New Roman" w:hAnsi="Times New Roman" w:eastAsia="仿宋_GB2312" w:cs="Times New Roman"/>
          <w:bCs w:val="0"/>
          <w:color w:val="auto"/>
          <w:kern w:val="2"/>
          <w:sz w:val="32"/>
          <w:szCs w:val="24"/>
          <w:highlight w:val="none"/>
          <w:lang w:val="en-US" w:eastAsia="zh-CN" w:bidi="ar-SA"/>
        </w:rPr>
        <w:t>客运枢纽</w:t>
      </w:r>
      <w:r>
        <w:rPr>
          <w:rFonts w:hint="eastAsia" w:ascii="Times New Roman" w:hAnsi="Times New Roman" w:eastAsia="仿宋_GB2312" w:cs="Times New Roman"/>
          <w:bCs w:val="0"/>
          <w:color w:val="auto"/>
          <w:kern w:val="2"/>
          <w:sz w:val="32"/>
          <w:szCs w:val="24"/>
          <w:highlight w:val="none"/>
          <w:lang w:val="en-US" w:eastAsia="zh-CN" w:bidi="ar-SA"/>
        </w:rPr>
        <w:t>：</w:t>
      </w:r>
      <w:r>
        <w:rPr>
          <w:rFonts w:ascii="Times New Roman" w:hAnsi="Times New Roman" w:eastAsia="仿宋_GB2312" w:cs="Times New Roman"/>
          <w:bCs/>
          <w:color w:val="auto"/>
          <w:kern w:val="2"/>
          <w:sz w:val="32"/>
          <w:szCs w:val="28"/>
          <w:highlight w:val="none"/>
          <w:u w:val="single"/>
          <w:lang w:val="en-US" w:eastAsia="zh-CN" w:bidi="ar-SA"/>
        </w:rPr>
        <w:t>于</w:t>
      </w:r>
      <w:r>
        <w:rPr>
          <w:rFonts w:hint="eastAsia" w:ascii="Times New Roman" w:hAnsi="Times New Roman" w:eastAsia="仿宋_GB2312" w:cs="Times New Roman"/>
          <w:bCs/>
          <w:color w:val="auto"/>
          <w:kern w:val="2"/>
          <w:sz w:val="32"/>
          <w:szCs w:val="28"/>
          <w:highlight w:val="none"/>
          <w:u w:val="single"/>
          <w:lang w:val="en-US" w:eastAsia="zh-CN" w:bidi="ar-SA"/>
        </w:rPr>
        <w:t>镇</w:t>
      </w:r>
      <w:r>
        <w:rPr>
          <w:rFonts w:ascii="Times New Roman" w:hAnsi="Times New Roman" w:eastAsia="仿宋_GB2312" w:cs="Times New Roman"/>
          <w:bCs/>
          <w:color w:val="auto"/>
          <w:kern w:val="2"/>
          <w:sz w:val="32"/>
          <w:szCs w:val="28"/>
          <w:highlight w:val="none"/>
          <w:u w:val="single"/>
          <w:lang w:val="en-US" w:eastAsia="zh-CN" w:bidi="ar-SA"/>
        </w:rPr>
        <w:t>政府驻地</w:t>
      </w:r>
      <w:r>
        <w:rPr>
          <w:rFonts w:ascii="Times New Roman" w:hAnsi="Times New Roman" w:eastAsia="仿宋_GB2312" w:cs="Times New Roman"/>
          <w:bCs w:val="0"/>
          <w:color w:val="auto"/>
          <w:kern w:val="2"/>
          <w:sz w:val="32"/>
          <w:szCs w:val="32"/>
          <w:highlight w:val="none"/>
          <w:u w:val="single"/>
          <w:lang w:val="en-US" w:eastAsia="zh-CN" w:bidi="ar-SA"/>
        </w:rPr>
        <w:t>规划客运站1处</w:t>
      </w:r>
      <w:r>
        <w:rPr>
          <w:rFonts w:ascii="Times New Roman" w:hAnsi="Times New Roman" w:eastAsia="仿宋_GB2312" w:cs="Times New Roman"/>
          <w:bCs w:val="0"/>
          <w:color w:val="auto"/>
          <w:kern w:val="2"/>
          <w:sz w:val="32"/>
          <w:szCs w:val="32"/>
          <w:highlight w:val="none"/>
          <w:lang w:val="en-US" w:eastAsia="zh-CN" w:bidi="ar-SA"/>
        </w:rPr>
        <w:t>。形成以桦川</w:t>
      </w:r>
      <w:r>
        <w:rPr>
          <w:rFonts w:hint="eastAsia" w:ascii="Times New Roman" w:hAnsi="Times New Roman" w:eastAsia="仿宋_GB2312" w:cs="Times New Roman"/>
          <w:bCs w:val="0"/>
          <w:color w:val="auto"/>
          <w:kern w:val="2"/>
          <w:sz w:val="32"/>
          <w:szCs w:val="32"/>
          <w:highlight w:val="none"/>
          <w:lang w:val="en-US" w:eastAsia="zh-CN" w:bidi="ar-SA"/>
        </w:rPr>
        <w:t>县</w:t>
      </w:r>
      <w:r>
        <w:rPr>
          <w:rFonts w:ascii="Times New Roman" w:hAnsi="Times New Roman" w:eastAsia="仿宋_GB2312" w:cs="Times New Roman"/>
          <w:bCs w:val="0"/>
          <w:color w:val="auto"/>
          <w:kern w:val="2"/>
          <w:sz w:val="32"/>
          <w:szCs w:val="32"/>
          <w:highlight w:val="none"/>
          <w:lang w:val="en-US" w:eastAsia="zh-CN" w:bidi="ar-SA"/>
        </w:rPr>
        <w:t>客运站为中心，苏家店客运站为辅助的二级客运系统。</w:t>
      </w:r>
    </w:p>
    <w:p w14:paraId="77F5367F">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24"/>
          <w:highlight w:val="none"/>
          <w:lang w:val="en-US" w:eastAsia="zh-CN" w:bidi="ar-SA"/>
        </w:rPr>
        <w:t>货运枢纽</w:t>
      </w:r>
      <w:r>
        <w:rPr>
          <w:rFonts w:hint="eastAsia" w:ascii="Times New Roman" w:hAnsi="Times New Roman" w:eastAsia="仿宋_GB2312" w:cs="Times New Roman"/>
          <w:bCs w:val="0"/>
          <w:color w:val="auto"/>
          <w:kern w:val="2"/>
          <w:sz w:val="32"/>
          <w:szCs w:val="24"/>
          <w:highlight w:val="none"/>
          <w:lang w:val="en-US" w:eastAsia="zh-CN" w:bidi="ar-SA"/>
        </w:rPr>
        <w:t>：</w:t>
      </w:r>
      <w:r>
        <w:rPr>
          <w:rFonts w:ascii="Times New Roman" w:hAnsi="Times New Roman" w:eastAsia="仿宋_GB2312" w:cs="Times New Roman"/>
          <w:bCs/>
          <w:color w:val="auto"/>
          <w:kern w:val="2"/>
          <w:sz w:val="32"/>
          <w:szCs w:val="28"/>
          <w:highlight w:val="none"/>
          <w:lang w:val="en-US" w:eastAsia="zh-CN" w:bidi="ar-SA"/>
        </w:rPr>
        <w:t>于</w:t>
      </w:r>
      <w:r>
        <w:rPr>
          <w:rFonts w:hint="eastAsia" w:ascii="Times New Roman" w:hAnsi="Times New Roman" w:eastAsia="仿宋_GB2312" w:cs="Times New Roman"/>
          <w:bCs/>
          <w:color w:val="auto"/>
          <w:kern w:val="2"/>
          <w:sz w:val="32"/>
          <w:szCs w:val="28"/>
          <w:highlight w:val="none"/>
          <w:lang w:val="en-US" w:eastAsia="zh-CN" w:bidi="ar-SA"/>
        </w:rPr>
        <w:t>镇</w:t>
      </w:r>
      <w:r>
        <w:rPr>
          <w:rFonts w:ascii="Times New Roman" w:hAnsi="Times New Roman" w:eastAsia="仿宋_GB2312" w:cs="Times New Roman"/>
          <w:bCs/>
          <w:color w:val="auto"/>
          <w:kern w:val="2"/>
          <w:sz w:val="32"/>
          <w:szCs w:val="28"/>
          <w:highlight w:val="none"/>
          <w:lang w:val="en-US" w:eastAsia="zh-CN" w:bidi="ar-SA"/>
        </w:rPr>
        <w:t>政府驻地</w:t>
      </w:r>
      <w:r>
        <w:rPr>
          <w:rFonts w:ascii="Times New Roman" w:hAnsi="Times New Roman" w:eastAsia="仿宋_GB2312" w:cs="Times New Roman"/>
          <w:bCs w:val="0"/>
          <w:color w:val="auto"/>
          <w:kern w:val="2"/>
          <w:sz w:val="32"/>
          <w:szCs w:val="32"/>
          <w:highlight w:val="none"/>
          <w:lang w:val="en-US" w:eastAsia="zh-CN" w:bidi="ar-SA"/>
        </w:rPr>
        <w:t>规划物流园1处，结合过境货运车辆服务功能。</w:t>
      </w:r>
    </w:p>
    <w:p w14:paraId="31D81F1E">
      <w:pPr>
        <w:keepNext/>
        <w:keepLines/>
        <w:widowControl w:val="0"/>
        <w:spacing w:before="260" w:beforeLines="50" w:after="260" w:afterLines="50" w:line="600" w:lineRule="exact"/>
        <w:jc w:val="center"/>
        <w:outlineLvl w:val="1"/>
        <w:rPr>
          <w:rFonts w:ascii="Times New Roman" w:hAnsi="Times New Roman" w:eastAsia="黑体" w:cs="Times New Roman"/>
          <w:color w:val="auto"/>
          <w:kern w:val="2"/>
          <w:sz w:val="32"/>
          <w:szCs w:val="24"/>
          <w:highlight w:val="none"/>
          <w:lang w:val="en-US" w:eastAsia="zh-CN" w:bidi="ar-SA"/>
        </w:rPr>
      </w:pPr>
      <w:bookmarkStart w:id="128" w:name="_Toc1821"/>
      <w:r>
        <w:rPr>
          <w:rFonts w:ascii="Times New Roman" w:hAnsi="Times New Roman" w:eastAsia="黑体" w:cs="Times New Roman"/>
          <w:color w:val="auto"/>
          <w:kern w:val="2"/>
          <w:sz w:val="32"/>
          <w:szCs w:val="24"/>
          <w:highlight w:val="none"/>
          <w:lang w:val="en-US" w:eastAsia="zh-CN" w:bidi="ar-SA"/>
        </w:rPr>
        <w:t xml:space="preserve">第二节 </w:t>
      </w:r>
      <w:r>
        <w:rPr>
          <w:rFonts w:hint="eastAsia" w:ascii="Times New Roman" w:hAnsi="Times New Roman" w:eastAsia="黑体" w:cs="Times New Roman"/>
          <w:color w:val="auto"/>
          <w:kern w:val="2"/>
          <w:sz w:val="32"/>
          <w:szCs w:val="24"/>
          <w:highlight w:val="none"/>
          <w:lang w:val="en-US" w:eastAsia="zh-CN" w:bidi="ar-SA"/>
        </w:rPr>
        <w:t>镇</w:t>
      </w:r>
      <w:r>
        <w:rPr>
          <w:rFonts w:ascii="Times New Roman" w:hAnsi="Times New Roman" w:eastAsia="黑体" w:cs="Times New Roman"/>
          <w:color w:val="auto"/>
          <w:kern w:val="2"/>
          <w:sz w:val="32"/>
          <w:szCs w:val="24"/>
          <w:highlight w:val="none"/>
          <w:lang w:val="en-US" w:eastAsia="zh-CN" w:bidi="ar-SA"/>
        </w:rPr>
        <w:t>政府驻地道路交通组织</w:t>
      </w:r>
      <w:bookmarkEnd w:id="128"/>
    </w:p>
    <w:p w14:paraId="7EC99DCB">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129" w:name="_Toc9553"/>
      <w:r>
        <w:rPr>
          <w:rFonts w:ascii="Calibri" w:hAnsi="Calibri" w:eastAsia="楷体_GB2312" w:cs="Times New Roman"/>
          <w:b/>
          <w:color w:val="auto"/>
          <w:kern w:val="2"/>
          <w:sz w:val="32"/>
          <w:szCs w:val="24"/>
          <w:highlight w:val="none"/>
          <w:lang w:val="en-US" w:eastAsia="zh-CN" w:bidi="ar-SA"/>
        </w:rPr>
        <w:t>交通系统发展目标</w:t>
      </w:r>
      <w:bookmarkEnd w:id="129"/>
    </w:p>
    <w:p w14:paraId="17B703F6">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bookmarkStart w:id="130" w:name="_Hlk175292605"/>
      <w:r>
        <w:rPr>
          <w:rFonts w:ascii="Times New Roman" w:hAnsi="Times New Roman" w:eastAsia="仿宋_GB2312" w:cs="Times New Roman"/>
          <w:bCs w:val="0"/>
          <w:color w:val="auto"/>
          <w:kern w:val="2"/>
          <w:sz w:val="32"/>
          <w:szCs w:val="32"/>
          <w:highlight w:val="none"/>
          <w:lang w:val="en-US" w:eastAsia="zh-CN" w:bidi="ar-SA"/>
        </w:rPr>
        <w:t>根据苏家店</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社会经济发展战略、城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空间发展的目标定位和城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功能定位，提出苏家店</w:t>
      </w:r>
      <w:r>
        <w:rPr>
          <w:rFonts w:hint="eastAsia" w:ascii="Times New Roman" w:hAnsi="Times New Roman" w:eastAsia="仿宋_GB2312" w:cs="Times New Roman"/>
          <w:bCs w:val="0"/>
          <w:color w:val="auto"/>
          <w:kern w:val="2"/>
          <w:sz w:val="32"/>
          <w:szCs w:val="32"/>
          <w:highlight w:val="none"/>
          <w:lang w:val="en-US" w:eastAsia="zh-CN" w:bidi="ar-SA"/>
        </w:rPr>
        <w:t>镇镇</w:t>
      </w:r>
      <w:r>
        <w:rPr>
          <w:rFonts w:ascii="Times New Roman" w:hAnsi="Times New Roman" w:eastAsia="仿宋_GB2312" w:cs="Times New Roman"/>
          <w:bCs w:val="0"/>
          <w:color w:val="auto"/>
          <w:kern w:val="2"/>
          <w:sz w:val="32"/>
          <w:szCs w:val="32"/>
          <w:highlight w:val="none"/>
          <w:lang w:val="en-US" w:eastAsia="zh-CN" w:bidi="ar-SA"/>
        </w:rPr>
        <w:t>政府驻地城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道路交通发展战略目标为：构建一个引导城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空间拓展，以便捷通畅为主要目标，以景城一体为特色的城</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道路交通系统。</w:t>
      </w:r>
    </w:p>
    <w:bookmarkEnd w:id="130"/>
    <w:p w14:paraId="1818271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131" w:name="_Toc2582"/>
      <w:r>
        <w:rPr>
          <w:rFonts w:ascii="Calibri" w:hAnsi="Calibri" w:eastAsia="楷体_GB2312" w:cs="Times New Roman"/>
          <w:b/>
          <w:color w:val="auto"/>
          <w:kern w:val="2"/>
          <w:sz w:val="32"/>
          <w:szCs w:val="24"/>
          <w:highlight w:val="none"/>
          <w:lang w:val="en-US" w:eastAsia="zh-CN" w:bidi="ar-SA"/>
        </w:rPr>
        <w:t>道路网结构和布局规划</w:t>
      </w:r>
      <w:bookmarkEnd w:id="131"/>
    </w:p>
    <w:p w14:paraId="57E469F5">
      <w:pPr>
        <w:numPr>
          <w:ilvl w:val="0"/>
          <w:numId w:val="7"/>
        </w:numPr>
        <w:ind w:firstLine="640" w:firstLineChars="200"/>
        <w:rPr>
          <w:rFonts w:ascii="Times New Roman" w:hAnsi="Times New Roman" w:cs="Times New Roman"/>
          <w:color w:val="auto"/>
          <w:szCs w:val="32"/>
          <w:highlight w:val="none"/>
        </w:rPr>
      </w:pPr>
      <w:bookmarkStart w:id="132" w:name="_Hlk175292715"/>
      <w:bookmarkStart w:id="133" w:name="_Toc4556"/>
      <w:r>
        <w:rPr>
          <w:rFonts w:ascii="Times New Roman" w:hAnsi="Times New Roman" w:cs="Times New Roman"/>
          <w:color w:val="auto"/>
          <w:szCs w:val="32"/>
          <w:highlight w:val="none"/>
        </w:rPr>
        <w:t>道路系统</w:t>
      </w:r>
    </w:p>
    <w:p w14:paraId="5CB35D77">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根据现状道路特点和用地开发边界，规划道路结构为方格网形式。道路等级分为主干路（一级</w:t>
      </w:r>
      <w:r>
        <w:rPr>
          <w:rFonts w:hint="eastAsia" w:ascii="Times New Roman" w:hAnsi="Times New Roman" w:cs="Times New Roman"/>
          <w:color w:val="auto"/>
          <w:szCs w:val="32"/>
          <w:highlight w:val="none"/>
          <w:lang w:eastAsia="zh-CN"/>
        </w:rPr>
        <w:t>公路</w:t>
      </w:r>
      <w:r>
        <w:rPr>
          <w:rFonts w:ascii="Times New Roman" w:hAnsi="Times New Roman" w:cs="Times New Roman"/>
          <w:color w:val="auto"/>
          <w:szCs w:val="32"/>
          <w:highlight w:val="none"/>
        </w:rPr>
        <w:t>）、次干路、支路和巷道。</w:t>
      </w:r>
    </w:p>
    <w:p w14:paraId="40B46F0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2、慢行系统</w:t>
      </w:r>
    </w:p>
    <w:p w14:paraId="0CD9749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综合考虑</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政府驻地尺度、通勤距离，步行及非机动车出行比例等实际情况，优先打造安全、宜行的绿色交通体系，重点完善步行和自行车出行空间，鼓励绿色交通出行，提升慢行交通生活品质。</w:t>
      </w:r>
    </w:p>
    <w:p w14:paraId="6C588733">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3、静态交通系统</w:t>
      </w:r>
    </w:p>
    <w:bookmarkEnd w:id="132"/>
    <w:p w14:paraId="1D966458">
      <w:pPr>
        <w:ind w:firstLine="640"/>
        <w:rPr>
          <w:rFonts w:ascii="Times New Roman" w:hAnsi="Times New Roman" w:cs="Times New Roman"/>
          <w:color w:val="auto"/>
          <w:szCs w:val="32"/>
          <w:highlight w:val="none"/>
        </w:rPr>
      </w:pPr>
      <w:r>
        <w:rPr>
          <w:rFonts w:ascii="Times New Roman" w:hAnsi="Times New Roman" w:cs="Times New Roman"/>
          <w:color w:val="auto"/>
          <w:szCs w:val="32"/>
          <w:highlight w:val="none"/>
        </w:rPr>
        <w:t>规划设置社会停车场3处，分别位于驻地北部规划物流园、村委会前空地和规划的露营垂钓园入口。构建以配建为主、公共为辅、路内停车为补充的静态交通体系。</w:t>
      </w:r>
    </w:p>
    <w:p w14:paraId="2CC474C6">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交通场站规划</w:t>
      </w:r>
      <w:bookmarkEnd w:id="133"/>
    </w:p>
    <w:p w14:paraId="5E056A5A">
      <w:pPr>
        <w:ind w:firstLine="640" w:firstLineChars="200"/>
        <w:rPr>
          <w:rFonts w:ascii="Times New Roman" w:hAnsi="Times New Roman" w:cs="Times New Roman"/>
          <w:color w:val="auto"/>
          <w:szCs w:val="32"/>
          <w:highlight w:val="none"/>
        </w:rPr>
      </w:pPr>
      <w:bookmarkStart w:id="134" w:name="_Hlk175292980"/>
      <w:r>
        <w:rPr>
          <w:rFonts w:ascii="Times New Roman" w:hAnsi="Times New Roman" w:cs="Times New Roman"/>
          <w:color w:val="auto"/>
          <w:szCs w:val="32"/>
          <w:highlight w:val="none"/>
          <w:u w:val="single"/>
        </w:rPr>
        <w:t>客运站</w:t>
      </w:r>
      <w:r>
        <w:rPr>
          <w:rFonts w:hint="eastAsia" w:ascii="Times New Roman" w:hAnsi="Times New Roman" w:cs="Times New Roman"/>
          <w:color w:val="auto"/>
          <w:szCs w:val="32"/>
          <w:highlight w:val="none"/>
          <w:u w:val="single"/>
        </w:rPr>
        <w:t>：</w:t>
      </w:r>
      <w:r>
        <w:rPr>
          <w:rFonts w:ascii="Times New Roman" w:hAnsi="Times New Roman" w:cs="Times New Roman"/>
          <w:color w:val="auto"/>
          <w:szCs w:val="32"/>
          <w:highlight w:val="none"/>
          <w:u w:val="single"/>
        </w:rPr>
        <w:t>规划客运站1处，</w:t>
      </w:r>
      <w:r>
        <w:rPr>
          <w:rFonts w:ascii="Times New Roman" w:hAnsi="Times New Roman" w:cs="Times New Roman"/>
          <w:color w:val="auto"/>
          <w:szCs w:val="32"/>
          <w:highlight w:val="none"/>
        </w:rPr>
        <w:t>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highlight w:val="none"/>
        </w:rPr>
        <w:t>政府驻地</w:t>
      </w:r>
      <w:r>
        <w:rPr>
          <w:rFonts w:ascii="Times New Roman" w:hAnsi="Times New Roman" w:cs="Times New Roman"/>
          <w:color w:val="auto"/>
          <w:szCs w:val="32"/>
          <w:highlight w:val="none"/>
        </w:rPr>
        <w:t>中心位置，同哈</w:t>
      </w:r>
      <w:r>
        <w:rPr>
          <w:rFonts w:hint="eastAsia" w:ascii="Times New Roman" w:hAnsi="Times New Roman" w:cs="Times New Roman"/>
          <w:color w:val="auto"/>
          <w:szCs w:val="32"/>
          <w:highlight w:val="none"/>
          <w:lang w:eastAsia="zh-CN"/>
        </w:rPr>
        <w:t>公路</w:t>
      </w:r>
      <w:r>
        <w:rPr>
          <w:rFonts w:ascii="Times New Roman" w:hAnsi="Times New Roman" w:cs="Times New Roman"/>
          <w:color w:val="auto"/>
          <w:szCs w:val="32"/>
          <w:highlight w:val="none"/>
        </w:rPr>
        <w:t>（繁华中心街）东侧。</w:t>
      </w:r>
    </w:p>
    <w:p w14:paraId="4C4B7B69">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24"/>
          <w:highlight w:val="none"/>
          <w:lang w:val="en-US" w:eastAsia="zh-CN" w:bidi="ar-SA"/>
        </w:rPr>
        <w:t>货运枢纽</w:t>
      </w:r>
      <w:r>
        <w:rPr>
          <w:rFonts w:hint="eastAsia" w:ascii="Times New Roman" w:hAnsi="Times New Roman" w:eastAsia="仿宋_GB2312" w:cs="Times New Roman"/>
          <w:bCs w:val="0"/>
          <w:color w:val="auto"/>
          <w:kern w:val="2"/>
          <w:sz w:val="32"/>
          <w:szCs w:val="24"/>
          <w:highlight w:val="none"/>
          <w:lang w:val="en-US" w:eastAsia="zh-CN" w:bidi="ar-SA"/>
        </w:rPr>
        <w:t>：</w:t>
      </w:r>
      <w:r>
        <w:rPr>
          <w:rFonts w:ascii="Times New Roman" w:hAnsi="Times New Roman" w:eastAsia="仿宋_GB2312" w:cs="Times New Roman"/>
          <w:bCs w:val="0"/>
          <w:color w:val="auto"/>
          <w:kern w:val="2"/>
          <w:sz w:val="32"/>
          <w:szCs w:val="32"/>
          <w:highlight w:val="none"/>
          <w:lang w:val="en-US" w:eastAsia="zh-CN" w:bidi="ar-SA"/>
        </w:rPr>
        <w:t>规划物流园1处，结合过境货运车辆服务功能。</w:t>
      </w:r>
    </w:p>
    <w:bookmarkEnd w:id="127"/>
    <w:bookmarkEnd w:id="134"/>
    <w:p w14:paraId="16708564">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35" w:name="_Toc11794"/>
      <w:bookmarkStart w:id="136" w:name="_Toc6653"/>
      <w:bookmarkStart w:id="137" w:name="_Toc694"/>
      <w:r>
        <w:rPr>
          <w:rFonts w:ascii="Times New Roman" w:hAnsi="Times New Roman" w:eastAsia="黑体" w:cs="Times New Roman"/>
          <w:color w:val="auto"/>
          <w:kern w:val="2"/>
          <w:sz w:val="32"/>
          <w:szCs w:val="24"/>
          <w:highlight w:val="none"/>
          <w:lang w:val="en-US" w:eastAsia="zh-CN" w:bidi="ar-SA"/>
        </w:rPr>
        <w:t>第三节 提高公服设施均等化水平</w:t>
      </w:r>
      <w:bookmarkEnd w:id="135"/>
      <w:bookmarkEnd w:id="136"/>
    </w:p>
    <w:p w14:paraId="5552E445">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构建公共服务设施体系</w:t>
      </w:r>
    </w:p>
    <w:p w14:paraId="0743BB45">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38" w:name="_Hlk175294999"/>
      <w:r>
        <w:rPr>
          <w:rFonts w:ascii="Times New Roman" w:hAnsi="Times New Roman" w:eastAsia="仿宋_GB2312" w:cs="Times New Roman"/>
          <w:bCs w:val="0"/>
          <w:color w:val="auto"/>
          <w:kern w:val="2"/>
          <w:sz w:val="32"/>
          <w:szCs w:val="32"/>
          <w:highlight w:val="none"/>
          <w:lang w:val="en-US" w:eastAsia="zh-CN" w:bidi="ar-SA"/>
        </w:rPr>
        <w:t>规划在尊重现状的基础上，结合人口发展趋势，按照黑龙江</w:t>
      </w:r>
      <w:r>
        <w:rPr>
          <w:rFonts w:hint="eastAsia" w:ascii="Times New Roman" w:hAnsi="Times New Roman" w:eastAsia="仿宋_GB2312" w:cs="Times New Roman"/>
          <w:bCs w:val="0"/>
          <w:color w:val="auto"/>
          <w:kern w:val="2"/>
          <w:sz w:val="32"/>
          <w:szCs w:val="32"/>
          <w:highlight w:val="none"/>
          <w:lang w:val="en-US" w:eastAsia="zh-CN" w:bidi="ar-SA"/>
        </w:rPr>
        <w:t>省</w:t>
      </w:r>
      <w:r>
        <w:rPr>
          <w:rFonts w:ascii="Times New Roman" w:hAnsi="Times New Roman" w:eastAsia="仿宋_GB2312" w:cs="Times New Roman"/>
          <w:bCs w:val="0"/>
          <w:color w:val="auto"/>
          <w:kern w:val="2"/>
          <w:sz w:val="32"/>
          <w:szCs w:val="32"/>
          <w:highlight w:val="none"/>
          <w:lang w:val="en-US" w:eastAsia="zh-CN" w:bidi="ar-SA"/>
        </w:rPr>
        <w:t>地方标准《社区生活圈规划技术指南》（DB23/T 3566—2023）分项分级设置各类公共服务设施，建设“</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w:t>
      </w:r>
      <w:r>
        <w:rPr>
          <w:rFonts w:hint="eastAsia" w:ascii="Times New Roman" w:hAnsi="Times New Roman" w:eastAsia="仿宋_GB2312" w:cs="Times New Roman"/>
          <w:bCs w:val="0"/>
          <w:color w:val="auto"/>
          <w:kern w:val="2"/>
          <w:sz w:val="32"/>
          <w:szCs w:val="32"/>
          <w:highlight w:val="none"/>
          <w:shd w:val="clear" w:color="auto" w:fill="FFFFFF"/>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层级—村/</w:t>
      </w:r>
      <w:r>
        <w:rPr>
          <w:rFonts w:ascii="Times New Roman" w:hAnsi="Times New Roman" w:eastAsia="仿宋_GB2312" w:cs="Times New Roman"/>
          <w:bCs w:val="0"/>
          <w:color w:val="auto"/>
          <w:kern w:val="2"/>
          <w:sz w:val="32"/>
          <w:szCs w:val="32"/>
          <w:highlight w:val="none"/>
          <w:shd w:val="clear" w:color="auto" w:fill="FFFFFF"/>
          <w:lang w:val="en-US" w:eastAsia="zh-CN" w:bidi="ar-SA"/>
        </w:rPr>
        <w:t>组级</w:t>
      </w:r>
      <w:r>
        <w:rPr>
          <w:rFonts w:ascii="Times New Roman" w:hAnsi="Times New Roman" w:eastAsia="仿宋_GB2312" w:cs="Times New Roman"/>
          <w:bCs w:val="0"/>
          <w:color w:val="auto"/>
          <w:kern w:val="2"/>
          <w:sz w:val="32"/>
          <w:szCs w:val="32"/>
          <w:highlight w:val="none"/>
          <w:lang w:val="en-US" w:eastAsia="zh-CN" w:bidi="ar-SA"/>
        </w:rPr>
        <w:t>”两级社区生活圈公共服务体系，全面实现城</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基本服务设施均等化，打造面向</w:t>
      </w:r>
      <w:r>
        <w:rPr>
          <w:rFonts w:hint="eastAsia" w:ascii="Times New Roman" w:hAnsi="Times New Roman" w:eastAsia="仿宋_GB2312" w:cs="Times New Roman"/>
          <w:bCs w:val="0"/>
          <w:color w:val="auto"/>
          <w:kern w:val="2"/>
          <w:sz w:val="32"/>
          <w:szCs w:val="32"/>
          <w:highlight w:val="none"/>
          <w:shd w:val="clear" w:color="auto" w:fill="FFFFFF"/>
          <w:lang w:val="en-US" w:eastAsia="zh-CN" w:bidi="ar-SA"/>
        </w:rPr>
        <w:t>镇</w:t>
      </w:r>
      <w:r>
        <w:rPr>
          <w:rFonts w:ascii="Times New Roman" w:hAnsi="Times New Roman" w:eastAsia="仿宋_GB2312" w:cs="Times New Roman"/>
          <w:bCs w:val="0"/>
          <w:color w:val="auto"/>
          <w:kern w:val="2"/>
          <w:sz w:val="32"/>
          <w:szCs w:val="32"/>
          <w:highlight w:val="none"/>
          <w:shd w:val="clear" w:color="auto" w:fill="FFFFFF"/>
          <w:lang w:val="en-US" w:eastAsia="zh-CN" w:bidi="ar-SA"/>
        </w:rPr>
        <w:t>域</w:t>
      </w:r>
      <w:r>
        <w:rPr>
          <w:rFonts w:ascii="Times New Roman" w:hAnsi="Times New Roman" w:eastAsia="仿宋_GB2312" w:cs="Times New Roman"/>
          <w:bCs w:val="0"/>
          <w:color w:val="auto"/>
          <w:kern w:val="2"/>
          <w:sz w:val="32"/>
          <w:szCs w:val="32"/>
          <w:highlight w:val="none"/>
          <w:lang w:val="en-US" w:eastAsia="zh-CN" w:bidi="ar-SA"/>
        </w:rPr>
        <w:t>服务的公共服务体系，</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w:t>
      </w:r>
      <w:r>
        <w:rPr>
          <w:rFonts w:hint="eastAsia" w:ascii="Times New Roman" w:hAnsi="Times New Roman" w:eastAsia="仿宋_GB2312" w:cs="Times New Roman"/>
          <w:bCs w:val="0"/>
          <w:color w:val="auto"/>
          <w:kern w:val="2"/>
          <w:sz w:val="32"/>
          <w:szCs w:val="32"/>
          <w:highlight w:val="none"/>
          <w:shd w:val="clear" w:color="auto" w:fill="FFFFFF"/>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层级公共服务中心1个，主要公共服务设施重点向</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政府驻地集中，提升</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政府驻地设施服务水平和设施利用效率。村/</w:t>
      </w:r>
      <w:r>
        <w:rPr>
          <w:rFonts w:ascii="Times New Roman" w:hAnsi="Times New Roman" w:eastAsia="仿宋_GB2312" w:cs="Times New Roman"/>
          <w:bCs w:val="0"/>
          <w:color w:val="auto"/>
          <w:kern w:val="2"/>
          <w:sz w:val="32"/>
          <w:szCs w:val="32"/>
          <w:highlight w:val="none"/>
          <w:shd w:val="clear" w:color="auto" w:fill="FFFFFF"/>
          <w:lang w:val="en-US" w:eastAsia="zh-CN" w:bidi="ar-SA"/>
        </w:rPr>
        <w:t>组</w:t>
      </w:r>
      <w:r>
        <w:rPr>
          <w:rFonts w:ascii="Times New Roman" w:hAnsi="Times New Roman" w:eastAsia="仿宋_GB2312" w:cs="Times New Roman"/>
          <w:bCs w:val="0"/>
          <w:color w:val="auto"/>
          <w:kern w:val="2"/>
          <w:sz w:val="32"/>
          <w:szCs w:val="32"/>
          <w:highlight w:val="none"/>
          <w:lang w:val="en-US" w:eastAsia="zh-CN" w:bidi="ar-SA"/>
        </w:rPr>
        <w:t>级公共服务中心10个，结合现状村委会规划，为本村和周边村庄提供基本公共服务。</w:t>
      </w:r>
    </w:p>
    <w:bookmarkEnd w:id="138"/>
    <w:p w14:paraId="1C040AF5">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教育设施</w:t>
      </w:r>
    </w:p>
    <w:p w14:paraId="549CE742">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39" w:name="_Hlk175295038"/>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政府驻地：依据人口测算，保留、优化现状小学、中学即可满足未来适龄儿童的入学需求，保留现状幼儿园，规划新</w:t>
      </w:r>
      <w:r>
        <w:rPr>
          <w:rFonts w:ascii="Times New Roman" w:hAnsi="Times New Roman" w:eastAsia="仿宋_GB2312" w:cs="Times New Roman"/>
          <w:bCs/>
          <w:color w:val="auto"/>
          <w:kern w:val="0"/>
          <w:sz w:val="32"/>
          <w:szCs w:val="32"/>
          <w:highlight w:val="none"/>
          <w:lang w:val="en-US" w:eastAsia="zh-CN" w:bidi="ar-SA"/>
        </w:rPr>
        <w:t>建小区设置托儿所，满足居民需求</w:t>
      </w:r>
      <w:r>
        <w:rPr>
          <w:rFonts w:ascii="Times New Roman" w:hAnsi="Times New Roman" w:eastAsia="仿宋_GB2312" w:cs="Times New Roman"/>
          <w:bCs w:val="0"/>
          <w:color w:val="auto"/>
          <w:kern w:val="2"/>
          <w:sz w:val="32"/>
          <w:szCs w:val="32"/>
          <w:highlight w:val="none"/>
          <w:lang w:val="en-US" w:eastAsia="zh-CN" w:bidi="ar-SA"/>
        </w:rPr>
        <w:t>。</w:t>
      </w:r>
    </w:p>
    <w:p w14:paraId="53D57B37">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村庄：保留现状中村庄幼儿园，规划每个行政村（</w:t>
      </w:r>
      <w:r>
        <w:rPr>
          <w:rFonts w:ascii="Times New Roman" w:hAnsi="Times New Roman" w:eastAsia="仿宋_GB2312" w:cs="Times New Roman"/>
          <w:bCs w:val="0"/>
          <w:color w:val="auto"/>
          <w:kern w:val="2"/>
          <w:sz w:val="32"/>
          <w:szCs w:val="32"/>
          <w:highlight w:val="none"/>
          <w:shd w:val="clear" w:color="auto" w:fill="FFFFFF"/>
          <w:lang w:val="en-US" w:eastAsia="zh-CN" w:bidi="ar-SA"/>
        </w:rPr>
        <w:t>除</w:t>
      </w:r>
      <w:r>
        <w:rPr>
          <w:rFonts w:ascii="Times New Roman" w:hAnsi="Times New Roman" w:eastAsia="仿宋_GB2312" w:cs="Times New Roman"/>
          <w:bCs w:val="0"/>
          <w:color w:val="auto"/>
          <w:kern w:val="2"/>
          <w:sz w:val="32"/>
          <w:szCs w:val="32"/>
          <w:highlight w:val="none"/>
          <w:lang w:val="en-US" w:eastAsia="zh-CN" w:bidi="ar-SA"/>
        </w:rPr>
        <w:t>桦树川村）有</w:t>
      </w:r>
      <w:r>
        <w:rPr>
          <w:rFonts w:hint="eastAsia" w:ascii="Times New Roman" w:hAnsi="Times New Roman" w:eastAsia="仿宋_GB2312" w:cs="Times New Roman"/>
          <w:bCs w:val="0"/>
          <w:color w:val="auto"/>
          <w:kern w:val="2"/>
          <w:sz w:val="32"/>
          <w:szCs w:val="32"/>
          <w:highlight w:val="none"/>
          <w:lang w:val="en-US" w:eastAsia="zh-CN" w:bidi="ar-SA"/>
        </w:rPr>
        <w:t>一所</w:t>
      </w:r>
      <w:r>
        <w:rPr>
          <w:rFonts w:ascii="Times New Roman" w:hAnsi="Times New Roman" w:eastAsia="仿宋_GB2312" w:cs="Times New Roman"/>
          <w:bCs w:val="0"/>
          <w:color w:val="auto"/>
          <w:kern w:val="2"/>
          <w:sz w:val="32"/>
          <w:szCs w:val="32"/>
          <w:highlight w:val="none"/>
          <w:lang w:val="en-US" w:eastAsia="zh-CN" w:bidi="ar-SA"/>
        </w:rPr>
        <w:t>幼儿园，桦树川村村民利用中安村幼儿园设施。</w:t>
      </w:r>
      <w:bookmarkEnd w:id="139"/>
    </w:p>
    <w:p w14:paraId="1A755717">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医疗卫生设施</w:t>
      </w:r>
    </w:p>
    <w:p w14:paraId="600D5F87">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40" w:name="_Hlk175295350"/>
      <w:r>
        <w:rPr>
          <w:rFonts w:ascii="Times New Roman" w:hAnsi="Times New Roman" w:eastAsia="仿宋_GB2312" w:cs="Times New Roman"/>
          <w:bCs w:val="0"/>
          <w:color w:val="auto"/>
          <w:kern w:val="2"/>
          <w:sz w:val="32"/>
          <w:szCs w:val="32"/>
          <w:highlight w:val="none"/>
          <w:lang w:val="en-US" w:eastAsia="zh-CN" w:bidi="ar-SA"/>
        </w:rPr>
        <w:t>高标准配置医疗卫生设施，建立</w:t>
      </w:r>
      <w:r>
        <w:rPr>
          <w:rFonts w:hint="eastAsia" w:ascii="Times New Roman" w:hAnsi="Times New Roman" w:eastAsia="仿宋_GB2312" w:cs="Times New Roman"/>
          <w:bCs w:val="0"/>
          <w:color w:val="auto"/>
          <w:kern w:val="2"/>
          <w:sz w:val="32"/>
          <w:szCs w:val="32"/>
          <w:highlight w:val="none"/>
          <w:lang w:val="en-US" w:eastAsia="zh-CN" w:bidi="ar-SA"/>
        </w:rPr>
        <w:t>乡镇</w:t>
      </w:r>
      <w:r>
        <w:rPr>
          <w:rFonts w:ascii="Times New Roman" w:hAnsi="Times New Roman" w:eastAsia="仿宋_GB2312" w:cs="Times New Roman"/>
          <w:bCs w:val="0"/>
          <w:color w:val="auto"/>
          <w:kern w:val="2"/>
          <w:sz w:val="32"/>
          <w:szCs w:val="32"/>
          <w:highlight w:val="none"/>
          <w:lang w:val="en-US" w:eastAsia="zh-CN" w:bidi="ar-SA"/>
        </w:rPr>
        <w:t>级医疗卫生设施诊疗体系。</w:t>
      </w:r>
    </w:p>
    <w:p w14:paraId="635E5026">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构建以</w:t>
      </w:r>
      <w:r>
        <w:rPr>
          <w:rFonts w:hint="eastAsia" w:ascii="Times New Roman" w:hAnsi="Times New Roman" w:eastAsia="仿宋_GB2312" w:cs="Times New Roman"/>
          <w:bCs w:val="0"/>
          <w:color w:val="auto"/>
          <w:kern w:val="2"/>
          <w:sz w:val="32"/>
          <w:szCs w:val="32"/>
          <w:highlight w:val="none"/>
          <w:lang w:val="en-US" w:eastAsia="zh-CN" w:bidi="ar-SA"/>
        </w:rPr>
        <w:t>乡镇</w:t>
      </w:r>
      <w:r>
        <w:rPr>
          <w:rFonts w:ascii="Times New Roman" w:hAnsi="Times New Roman" w:eastAsia="仿宋_GB2312" w:cs="Times New Roman"/>
          <w:bCs w:val="0"/>
          <w:color w:val="auto"/>
          <w:kern w:val="2"/>
          <w:sz w:val="32"/>
          <w:szCs w:val="32"/>
          <w:highlight w:val="none"/>
          <w:lang w:val="en-US" w:eastAsia="zh-CN" w:bidi="ar-SA"/>
        </w:rPr>
        <w:t>卫生院为中心，村级卫生室为补充的卫生网络系统。基本建成覆盖</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域、功能齐全完善的医疗救治、疾病预防控制体系。</w:t>
      </w:r>
    </w:p>
    <w:p w14:paraId="7FA87050">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政府驻地：保留、优化现状苏家店</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卫生院、通过改善医疗条件、提高服务质量，完善</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政府驻地医护职能；设置卫生监督所和疾控中心功能，以满足突发疫情需求，可在现状医院建筑内部选取合适区域设置，不必单独设置用地。</w:t>
      </w:r>
    </w:p>
    <w:p w14:paraId="30AA0818">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村庄：规划按照一村一室进行配置村级卫生室，对现有村庄卫生室进行提升，完善</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村一级医疗卫生水平，强化基层医疗作用，做到小病不出村。</w:t>
      </w:r>
    </w:p>
    <w:bookmarkEnd w:id="140"/>
    <w:p w14:paraId="34A9B705">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文化设施</w:t>
      </w:r>
    </w:p>
    <w:p w14:paraId="635D4C70">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41" w:name="_Hlk175295379"/>
      <w:r>
        <w:rPr>
          <w:rFonts w:ascii="Times New Roman" w:hAnsi="Times New Roman" w:eastAsia="仿宋_GB2312" w:cs="Times New Roman"/>
          <w:bCs w:val="0"/>
          <w:color w:val="auto"/>
          <w:kern w:val="2"/>
          <w:sz w:val="32"/>
          <w:szCs w:val="32"/>
          <w:highlight w:val="none"/>
          <w:lang w:val="en-US" w:eastAsia="zh-CN" w:bidi="ar-SA"/>
        </w:rPr>
        <w:t>建立供给丰富、均衡高效的文化服务体系，扩大公共文化服务有效供给，建设一批高品质文化设施，鼓励学校、企事业单位文化设施向社会开放，实现城</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文化服务互联互通。</w:t>
      </w:r>
    </w:p>
    <w:p w14:paraId="2E0A8910">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政府驻地：利用结合苏家店</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政府设1处文化活动站，作为全</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文化活动中心，内设艺术与文化展示厅、影视厅、图书室等。</w:t>
      </w:r>
    </w:p>
    <w:p w14:paraId="74398592">
      <w:pPr>
        <w:widowControl w:val="0"/>
        <w:tabs>
          <w:tab w:val="left" w:pos="1985"/>
        </w:tabs>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村庄：设置包括文化活动室、农家书屋等，以满足广大农村居民的日常文化生活需要。有条件的村庄可设置特色民俗活动点，用来举办农民集体活动和民俗活动，服务周边村民。</w:t>
      </w:r>
    </w:p>
    <w:bookmarkEnd w:id="141"/>
    <w:p w14:paraId="2EAEA393">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体育设施</w:t>
      </w:r>
    </w:p>
    <w:p w14:paraId="1782D9CB">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42" w:name="_Hlk175295407"/>
      <w:r>
        <w:rPr>
          <w:rFonts w:ascii="Times New Roman" w:hAnsi="Times New Roman" w:eastAsia="仿宋_GB2312" w:cs="Times New Roman"/>
          <w:bCs w:val="0"/>
          <w:color w:val="auto"/>
          <w:kern w:val="2"/>
          <w:sz w:val="32"/>
          <w:szCs w:val="32"/>
          <w:highlight w:val="none"/>
          <w:lang w:val="en-US" w:eastAsia="zh-CN" w:bidi="ar-SA"/>
        </w:rPr>
        <w:t>建立体系完善、惠及大众的全民健身公共服务体系。兼顾竞技体育与全民健身的需求，侧重全民健身设施的建设。推动学校体育设施向社会开放，鼓励体育设施与其他公共服务设施共建共享，鼓励公园绿地及其他开敞空间提供体育健身服务功能。</w:t>
      </w:r>
    </w:p>
    <w:p w14:paraId="7890C783">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政府驻地：在规划苏家店</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小学南侧规划室外综合健身场地1处，作为</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政府驻地全民健身中心；结合社区生活圈建设，结合公园绿地与开敞空间布置中小型室外活动场地，满足</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政府驻地居民日常体育活动需求；结合</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政府设置</w:t>
      </w:r>
      <w:r>
        <w:rPr>
          <w:rFonts w:hint="eastAsia" w:ascii="Times New Roman" w:hAnsi="Times New Roman" w:eastAsia="仿宋_GB2312" w:cs="Times New Roman"/>
          <w:bCs w:val="0"/>
          <w:color w:val="auto"/>
          <w:kern w:val="2"/>
          <w:sz w:val="32"/>
          <w:szCs w:val="32"/>
          <w:highlight w:val="none"/>
          <w:lang w:val="en-US" w:eastAsia="zh-CN" w:bidi="ar-SA"/>
        </w:rPr>
        <w:t>乡镇</w:t>
      </w:r>
      <w:r>
        <w:rPr>
          <w:rFonts w:ascii="Times New Roman" w:hAnsi="Times New Roman" w:eastAsia="仿宋_GB2312" w:cs="Times New Roman"/>
          <w:bCs w:val="0"/>
          <w:color w:val="auto"/>
          <w:kern w:val="2"/>
          <w:sz w:val="32"/>
          <w:szCs w:val="32"/>
          <w:highlight w:val="none"/>
          <w:lang w:val="en-US" w:eastAsia="zh-CN" w:bidi="ar-SA"/>
        </w:rPr>
        <w:t>体育活动室。</w:t>
      </w:r>
    </w:p>
    <w:p w14:paraId="03999964">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村庄：体育设施规划结合公园广场或文化活动室布置体育设施，配备必要的运动设施及体育器材，组织村民参加活动。</w:t>
      </w:r>
    </w:p>
    <w:bookmarkEnd w:id="142"/>
    <w:p w14:paraId="5DC76CEE">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社会福利设施</w:t>
      </w:r>
    </w:p>
    <w:p w14:paraId="5E358A3A">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43" w:name="_Hlk175295448"/>
      <w:r>
        <w:rPr>
          <w:rFonts w:ascii="Times New Roman" w:hAnsi="Times New Roman" w:eastAsia="仿宋_GB2312" w:cs="Times New Roman"/>
          <w:bCs w:val="0"/>
          <w:color w:val="auto"/>
          <w:kern w:val="2"/>
          <w:sz w:val="32"/>
          <w:szCs w:val="32"/>
          <w:highlight w:val="none"/>
          <w:lang w:val="en-US" w:eastAsia="zh-CN" w:bidi="ar-SA"/>
        </w:rPr>
        <w:t>提升社会保障水平，坚持普惠性、保基本、均等化、可持续、高标准建设社会保障服务设施，切实保障老人、儿童和</w:t>
      </w:r>
      <w:r>
        <w:rPr>
          <w:rFonts w:hint="eastAsia" w:ascii="Times New Roman" w:hAnsi="Times New Roman" w:eastAsia="仿宋_GB2312" w:cs="Times New Roman"/>
          <w:bCs w:val="0"/>
          <w:color w:val="auto"/>
          <w:kern w:val="2"/>
          <w:sz w:val="32"/>
          <w:szCs w:val="32"/>
          <w:highlight w:val="none"/>
          <w:shd w:val="clear" w:color="auto" w:fill="FFFFFF"/>
          <w:lang w:val="en-US" w:eastAsia="zh-CN" w:bidi="ar-SA"/>
        </w:rPr>
        <w:t>残障人士</w:t>
      </w:r>
      <w:r>
        <w:rPr>
          <w:rFonts w:ascii="Times New Roman" w:hAnsi="Times New Roman" w:eastAsia="仿宋_GB2312" w:cs="Times New Roman"/>
          <w:bCs w:val="0"/>
          <w:color w:val="auto"/>
          <w:kern w:val="2"/>
          <w:sz w:val="32"/>
          <w:szCs w:val="32"/>
          <w:highlight w:val="none"/>
          <w:lang w:val="en-US" w:eastAsia="zh-CN" w:bidi="ar-SA"/>
        </w:rPr>
        <w:t>的基本公共服务，建成以家庭为基础、社区为依托、机构养老为补充、医养相结合的养老服务体系，形成网络健全、便捷高效的养老服务格局。</w:t>
      </w:r>
    </w:p>
    <w:p w14:paraId="7210D7FE">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政府驻地：保留现状苏家店</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东侧1处养老院（幸福大院），满足城</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养老需求；结合生活圈建设，设置1处老年活动室及1处老年人日间照料中心。</w:t>
      </w:r>
    </w:p>
    <w:p w14:paraId="05727D0D">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村庄：结合村委会以及闲置校舍建设老年人日间照料中心、老年活动室，服务周边村民。有条件的村庄可设置幸福大院和老年人餐厅。</w:t>
      </w:r>
    </w:p>
    <w:bookmarkEnd w:id="143"/>
    <w:p w14:paraId="05C523D9">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商业服务设施</w:t>
      </w:r>
    </w:p>
    <w:p w14:paraId="253A66EF">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44" w:name="_Hlk175295488"/>
      <w:r>
        <w:rPr>
          <w:rFonts w:ascii="Times New Roman" w:hAnsi="Times New Roman" w:eastAsia="仿宋_GB2312" w:cs="Times New Roman"/>
          <w:bCs w:val="0"/>
          <w:color w:val="auto"/>
          <w:kern w:val="2"/>
          <w:sz w:val="32"/>
          <w:szCs w:val="32"/>
          <w:highlight w:val="none"/>
          <w:lang w:val="en-US" w:eastAsia="zh-CN" w:bidi="ar-SA"/>
        </w:rPr>
        <w:t>加强城</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商业配套服务，建立以</w:t>
      </w:r>
      <w:r>
        <w:rPr>
          <w:rFonts w:hint="eastAsia" w:ascii="Times New Roman" w:hAnsi="Times New Roman" w:eastAsia="仿宋_GB2312" w:cs="Times New Roman"/>
          <w:bCs w:val="0"/>
          <w:color w:val="auto"/>
          <w:kern w:val="2"/>
          <w:sz w:val="32"/>
          <w:szCs w:val="32"/>
          <w:highlight w:val="none"/>
          <w:lang w:val="en-US" w:eastAsia="zh-CN" w:bidi="ar-SA"/>
        </w:rPr>
        <w:t>苏家店镇镇政府驻地</w:t>
      </w:r>
      <w:r>
        <w:rPr>
          <w:rFonts w:ascii="Times New Roman" w:hAnsi="Times New Roman" w:eastAsia="仿宋_GB2312" w:cs="Times New Roman"/>
          <w:bCs w:val="0"/>
          <w:color w:val="auto"/>
          <w:kern w:val="2"/>
          <w:sz w:val="32"/>
          <w:szCs w:val="32"/>
          <w:highlight w:val="none"/>
          <w:lang w:val="en-US" w:eastAsia="zh-CN" w:bidi="ar-SA"/>
        </w:rPr>
        <w:t>为核心的城</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商业服务体系。</w:t>
      </w:r>
    </w:p>
    <w:p w14:paraId="30A077DB">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政府驻地：保留现状部分质量较好的商业服务设施；规划1处农业服务中心；结合生活圈建设，布置多处小型商业服务设施，在苏家店村委会南侧布置一处大型集贸</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场，满足</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政府驻地及周边村庄商贸需求。</w:t>
      </w:r>
    </w:p>
    <w:p w14:paraId="3D015078">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村庄：规划建设便民农家店、金融</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信点、</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商中心，服务周边村民。</w:t>
      </w:r>
    </w:p>
    <w:bookmarkEnd w:id="144"/>
    <w:p w14:paraId="16AFE65A">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45" w:name="_Toc26179"/>
      <w:bookmarkStart w:id="146" w:name="_Toc16176"/>
      <w:r>
        <w:rPr>
          <w:rFonts w:ascii="Times New Roman" w:hAnsi="Times New Roman" w:eastAsia="黑体" w:cs="Times New Roman"/>
          <w:color w:val="auto"/>
          <w:kern w:val="2"/>
          <w:sz w:val="32"/>
          <w:szCs w:val="24"/>
          <w:highlight w:val="none"/>
          <w:lang w:val="en-US" w:eastAsia="zh-CN" w:bidi="ar-SA"/>
        </w:rPr>
        <w:t>第四节 优化</w:t>
      </w:r>
      <w:r>
        <w:rPr>
          <w:rFonts w:hint="eastAsia" w:ascii="Times New Roman" w:hAnsi="Times New Roman" w:eastAsia="黑体" w:cs="Times New Roman"/>
          <w:color w:val="auto"/>
          <w:kern w:val="2"/>
          <w:sz w:val="32"/>
          <w:szCs w:val="24"/>
          <w:highlight w:val="none"/>
          <w:shd w:val="clear" w:color="auto" w:fill="FFFFFF"/>
          <w:lang w:val="en-US" w:eastAsia="zh-CN" w:bidi="ar-SA"/>
        </w:rPr>
        <w:t>镇</w:t>
      </w:r>
      <w:r>
        <w:rPr>
          <w:rFonts w:ascii="Times New Roman" w:hAnsi="Times New Roman" w:eastAsia="黑体" w:cs="Times New Roman"/>
          <w:color w:val="auto"/>
          <w:kern w:val="2"/>
          <w:sz w:val="32"/>
          <w:szCs w:val="24"/>
          <w:highlight w:val="none"/>
          <w:shd w:val="clear" w:color="auto" w:fill="FFFFFF"/>
          <w:lang w:val="en-US" w:eastAsia="zh-CN" w:bidi="ar-SA"/>
        </w:rPr>
        <w:t>域</w:t>
      </w:r>
      <w:r>
        <w:rPr>
          <w:rFonts w:ascii="Times New Roman" w:hAnsi="Times New Roman" w:eastAsia="黑体" w:cs="Times New Roman"/>
          <w:color w:val="auto"/>
          <w:kern w:val="2"/>
          <w:sz w:val="32"/>
          <w:szCs w:val="24"/>
          <w:highlight w:val="none"/>
          <w:lang w:val="en-US" w:eastAsia="zh-CN" w:bidi="ar-SA"/>
        </w:rPr>
        <w:t>基础设施空间布局</w:t>
      </w:r>
      <w:bookmarkEnd w:id="145"/>
      <w:bookmarkEnd w:id="146"/>
    </w:p>
    <w:p w14:paraId="2950DBF5">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w:t>
      </w:r>
      <w:r>
        <w:rPr>
          <w:rFonts w:hint="eastAsia" w:ascii="Calibri" w:hAnsi="Calibri" w:eastAsia="楷体_GB2312" w:cs="Times New Roman"/>
          <w:b/>
          <w:color w:val="auto"/>
          <w:kern w:val="2"/>
          <w:sz w:val="32"/>
          <w:szCs w:val="24"/>
          <w:highlight w:val="none"/>
          <w:lang w:val="en-US" w:eastAsia="zh-CN" w:bidi="ar-SA"/>
        </w:rPr>
        <w:t>电</w:t>
      </w:r>
      <w:r>
        <w:rPr>
          <w:rFonts w:ascii="Calibri" w:hAnsi="Calibri" w:eastAsia="楷体_GB2312" w:cs="Times New Roman"/>
          <w:b/>
          <w:color w:val="auto"/>
          <w:kern w:val="2"/>
          <w:sz w:val="32"/>
          <w:szCs w:val="24"/>
          <w:highlight w:val="none"/>
          <w:lang w:val="en-US" w:eastAsia="zh-CN" w:bidi="ar-SA"/>
        </w:rPr>
        <w:t>力设施布局</w:t>
      </w:r>
    </w:p>
    <w:p w14:paraId="446358CB">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47" w:name="_Hlk175295525"/>
      <w:r>
        <w:rPr>
          <w:rFonts w:ascii="Times New Roman" w:hAnsi="Times New Roman" w:eastAsia="仿宋_GB2312" w:cs="Times New Roman"/>
          <w:bCs w:val="0"/>
          <w:color w:val="auto"/>
          <w:kern w:val="2"/>
          <w:sz w:val="32"/>
          <w:szCs w:val="32"/>
          <w:highlight w:val="none"/>
          <w:lang w:val="en-US" w:eastAsia="zh-CN" w:bidi="ar-SA"/>
        </w:rPr>
        <w:t>科学规划城</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配</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网，加快</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网建设和改造，</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网与</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源建设同步发展，强化网络结构和完善主系统联络通道。</w:t>
      </w:r>
    </w:p>
    <w:bookmarkEnd w:id="147"/>
    <w:p w14:paraId="126953A3">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优化燃气设施布局</w:t>
      </w:r>
    </w:p>
    <w:p w14:paraId="4BDBE4DF">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48" w:name="_Hlk175295560"/>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域范围内民用燃气主要以液化石油气为主要燃料，气源采用桦川</w:t>
      </w:r>
      <w:r>
        <w:rPr>
          <w:rFonts w:hint="eastAsia" w:ascii="Times New Roman" w:hAnsi="Times New Roman" w:eastAsia="仿宋_GB2312" w:cs="Times New Roman"/>
          <w:bCs w:val="0"/>
          <w:color w:val="auto"/>
          <w:kern w:val="2"/>
          <w:sz w:val="32"/>
          <w:szCs w:val="32"/>
          <w:highlight w:val="none"/>
          <w:lang w:val="en-US" w:eastAsia="zh-CN" w:bidi="ar-SA"/>
        </w:rPr>
        <w:t>县</w:t>
      </w:r>
      <w:r>
        <w:rPr>
          <w:rFonts w:ascii="Times New Roman" w:hAnsi="Times New Roman" w:eastAsia="仿宋_GB2312" w:cs="Times New Roman"/>
          <w:bCs w:val="0"/>
          <w:color w:val="auto"/>
          <w:kern w:val="2"/>
          <w:sz w:val="32"/>
          <w:szCs w:val="32"/>
          <w:highlight w:val="none"/>
          <w:lang w:val="en-US" w:eastAsia="zh-CN" w:bidi="ar-SA"/>
        </w:rPr>
        <w:t>液化石油气站。</w:t>
      </w:r>
    </w:p>
    <w:p w14:paraId="2A211A3B">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推广使用秸秆燃料块并配套使用专用炉具的模式。采用直燃式秸秆</w:t>
      </w:r>
      <w:r>
        <w:rPr>
          <w:rFonts w:ascii="Times New Roman" w:hAnsi="Times New Roman" w:eastAsia="仿宋_GB2312" w:cs="Times New Roman"/>
          <w:bCs w:val="0"/>
          <w:color w:val="auto"/>
          <w:kern w:val="2"/>
          <w:sz w:val="32"/>
          <w:szCs w:val="32"/>
          <w:highlight w:val="none"/>
          <w:shd w:val="clear" w:color="auto" w:fill="FFFFFF"/>
          <w:lang w:val="en-US" w:eastAsia="zh-CN" w:bidi="ar-SA"/>
        </w:rPr>
        <w:t>半</w:t>
      </w:r>
      <w:r>
        <w:rPr>
          <w:rFonts w:ascii="Times New Roman" w:hAnsi="Times New Roman" w:eastAsia="仿宋_GB2312" w:cs="Times New Roman"/>
          <w:bCs w:val="0"/>
          <w:color w:val="auto"/>
          <w:kern w:val="2"/>
          <w:sz w:val="32"/>
          <w:szCs w:val="32"/>
          <w:highlight w:val="none"/>
          <w:lang w:val="en-US" w:eastAsia="zh-CN" w:bidi="ar-SA"/>
        </w:rPr>
        <w:t>气化炉，可带暖气设备给居室供暖，热效率比较高，供暖效果好</w:t>
      </w:r>
      <w:bookmarkEnd w:id="148"/>
      <w:r>
        <w:rPr>
          <w:rFonts w:ascii="Times New Roman" w:hAnsi="Times New Roman" w:eastAsia="仿宋_GB2312" w:cs="Times New Roman"/>
          <w:bCs w:val="0"/>
          <w:color w:val="auto"/>
          <w:kern w:val="2"/>
          <w:sz w:val="32"/>
          <w:szCs w:val="32"/>
          <w:highlight w:val="none"/>
          <w:lang w:val="en-US" w:eastAsia="zh-CN" w:bidi="ar-SA"/>
        </w:rPr>
        <w:t>。</w:t>
      </w:r>
    </w:p>
    <w:p w14:paraId="4DA7E3EB">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优化给水设施布局</w:t>
      </w:r>
    </w:p>
    <w:p w14:paraId="12A36D94">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49" w:name="_Hlk175295591"/>
      <w:r>
        <w:rPr>
          <w:rFonts w:ascii="Times New Roman" w:hAnsi="Times New Roman" w:eastAsia="仿宋_GB2312" w:cs="Times New Roman"/>
          <w:bCs w:val="0"/>
          <w:color w:val="auto"/>
          <w:kern w:val="2"/>
          <w:sz w:val="32"/>
          <w:szCs w:val="32"/>
          <w:highlight w:val="none"/>
          <w:lang w:val="en-US" w:eastAsia="zh-CN" w:bidi="ar-SA"/>
        </w:rPr>
        <w:t>1.规划用水量计算</w:t>
      </w:r>
    </w:p>
    <w:p w14:paraId="5430C48B">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确定各村屯生活供水量安全标准为100升/人·日。</w:t>
      </w:r>
    </w:p>
    <w:p w14:paraId="32082763">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2.供水水源</w:t>
      </w:r>
    </w:p>
    <w:p w14:paraId="07DF421B">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现状各村屯水源均采用地下水为水源，采用深水井供水。</w:t>
      </w:r>
    </w:p>
    <w:p w14:paraId="7D7C9D65">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3.水源保护及水质监测体系建设</w:t>
      </w:r>
    </w:p>
    <w:p w14:paraId="055F7F39">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水源保护是饮水安</w:t>
      </w:r>
      <w:r>
        <w:rPr>
          <w:rFonts w:hint="eastAsia" w:ascii="Times New Roman" w:hAnsi="Times New Roman" w:eastAsia="仿宋_GB2312" w:cs="Times New Roman"/>
          <w:bCs w:val="0"/>
          <w:color w:val="auto"/>
          <w:kern w:val="2"/>
          <w:sz w:val="32"/>
          <w:szCs w:val="32"/>
          <w:highlight w:val="none"/>
          <w:lang w:val="en-US" w:eastAsia="zh-CN" w:bidi="ar-SA"/>
        </w:rPr>
        <w:t>全的</w:t>
      </w:r>
      <w:r>
        <w:rPr>
          <w:rFonts w:ascii="Times New Roman" w:hAnsi="Times New Roman" w:eastAsia="仿宋_GB2312" w:cs="Times New Roman"/>
          <w:bCs w:val="0"/>
          <w:color w:val="auto"/>
          <w:kern w:val="2"/>
          <w:sz w:val="32"/>
          <w:szCs w:val="32"/>
          <w:highlight w:val="none"/>
          <w:lang w:val="en-US" w:eastAsia="zh-CN" w:bidi="ar-SA"/>
        </w:rPr>
        <w:t>重要保障，因此应加大力度对饮用水水源进行保护，依据《饮用水保护区划分技术细则》建立水源保护区及准保护区，由地下水供水的水源保护区应在水源井周围10米的范围内不得设置生活居住区和禽畜养殖场，渗水的厕所、渗坑，不得堆放垃圾、粪便、废渣或铺设污水管道，应保持良好的卫生状况及绿化。净水站供水和用水点的水质监测，对取水、制水、供水实施全过程管理，及时掌握城</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饮用水水源环境、供水水质状况，并定期检查。</w:t>
      </w:r>
    </w:p>
    <w:p w14:paraId="199A49B9">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对检查不合格的供水单位，严格按照有关规定进行查处，并督促限期整改。各供水单位建立以水质为核心的质量管理体系，建立严格的取样、检测和化验制度，按国家有关标准和操作规程检测供水水质，并完善检测数据的统计分析和报表制度</w:t>
      </w:r>
      <w:bookmarkEnd w:id="149"/>
      <w:r>
        <w:rPr>
          <w:rFonts w:ascii="Times New Roman" w:hAnsi="Times New Roman" w:eastAsia="仿宋_GB2312" w:cs="Times New Roman"/>
          <w:bCs w:val="0"/>
          <w:color w:val="auto"/>
          <w:kern w:val="2"/>
          <w:sz w:val="32"/>
          <w:szCs w:val="32"/>
          <w:highlight w:val="none"/>
          <w:lang w:val="en-US" w:eastAsia="zh-CN" w:bidi="ar-SA"/>
        </w:rPr>
        <w:t>。</w:t>
      </w:r>
    </w:p>
    <w:p w14:paraId="5CAB0A4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优化排水设施布局</w:t>
      </w:r>
    </w:p>
    <w:p w14:paraId="44BA2F34">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50" w:name="_Hlk175295754"/>
      <w:r>
        <w:rPr>
          <w:rFonts w:ascii="Times New Roman" w:hAnsi="Times New Roman" w:eastAsia="仿宋_GB2312" w:cs="Times New Roman"/>
          <w:bCs w:val="0"/>
          <w:color w:val="auto"/>
          <w:kern w:val="2"/>
          <w:sz w:val="32"/>
          <w:szCs w:val="32"/>
          <w:highlight w:val="none"/>
          <w:lang w:val="en-US" w:eastAsia="zh-CN" w:bidi="ar-SA"/>
        </w:rPr>
        <w:t>1、规划排水体制</w:t>
      </w:r>
    </w:p>
    <w:p w14:paraId="43E85613">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实施雨污分流、粪便污水资源化利用。</w:t>
      </w:r>
    </w:p>
    <w:p w14:paraId="2AACDE51">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2、污水处理规划</w:t>
      </w:r>
    </w:p>
    <w:p w14:paraId="133F781C">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村屯住宅分散，全部进行集中处理，将面临污水收集管网投资的巨大压力。为此，要积极探索，因地制宜，对分散农户引进技术实行就地处理。目前的处理方法主要有人工生态湿地、沼气、无动力厌氧、改良“三格式”、氧化塘以及地埋式一体化设施等。</w:t>
      </w:r>
    </w:p>
    <w:p w14:paraId="52C8C4C4">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有条件的村屯要尽快建设地下排污管网，利用明沟和暗沟排放污水的村屯，污水要有组织排放，设立固定、不渗漏、不外溢的污水氧化塘。</w:t>
      </w:r>
    </w:p>
    <w:p w14:paraId="195025EF">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在工程技术措施上，要综合采取减少污染源措施（</w:t>
      </w:r>
      <w:r>
        <w:rPr>
          <w:rFonts w:ascii="Times New Roman" w:hAnsi="Times New Roman" w:eastAsia="仿宋_GB2312" w:cs="Times New Roman"/>
          <w:bCs w:val="0"/>
          <w:color w:val="auto"/>
          <w:kern w:val="2"/>
          <w:sz w:val="32"/>
          <w:szCs w:val="32"/>
          <w:highlight w:val="none"/>
          <w:shd w:val="clear" w:color="auto" w:fill="FFFFFF"/>
          <w:lang w:val="en-US" w:eastAsia="zh-CN" w:bidi="ar-SA"/>
        </w:rPr>
        <w:t>如</w:t>
      </w:r>
      <w:r>
        <w:rPr>
          <w:rFonts w:ascii="Times New Roman" w:hAnsi="Times New Roman" w:eastAsia="仿宋_GB2312" w:cs="Times New Roman"/>
          <w:bCs w:val="0"/>
          <w:color w:val="auto"/>
          <w:kern w:val="2"/>
          <w:sz w:val="32"/>
          <w:szCs w:val="32"/>
          <w:highlight w:val="none"/>
          <w:lang w:val="en-US" w:eastAsia="zh-CN" w:bidi="ar-SA"/>
        </w:rPr>
        <w:t>清洁生产、节约用水）、提高农田及水环境自净能力措施以及人工污水处理措施，仅采取人工处理措施是十分有限的，而且在经济上难以承受。要充分利用农村地域的自然净化能力，即充分利用农村周边的</w:t>
      </w:r>
      <w:r>
        <w:rPr>
          <w:rFonts w:hint="eastAsia" w:ascii="Times New Roman" w:hAnsi="Times New Roman" w:eastAsia="仿宋_GB2312" w:cs="Times New Roman"/>
          <w:bCs w:val="0"/>
          <w:color w:val="auto"/>
          <w:kern w:val="2"/>
          <w:sz w:val="32"/>
          <w:szCs w:val="32"/>
          <w:highlight w:val="none"/>
          <w:lang w:val="en-US" w:eastAsia="zh-CN" w:bidi="ar-SA"/>
        </w:rPr>
        <w:t>河</w:t>
      </w:r>
      <w:r>
        <w:rPr>
          <w:rFonts w:ascii="Times New Roman" w:hAnsi="Times New Roman" w:eastAsia="仿宋_GB2312" w:cs="Times New Roman"/>
          <w:bCs w:val="0"/>
          <w:color w:val="auto"/>
          <w:kern w:val="2"/>
          <w:sz w:val="32"/>
          <w:szCs w:val="32"/>
          <w:highlight w:val="none"/>
          <w:lang w:val="en-US" w:eastAsia="zh-CN" w:bidi="ar-SA"/>
        </w:rPr>
        <w:t>流、渠系、池塘、农田和荒地等，开展土地污水处理、污水灌溉，建设人工湿地、氧化塘或氧化沟，构建水循环系统和水生植物与荒地结合的生态净化系统等措施。同时可以采用氧化塘等污水处理措施，与畜禽养殖和水产、渔业等相结合，可以保证常年运行，既降低污水处理成本，又产生经济效益。</w:t>
      </w:r>
    </w:p>
    <w:p w14:paraId="37AFDEEF">
      <w:pPr>
        <w:tabs>
          <w:tab w:val="left" w:pos="0"/>
        </w:tabs>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规划对现状雨水排水明沟、明渠进行清淤，根据需要建设排水明沟或暗渠，雨水边沟的建设与道路整治一起逐步施行，引导雨水排放，避免发生暴雨天气积水现象。规划远期，根据</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发展建设情况，经济能力满足条件后可逐步建设暗管排放雨水，保持路面清洁卫生，提升生活条件标准。</w:t>
      </w:r>
    </w:p>
    <w:bookmarkEnd w:id="150"/>
    <w:p w14:paraId="2D5B9585">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优化通信工程布局</w:t>
      </w:r>
    </w:p>
    <w:p w14:paraId="3EF119F3">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51" w:name="_Hlk175295858"/>
      <w:r>
        <w:rPr>
          <w:rFonts w:ascii="Times New Roman" w:hAnsi="Times New Roman" w:eastAsia="仿宋_GB2312" w:cs="Times New Roman"/>
          <w:bCs w:val="0"/>
          <w:color w:val="auto"/>
          <w:kern w:val="2"/>
          <w:sz w:val="32"/>
          <w:szCs w:val="32"/>
          <w:highlight w:val="none"/>
          <w:lang w:val="en-US" w:eastAsia="zh-CN" w:bidi="ar-SA"/>
        </w:rPr>
        <w:t>加强信息基础设施建设，加快下一代移动通信网络、互联网、高速宽带传输网络等信息基础设施建设，促进</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信网、广播</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视网、互联网三网融合，推进互联网与物联网应用，推动城</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智能化建设，加快5G网络建设，扩大千兆及以上光纤覆盖范围。构建</w:t>
      </w:r>
      <w:r>
        <w:rPr>
          <w:rFonts w:hint="eastAsia" w:ascii="Times New Roman" w:hAnsi="Times New Roman" w:eastAsia="仿宋_GB2312" w:cs="Times New Roman"/>
          <w:bCs w:val="0"/>
          <w:color w:val="auto"/>
          <w:kern w:val="2"/>
          <w:sz w:val="32"/>
          <w:szCs w:val="32"/>
          <w:highlight w:val="none"/>
          <w:lang w:val="en-US" w:eastAsia="zh-CN" w:bidi="ar-SA"/>
        </w:rPr>
        <w:t>现代化</w:t>
      </w:r>
      <w:r>
        <w:rPr>
          <w:rFonts w:ascii="Times New Roman" w:hAnsi="Times New Roman" w:eastAsia="仿宋_GB2312" w:cs="Times New Roman"/>
          <w:bCs w:val="0"/>
          <w:color w:val="auto"/>
          <w:kern w:val="2"/>
          <w:sz w:val="32"/>
          <w:szCs w:val="32"/>
          <w:highlight w:val="none"/>
          <w:lang w:val="en-US" w:eastAsia="zh-CN" w:bidi="ar-SA"/>
        </w:rPr>
        <w:t>邮政</w:t>
      </w:r>
      <w:r>
        <w:rPr>
          <w:rFonts w:hint="eastAsia" w:ascii="Times New Roman" w:hAnsi="Times New Roman" w:eastAsia="仿宋_GB2312" w:cs="Times New Roman"/>
          <w:bCs w:val="0"/>
          <w:color w:val="auto"/>
          <w:kern w:val="2"/>
          <w:sz w:val="32"/>
          <w:szCs w:val="32"/>
          <w:highlight w:val="none"/>
          <w:lang w:val="en-US" w:eastAsia="zh-CN" w:bidi="ar-SA"/>
        </w:rPr>
        <w:t>体系，</w:t>
      </w:r>
      <w:r>
        <w:rPr>
          <w:rFonts w:ascii="Times New Roman" w:hAnsi="Times New Roman" w:eastAsia="仿宋_GB2312" w:cs="Times New Roman"/>
          <w:bCs w:val="0"/>
          <w:color w:val="auto"/>
          <w:kern w:val="2"/>
          <w:sz w:val="32"/>
          <w:szCs w:val="32"/>
          <w:highlight w:val="none"/>
          <w:lang w:val="en-US" w:eastAsia="zh-CN" w:bidi="ar-SA"/>
        </w:rPr>
        <w:t>提升邮政收寄、处理、运输和投递环节服务能力，构建“骨干-枢纽-末端”综合立体、通达高效、智能安全的邮政寄递网络。完善农村</w:t>
      </w:r>
      <w:r>
        <w:rPr>
          <w:rFonts w:ascii="Times New Roman" w:hAnsi="Times New Roman" w:eastAsia="仿宋_GB2312" w:cs="Times New Roman"/>
          <w:bCs w:val="0"/>
          <w:color w:val="auto"/>
          <w:kern w:val="2"/>
          <w:sz w:val="32"/>
          <w:szCs w:val="32"/>
          <w:highlight w:val="none"/>
          <w:shd w:val="clear" w:color="auto" w:fill="FFFFFF"/>
          <w:lang w:val="en-US" w:eastAsia="zh-CN" w:bidi="ar-SA"/>
        </w:rPr>
        <w:t>邮站</w:t>
      </w:r>
      <w:r>
        <w:rPr>
          <w:rFonts w:ascii="Times New Roman" w:hAnsi="Times New Roman" w:eastAsia="仿宋_GB2312" w:cs="Times New Roman"/>
          <w:bCs w:val="0"/>
          <w:color w:val="auto"/>
          <w:kern w:val="2"/>
          <w:sz w:val="32"/>
          <w:szCs w:val="32"/>
          <w:highlight w:val="none"/>
          <w:lang w:val="en-US" w:eastAsia="zh-CN" w:bidi="ar-SA"/>
        </w:rPr>
        <w:t>及邮路建设，推动城</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区域协同发展</w:t>
      </w:r>
      <w:bookmarkEnd w:id="151"/>
      <w:r>
        <w:rPr>
          <w:rFonts w:ascii="Times New Roman" w:hAnsi="Times New Roman" w:eastAsia="仿宋_GB2312" w:cs="Times New Roman"/>
          <w:bCs w:val="0"/>
          <w:color w:val="auto"/>
          <w:kern w:val="2"/>
          <w:sz w:val="32"/>
          <w:szCs w:val="32"/>
          <w:highlight w:val="none"/>
          <w:lang w:val="en-US" w:eastAsia="zh-CN" w:bidi="ar-SA"/>
        </w:rPr>
        <w:t>。</w:t>
      </w:r>
    </w:p>
    <w:p w14:paraId="22AB9F72">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优化供热设施布局</w:t>
      </w:r>
    </w:p>
    <w:p w14:paraId="50433890">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52" w:name="_Hlk175295885"/>
      <w:r>
        <w:rPr>
          <w:rFonts w:hint="eastAsia" w:ascii="Times New Roman" w:hAnsi="Times New Roman" w:eastAsia="仿宋_GB2312" w:cs="Times New Roman"/>
          <w:bCs w:val="0"/>
          <w:color w:val="auto"/>
          <w:kern w:val="2"/>
          <w:sz w:val="32"/>
          <w:szCs w:val="32"/>
          <w:highlight w:val="none"/>
          <w:shd w:val="clear" w:color="auto" w:fill="FFFFFF"/>
          <w:lang w:val="en-US" w:eastAsia="zh-CN" w:bidi="ar-SA"/>
        </w:rPr>
        <w:t>镇</w:t>
      </w:r>
      <w:r>
        <w:rPr>
          <w:rFonts w:ascii="Times New Roman" w:hAnsi="Times New Roman" w:eastAsia="仿宋_GB2312" w:cs="Times New Roman"/>
          <w:bCs w:val="0"/>
          <w:color w:val="auto"/>
          <w:kern w:val="2"/>
          <w:sz w:val="32"/>
          <w:szCs w:val="32"/>
          <w:highlight w:val="none"/>
          <w:shd w:val="clear" w:color="auto" w:fill="FFFFFF"/>
          <w:lang w:val="en-US" w:eastAsia="zh-CN" w:bidi="ar-SA"/>
        </w:rPr>
        <w:t>域</w:t>
      </w:r>
      <w:r>
        <w:rPr>
          <w:rFonts w:ascii="Times New Roman" w:hAnsi="Times New Roman" w:eastAsia="仿宋_GB2312" w:cs="Times New Roman"/>
          <w:bCs w:val="0"/>
          <w:color w:val="auto"/>
          <w:kern w:val="2"/>
          <w:sz w:val="32"/>
          <w:szCs w:val="32"/>
          <w:highlight w:val="none"/>
          <w:lang w:val="en-US" w:eastAsia="zh-CN" w:bidi="ar-SA"/>
        </w:rPr>
        <w:t>采用分散供热模式。</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政府驻地采用分散供热，规划公共管理与公共服务建筑采用</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采暖。</w:t>
      </w:r>
    </w:p>
    <w:p w14:paraId="3508DA51">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村庄供热建议采用以下两种模式：一是独立供热模式。可采用直燃式秸秆</w:t>
      </w:r>
      <w:r>
        <w:rPr>
          <w:rFonts w:ascii="Times New Roman" w:hAnsi="Times New Roman" w:eastAsia="仿宋_GB2312" w:cs="Times New Roman"/>
          <w:bCs w:val="0"/>
          <w:color w:val="auto"/>
          <w:kern w:val="2"/>
          <w:sz w:val="32"/>
          <w:szCs w:val="32"/>
          <w:highlight w:val="none"/>
          <w:shd w:val="clear" w:color="auto" w:fill="FFFFFF"/>
          <w:lang w:val="en-US" w:eastAsia="zh-CN" w:bidi="ar-SA"/>
        </w:rPr>
        <w:t>半</w:t>
      </w:r>
      <w:r>
        <w:rPr>
          <w:rFonts w:hint="eastAsia" w:ascii="Times New Roman" w:hAnsi="Times New Roman" w:eastAsia="仿宋_GB2312" w:cs="Times New Roman"/>
          <w:bCs w:val="0"/>
          <w:color w:val="auto"/>
          <w:kern w:val="2"/>
          <w:sz w:val="32"/>
          <w:szCs w:val="32"/>
          <w:highlight w:val="none"/>
          <w:shd w:val="clear" w:color="auto" w:fill="FFFFFF"/>
          <w:lang w:val="en-US" w:eastAsia="zh-CN" w:bidi="ar-SA"/>
        </w:rPr>
        <w:t>气化多功能</w:t>
      </w:r>
      <w:r>
        <w:rPr>
          <w:rFonts w:ascii="Times New Roman" w:hAnsi="Times New Roman" w:eastAsia="仿宋_GB2312" w:cs="Times New Roman"/>
          <w:bCs w:val="0"/>
          <w:color w:val="auto"/>
          <w:kern w:val="2"/>
          <w:sz w:val="32"/>
          <w:szCs w:val="32"/>
          <w:highlight w:val="none"/>
          <w:lang w:val="en-US" w:eastAsia="zh-CN" w:bidi="ar-SA"/>
        </w:rPr>
        <w:t>水暖炉采暖、墙体保温与地盘管独立供热模式。二是集中供热模式。有条件的地方，可采用建设锅炉房，使用秸秆压块专用供暖锅炉集中供热模式。</w:t>
      </w:r>
    </w:p>
    <w:bookmarkEnd w:id="152"/>
    <w:p w14:paraId="7DCF80F8">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优化环卫设施布局</w:t>
      </w:r>
    </w:p>
    <w:p w14:paraId="29592CE6">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153" w:name="_Hlk175295911"/>
      <w:r>
        <w:rPr>
          <w:rFonts w:ascii="Times New Roman" w:hAnsi="Times New Roman" w:eastAsia="仿宋_GB2312" w:cs="Times New Roman"/>
          <w:bCs w:val="0"/>
          <w:color w:val="auto"/>
          <w:kern w:val="2"/>
          <w:sz w:val="32"/>
          <w:szCs w:val="32"/>
          <w:highlight w:val="none"/>
          <w:lang w:val="en-US" w:eastAsia="zh-CN" w:bidi="ar-SA"/>
        </w:rPr>
        <w:t>逐步推行生活垃圾分类制度，完善以“村屯收集-</w:t>
      </w:r>
      <w:r>
        <w:rPr>
          <w:rFonts w:hint="eastAsia" w:ascii="Times New Roman" w:hAnsi="Times New Roman" w:eastAsia="仿宋_GB2312" w:cs="Times New Roman"/>
          <w:bCs w:val="0"/>
          <w:color w:val="auto"/>
          <w:kern w:val="2"/>
          <w:sz w:val="32"/>
          <w:szCs w:val="32"/>
          <w:highlight w:val="none"/>
          <w:lang w:val="en-US" w:eastAsia="zh-CN" w:bidi="ar-SA"/>
        </w:rPr>
        <w:t>乡镇</w:t>
      </w:r>
      <w:r>
        <w:rPr>
          <w:rFonts w:ascii="Times New Roman" w:hAnsi="Times New Roman" w:eastAsia="仿宋_GB2312" w:cs="Times New Roman"/>
          <w:bCs w:val="0"/>
          <w:color w:val="auto"/>
          <w:kern w:val="2"/>
          <w:sz w:val="32"/>
          <w:szCs w:val="32"/>
          <w:highlight w:val="none"/>
          <w:lang w:val="en-US" w:eastAsia="zh-CN" w:bidi="ar-SA"/>
        </w:rPr>
        <w:t>转运-</w:t>
      </w:r>
      <w:r>
        <w:rPr>
          <w:rFonts w:hint="eastAsia" w:ascii="Times New Roman" w:hAnsi="Times New Roman" w:eastAsia="仿宋_GB2312" w:cs="Times New Roman"/>
          <w:bCs w:val="0"/>
          <w:color w:val="auto"/>
          <w:kern w:val="2"/>
          <w:sz w:val="32"/>
          <w:szCs w:val="32"/>
          <w:highlight w:val="none"/>
          <w:shd w:val="clear" w:color="auto" w:fill="FFFFFF"/>
          <w:lang w:val="en-US" w:eastAsia="zh-CN" w:bidi="ar-SA"/>
        </w:rPr>
        <w:t>县</w:t>
      </w:r>
      <w:r>
        <w:rPr>
          <w:rFonts w:ascii="Times New Roman" w:hAnsi="Times New Roman" w:eastAsia="仿宋_GB2312" w:cs="Times New Roman"/>
          <w:bCs w:val="0"/>
          <w:color w:val="auto"/>
          <w:kern w:val="2"/>
          <w:sz w:val="32"/>
          <w:szCs w:val="32"/>
          <w:highlight w:val="none"/>
          <w:lang w:val="en-US" w:eastAsia="zh-CN" w:bidi="ar-SA"/>
        </w:rPr>
        <w:t>集中处理”的生活垃圾收运及处理体系。各村屯建成垃圾分类收集转运一体化</w:t>
      </w:r>
      <w:r>
        <w:rPr>
          <w:rFonts w:ascii="Times New Roman" w:hAnsi="Times New Roman" w:eastAsia="仿宋_GB2312" w:cs="Times New Roman"/>
          <w:bCs w:val="0"/>
          <w:color w:val="auto"/>
          <w:kern w:val="2"/>
          <w:sz w:val="32"/>
          <w:szCs w:val="32"/>
          <w:highlight w:val="none"/>
          <w:shd w:val="clear" w:color="auto" w:fill="FFFFFF"/>
          <w:lang w:val="en-US" w:eastAsia="zh-CN" w:bidi="ar-SA"/>
        </w:rPr>
        <w:t>站</w:t>
      </w:r>
      <w:r>
        <w:rPr>
          <w:rFonts w:ascii="Times New Roman" w:hAnsi="Times New Roman" w:eastAsia="仿宋_GB2312" w:cs="Times New Roman"/>
          <w:bCs w:val="0"/>
          <w:color w:val="auto"/>
          <w:kern w:val="2"/>
          <w:sz w:val="32"/>
          <w:szCs w:val="32"/>
          <w:highlight w:val="none"/>
          <w:lang w:val="en-US" w:eastAsia="zh-CN" w:bidi="ar-SA"/>
        </w:rPr>
        <w:t>，由</w:t>
      </w:r>
      <w:r>
        <w:rPr>
          <w:rFonts w:hint="eastAsia" w:ascii="Times New Roman" w:hAnsi="Times New Roman" w:eastAsia="仿宋_GB2312" w:cs="Times New Roman"/>
          <w:bCs w:val="0"/>
          <w:color w:val="auto"/>
          <w:kern w:val="2"/>
          <w:sz w:val="32"/>
          <w:szCs w:val="32"/>
          <w:highlight w:val="none"/>
          <w:lang w:val="en-US" w:eastAsia="zh-CN" w:bidi="ar-SA"/>
        </w:rPr>
        <w:t>乡镇</w:t>
      </w:r>
      <w:r>
        <w:rPr>
          <w:rFonts w:ascii="Times New Roman" w:hAnsi="Times New Roman" w:eastAsia="仿宋_GB2312" w:cs="Times New Roman"/>
          <w:bCs w:val="0"/>
          <w:color w:val="auto"/>
          <w:kern w:val="2"/>
          <w:sz w:val="32"/>
          <w:szCs w:val="32"/>
          <w:highlight w:val="none"/>
          <w:lang w:val="en-US" w:eastAsia="zh-CN" w:bidi="ar-SA"/>
        </w:rPr>
        <w:t>转运至桦川</w:t>
      </w:r>
      <w:r>
        <w:rPr>
          <w:rFonts w:hint="eastAsia" w:ascii="Times New Roman" w:hAnsi="Times New Roman" w:eastAsia="仿宋_GB2312" w:cs="Times New Roman"/>
          <w:bCs w:val="0"/>
          <w:color w:val="auto"/>
          <w:kern w:val="2"/>
          <w:sz w:val="32"/>
          <w:szCs w:val="32"/>
          <w:highlight w:val="none"/>
          <w:lang w:val="en-US" w:eastAsia="zh-CN" w:bidi="ar-SA"/>
        </w:rPr>
        <w:t>县</w:t>
      </w:r>
      <w:r>
        <w:rPr>
          <w:rFonts w:ascii="Times New Roman" w:hAnsi="Times New Roman" w:eastAsia="仿宋_GB2312" w:cs="Times New Roman"/>
          <w:bCs w:val="0"/>
          <w:color w:val="auto"/>
          <w:kern w:val="2"/>
          <w:sz w:val="32"/>
          <w:szCs w:val="32"/>
          <w:highlight w:val="none"/>
          <w:lang w:val="en-US" w:eastAsia="zh-CN" w:bidi="ar-SA"/>
        </w:rPr>
        <w:t>垃圾转运站，由桦川</w:t>
      </w:r>
      <w:r>
        <w:rPr>
          <w:rFonts w:hint="eastAsia" w:ascii="Times New Roman" w:hAnsi="Times New Roman" w:eastAsia="仿宋_GB2312" w:cs="Times New Roman"/>
          <w:bCs w:val="0"/>
          <w:color w:val="auto"/>
          <w:kern w:val="2"/>
          <w:sz w:val="32"/>
          <w:szCs w:val="32"/>
          <w:highlight w:val="none"/>
          <w:lang w:val="en-US" w:eastAsia="zh-CN" w:bidi="ar-SA"/>
        </w:rPr>
        <w:t>县</w:t>
      </w:r>
      <w:r>
        <w:rPr>
          <w:rFonts w:ascii="Times New Roman" w:hAnsi="Times New Roman" w:eastAsia="仿宋_GB2312" w:cs="Times New Roman"/>
          <w:bCs w:val="0"/>
          <w:color w:val="auto"/>
          <w:kern w:val="2"/>
          <w:sz w:val="32"/>
          <w:szCs w:val="32"/>
          <w:highlight w:val="none"/>
          <w:lang w:val="en-US" w:eastAsia="zh-CN" w:bidi="ar-SA"/>
        </w:rPr>
        <w:t>统一转运至佳木斯</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生活垃圾焚烧发</w:t>
      </w:r>
      <w:r>
        <w:rPr>
          <w:rFonts w:hint="eastAsia" w:ascii="Times New Roman" w:hAnsi="Times New Roman" w:eastAsia="仿宋_GB2312" w:cs="Times New Roman"/>
          <w:bCs w:val="0"/>
          <w:color w:val="auto"/>
          <w:kern w:val="2"/>
          <w:sz w:val="32"/>
          <w:szCs w:val="32"/>
          <w:highlight w:val="none"/>
          <w:lang w:val="en-US" w:eastAsia="zh-CN" w:bidi="ar-SA"/>
        </w:rPr>
        <w:t>电</w:t>
      </w:r>
      <w:r>
        <w:rPr>
          <w:rFonts w:ascii="Times New Roman" w:hAnsi="Times New Roman" w:eastAsia="仿宋_GB2312" w:cs="Times New Roman"/>
          <w:bCs w:val="0"/>
          <w:color w:val="auto"/>
          <w:kern w:val="2"/>
          <w:sz w:val="32"/>
          <w:szCs w:val="32"/>
          <w:highlight w:val="none"/>
          <w:lang w:val="en-US" w:eastAsia="zh-CN" w:bidi="ar-SA"/>
        </w:rPr>
        <w:t>厂统一焚烧</w:t>
      </w:r>
      <w:bookmarkEnd w:id="153"/>
      <w:r>
        <w:rPr>
          <w:rFonts w:ascii="Times New Roman" w:hAnsi="Times New Roman" w:eastAsia="仿宋_GB2312" w:cs="Times New Roman"/>
          <w:bCs w:val="0"/>
          <w:color w:val="auto"/>
          <w:kern w:val="2"/>
          <w:sz w:val="32"/>
          <w:szCs w:val="32"/>
          <w:highlight w:val="none"/>
          <w:lang w:val="en-US" w:eastAsia="zh-CN" w:bidi="ar-SA"/>
        </w:rPr>
        <w:t>。</w:t>
      </w:r>
    </w:p>
    <w:p w14:paraId="24360FA0">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 xml:space="preserve">优化邻避设施 </w:t>
      </w:r>
    </w:p>
    <w:p w14:paraId="775B0D19">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color w:val="auto"/>
          <w:kern w:val="2"/>
          <w:sz w:val="32"/>
          <w:szCs w:val="32"/>
          <w:highlight w:val="none"/>
          <w:u w:val="single"/>
          <w:lang w:val="en-US" w:eastAsia="zh-CN" w:bidi="ar-SA"/>
        </w:rPr>
        <w:t>协调安排污水处理、垃圾焚烧、殡葬等邻避设施布局，消减邻避设施的负外部特性，健全邻避问题防范与化解机制。</w:t>
      </w:r>
      <w:r>
        <w:rPr>
          <w:rFonts w:ascii="Times New Roman" w:hAnsi="Times New Roman" w:eastAsia="仿宋_GB2312" w:cs="Times New Roman"/>
          <w:bCs/>
          <w:color w:val="auto"/>
          <w:kern w:val="2"/>
          <w:sz w:val="32"/>
          <w:szCs w:val="32"/>
          <w:highlight w:val="none"/>
          <w:lang w:val="en-US" w:eastAsia="zh-CN" w:bidi="ar-SA"/>
        </w:rPr>
        <w:t>加强邻避设施集中化、地下化建设，以及外立面美化，减少对周边的影响。加强对邻避设施周边的小区进行有针对性的功能补偿，如增加公园、广场、商业设施等。污水处理设施应坚持一</w:t>
      </w:r>
      <w:r>
        <w:rPr>
          <w:rFonts w:hint="eastAsia" w:ascii="Times New Roman" w:hAnsi="Times New Roman" w:eastAsia="仿宋_GB2312" w:cs="Times New Roman"/>
          <w:bCs/>
          <w:color w:val="auto"/>
          <w:kern w:val="2"/>
          <w:sz w:val="32"/>
          <w:szCs w:val="32"/>
          <w:highlight w:val="none"/>
          <w:lang w:val="en-US" w:eastAsia="zh-CN" w:bidi="ar-SA"/>
        </w:rPr>
        <w:t>镇</w:t>
      </w:r>
      <w:r>
        <w:rPr>
          <w:rFonts w:ascii="Times New Roman" w:hAnsi="Times New Roman" w:eastAsia="仿宋_GB2312" w:cs="Times New Roman"/>
          <w:bCs/>
          <w:color w:val="auto"/>
          <w:kern w:val="2"/>
          <w:sz w:val="32"/>
          <w:szCs w:val="32"/>
          <w:highlight w:val="none"/>
          <w:lang w:val="en-US" w:eastAsia="zh-CN" w:bidi="ar-SA"/>
        </w:rPr>
        <w:t>一策和集中式与分散式相结合的方式。垃圾焚烧发</w:t>
      </w:r>
      <w:r>
        <w:rPr>
          <w:rFonts w:hint="eastAsia" w:ascii="Times New Roman" w:hAnsi="Times New Roman" w:eastAsia="仿宋_GB2312" w:cs="Times New Roman"/>
          <w:bCs/>
          <w:color w:val="auto"/>
          <w:kern w:val="2"/>
          <w:sz w:val="32"/>
          <w:szCs w:val="32"/>
          <w:highlight w:val="none"/>
          <w:lang w:val="en-US" w:eastAsia="zh-CN" w:bidi="ar-SA"/>
        </w:rPr>
        <w:t>电</w:t>
      </w:r>
      <w:r>
        <w:rPr>
          <w:rFonts w:ascii="Times New Roman" w:hAnsi="Times New Roman" w:eastAsia="仿宋_GB2312" w:cs="Times New Roman"/>
          <w:bCs/>
          <w:color w:val="auto"/>
          <w:kern w:val="2"/>
          <w:sz w:val="32"/>
          <w:szCs w:val="32"/>
          <w:highlight w:val="none"/>
          <w:lang w:val="en-US" w:eastAsia="zh-CN" w:bidi="ar-SA"/>
        </w:rPr>
        <w:t>厂的选址应避免选择在生态资源、地面水系、机场、文化遗址、风景区等敏感区域。对油气仓储企业及油气长输管线等周边区域实施严格安全防护管理，禁止在安全防护距离内布局商业、居住、公共服务等设施，严禁在干流及一级支流沿岸1公里范围内布局化工园区。殡葬基础设施建设应合理利用历史形成的墓葬点和荒山荒地</w:t>
      </w:r>
      <w:r>
        <w:rPr>
          <w:rFonts w:ascii="Times New Roman" w:hAnsi="Times New Roman" w:eastAsia="仿宋_GB2312" w:cs="Times New Roman"/>
          <w:bCs/>
          <w:color w:val="auto"/>
          <w:kern w:val="2"/>
          <w:sz w:val="32"/>
          <w:szCs w:val="32"/>
          <w:highlight w:val="none"/>
          <w:shd w:val="clear" w:color="auto" w:fill="FFFFFF"/>
          <w:lang w:val="en-US" w:eastAsia="zh-CN" w:bidi="ar-SA"/>
        </w:rPr>
        <w:t>及</w:t>
      </w:r>
      <w:r>
        <w:rPr>
          <w:rFonts w:ascii="Times New Roman" w:hAnsi="Times New Roman" w:eastAsia="仿宋_GB2312" w:cs="Times New Roman"/>
          <w:bCs/>
          <w:color w:val="auto"/>
          <w:kern w:val="2"/>
          <w:sz w:val="32"/>
          <w:szCs w:val="32"/>
          <w:highlight w:val="none"/>
          <w:lang w:val="en-US" w:eastAsia="zh-CN" w:bidi="ar-SA"/>
        </w:rPr>
        <w:t>不宜耕种的</w:t>
      </w:r>
      <w:r>
        <w:rPr>
          <w:rFonts w:ascii="Times New Roman" w:hAnsi="Times New Roman" w:eastAsia="仿宋_GB2312" w:cs="Times New Roman"/>
          <w:bCs/>
          <w:color w:val="auto"/>
          <w:kern w:val="2"/>
          <w:sz w:val="32"/>
          <w:szCs w:val="32"/>
          <w:highlight w:val="none"/>
          <w:shd w:val="clear" w:color="auto" w:fill="FFFFFF"/>
          <w:lang w:val="en-US" w:eastAsia="zh-CN" w:bidi="ar-SA"/>
        </w:rPr>
        <w:t>瘠</w:t>
      </w:r>
      <w:r>
        <w:rPr>
          <w:rFonts w:ascii="Times New Roman" w:hAnsi="Times New Roman" w:eastAsia="仿宋_GB2312" w:cs="Times New Roman"/>
          <w:bCs/>
          <w:color w:val="auto"/>
          <w:kern w:val="2"/>
          <w:sz w:val="32"/>
          <w:szCs w:val="32"/>
          <w:highlight w:val="none"/>
          <w:lang w:val="en-US" w:eastAsia="zh-CN" w:bidi="ar-SA"/>
        </w:rPr>
        <w:t>地，充分考虑殡葬设施服务半径和人数，避免重复建设。</w:t>
      </w:r>
    </w:p>
    <w:p w14:paraId="35AF0E3D">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54" w:name="_Toc3523"/>
      <w:bookmarkStart w:id="155" w:name="_Toc12241"/>
      <w:bookmarkStart w:id="156" w:name="_Toc13679"/>
      <w:bookmarkStart w:id="157" w:name="_Toc298841274"/>
      <w:bookmarkStart w:id="158" w:name="_Toc360266031"/>
      <w:r>
        <w:rPr>
          <w:rFonts w:ascii="Times New Roman" w:hAnsi="Times New Roman" w:eastAsia="黑体" w:cs="Times New Roman"/>
          <w:color w:val="auto"/>
          <w:kern w:val="2"/>
          <w:sz w:val="32"/>
          <w:szCs w:val="24"/>
          <w:highlight w:val="none"/>
          <w:lang w:val="en-US" w:eastAsia="zh-CN" w:bidi="ar-SA"/>
        </w:rPr>
        <w:t>第五节 完善</w:t>
      </w:r>
      <w:r>
        <w:rPr>
          <w:rFonts w:hint="eastAsia" w:ascii="Times New Roman" w:hAnsi="Times New Roman" w:eastAsia="黑体" w:cs="Times New Roman"/>
          <w:color w:val="auto"/>
          <w:kern w:val="2"/>
          <w:sz w:val="32"/>
          <w:szCs w:val="24"/>
          <w:highlight w:val="none"/>
          <w:lang w:val="en-US" w:eastAsia="zh-CN" w:bidi="ar-SA"/>
        </w:rPr>
        <w:t>镇</w:t>
      </w:r>
      <w:r>
        <w:rPr>
          <w:rFonts w:ascii="Times New Roman" w:hAnsi="Times New Roman" w:eastAsia="黑体" w:cs="Times New Roman"/>
          <w:color w:val="auto"/>
          <w:kern w:val="2"/>
          <w:sz w:val="32"/>
          <w:szCs w:val="24"/>
          <w:highlight w:val="none"/>
          <w:lang w:val="en-US" w:eastAsia="zh-CN" w:bidi="ar-SA"/>
        </w:rPr>
        <w:t>政府驻地</w:t>
      </w:r>
      <w:r>
        <w:rPr>
          <w:rFonts w:hint="eastAsia" w:ascii="Times New Roman" w:hAnsi="Times New Roman" w:eastAsia="黑体" w:cs="Times New Roman"/>
          <w:color w:val="auto"/>
          <w:kern w:val="2"/>
          <w:sz w:val="32"/>
          <w:szCs w:val="24"/>
          <w:highlight w:val="none"/>
          <w:lang w:val="en-US" w:eastAsia="zh-CN" w:bidi="ar-SA"/>
        </w:rPr>
        <w:t>市</w:t>
      </w:r>
      <w:r>
        <w:rPr>
          <w:rFonts w:ascii="Times New Roman" w:hAnsi="Times New Roman" w:eastAsia="黑体" w:cs="Times New Roman"/>
          <w:color w:val="auto"/>
          <w:kern w:val="2"/>
          <w:sz w:val="32"/>
          <w:szCs w:val="24"/>
          <w:highlight w:val="none"/>
          <w:lang w:val="en-US" w:eastAsia="zh-CN" w:bidi="ar-SA"/>
        </w:rPr>
        <w:t>政基础设施</w:t>
      </w:r>
      <w:bookmarkEnd w:id="154"/>
      <w:bookmarkEnd w:id="155"/>
    </w:p>
    <w:p w14:paraId="0E435A05">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159" w:name="_Toc124632559"/>
      <w:bookmarkStart w:id="160" w:name="_Toc128561432"/>
      <w:r>
        <w:rPr>
          <w:rFonts w:ascii="Calibri" w:hAnsi="Calibri" w:eastAsia="楷体_GB2312" w:cs="Times New Roman"/>
          <w:b/>
          <w:color w:val="auto"/>
          <w:kern w:val="2"/>
          <w:sz w:val="32"/>
          <w:szCs w:val="24"/>
          <w:highlight w:val="none"/>
          <w:lang w:val="en-US" w:eastAsia="zh-CN" w:bidi="ar-SA"/>
        </w:rPr>
        <w:t>给水工程</w:t>
      </w:r>
      <w:bookmarkEnd w:id="159"/>
      <w:bookmarkEnd w:id="160"/>
    </w:p>
    <w:p w14:paraId="6C2AB371">
      <w:pPr>
        <w:numPr>
          <w:ilvl w:val="0"/>
          <w:numId w:val="8"/>
        </w:numPr>
        <w:ind w:firstLine="640" w:firstLineChars="200"/>
        <w:rPr>
          <w:rFonts w:ascii="Times New Roman" w:hAnsi="Times New Roman" w:cs="Times New Roman"/>
          <w:color w:val="auto"/>
          <w:szCs w:val="32"/>
          <w:highlight w:val="none"/>
        </w:rPr>
      </w:pPr>
      <w:bookmarkStart w:id="161" w:name="_Hlk175293133"/>
      <w:bookmarkStart w:id="162" w:name="_Toc124632560"/>
      <w:bookmarkStart w:id="163" w:name="_Toc128561433"/>
      <w:r>
        <w:rPr>
          <w:rFonts w:ascii="Times New Roman" w:hAnsi="Times New Roman" w:cs="Times New Roman"/>
          <w:color w:val="auto"/>
          <w:szCs w:val="32"/>
          <w:highlight w:val="none"/>
        </w:rPr>
        <w:t>供水现状</w:t>
      </w:r>
    </w:p>
    <w:p w14:paraId="4B9A02E3">
      <w:pPr>
        <w:ind w:firstLine="640" w:firstLineChars="200"/>
        <w:rPr>
          <w:rFonts w:ascii="Times New Roman" w:hAnsi="Times New Roman" w:cs="Times New Roman"/>
          <w:color w:val="auto"/>
          <w:highlight w:val="none"/>
        </w:rPr>
      </w:pPr>
      <w:r>
        <w:rPr>
          <w:rFonts w:ascii="Times New Roman" w:hAnsi="Times New Roman" w:cs="Times New Roman"/>
          <w:color w:val="auto"/>
          <w:highlight w:val="none"/>
        </w:rPr>
        <w:t>苏家店</w:t>
      </w:r>
      <w:r>
        <w:rPr>
          <w:rFonts w:hint="eastAsia" w:ascii="Times New Roman" w:hAnsi="Times New Roman" w:cs="Times New Roman"/>
          <w:color w:val="auto"/>
          <w:highlight w:val="none"/>
          <w:lang w:eastAsia="zh-CN"/>
        </w:rPr>
        <w:t>镇镇</w:t>
      </w:r>
      <w:r>
        <w:rPr>
          <w:rFonts w:ascii="Times New Roman" w:hAnsi="Times New Roman" w:cs="Times New Roman"/>
          <w:color w:val="auto"/>
          <w:highlight w:val="none"/>
        </w:rPr>
        <w:t>政府驻地现有深井泵房1座，以地下水为水源，井深120 米，水量基本满足</w:t>
      </w:r>
      <w:r>
        <w:rPr>
          <w:rFonts w:hint="eastAsia" w:ascii="Times New Roman" w:hAnsi="Times New Roman" w:cs="Times New Roman"/>
          <w:color w:val="auto"/>
          <w:highlight w:val="none"/>
          <w:lang w:eastAsia="zh-CN"/>
        </w:rPr>
        <w:t>镇</w:t>
      </w:r>
      <w:r>
        <w:rPr>
          <w:rFonts w:ascii="Times New Roman" w:hAnsi="Times New Roman" w:cs="Times New Roman"/>
          <w:color w:val="auto"/>
          <w:highlight w:val="none"/>
        </w:rPr>
        <w:t>政府驻地供水需求。</w:t>
      </w:r>
    </w:p>
    <w:p w14:paraId="4E2CC07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2、供水规划 </w:t>
      </w:r>
    </w:p>
    <w:p w14:paraId="741B0DDE">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（1）水量预测 </w:t>
      </w:r>
    </w:p>
    <w:p w14:paraId="1F53CA71">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确定苏家店</w:t>
      </w:r>
      <w:r>
        <w:rPr>
          <w:rFonts w:hint="eastAsia" w:ascii="Times New Roman" w:hAnsi="Times New Roman" w:cs="Times New Roman"/>
          <w:color w:val="auto"/>
          <w:szCs w:val="32"/>
          <w:highlight w:val="none"/>
          <w:lang w:eastAsia="zh-CN"/>
        </w:rPr>
        <w:t>镇镇</w:t>
      </w:r>
      <w:r>
        <w:rPr>
          <w:rFonts w:ascii="Times New Roman" w:hAnsi="Times New Roman" w:cs="Times New Roman"/>
          <w:color w:val="auto"/>
          <w:szCs w:val="32"/>
          <w:highlight w:val="none"/>
        </w:rPr>
        <w:t>政府驻地</w:t>
      </w:r>
      <w:r>
        <w:rPr>
          <w:rFonts w:hint="eastAsia" w:ascii="Times New Roman" w:hAnsi="Times New Roman" w:cs="Times New Roman"/>
          <w:color w:val="auto"/>
          <w:szCs w:val="32"/>
          <w:highlight w:val="none"/>
        </w:rPr>
        <w:t>规划</w:t>
      </w:r>
      <w:r>
        <w:rPr>
          <w:rFonts w:ascii="Times New Roman" w:hAnsi="Times New Roman" w:cs="Times New Roman"/>
          <w:color w:val="auto"/>
          <w:szCs w:val="32"/>
          <w:highlight w:val="none"/>
        </w:rPr>
        <w:t>期（2035年）人均综合用水量指标为200升/人·日，则</w:t>
      </w:r>
      <w:r>
        <w:rPr>
          <w:rFonts w:hint="eastAsia" w:ascii="Times New Roman" w:hAnsi="Times New Roman" w:cs="Times New Roman"/>
          <w:color w:val="auto"/>
          <w:szCs w:val="32"/>
          <w:highlight w:val="none"/>
        </w:rPr>
        <w:t>规划</w:t>
      </w:r>
      <w:r>
        <w:rPr>
          <w:rFonts w:ascii="Times New Roman" w:hAnsi="Times New Roman" w:cs="Times New Roman"/>
          <w:color w:val="auto"/>
          <w:szCs w:val="32"/>
          <w:highlight w:val="none"/>
        </w:rPr>
        <w:t xml:space="preserve">期最高日用水量为500 立方米/日。 </w:t>
      </w:r>
    </w:p>
    <w:p w14:paraId="6A66D9BF">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（2）水源水厂规划 </w:t>
      </w:r>
    </w:p>
    <w:p w14:paraId="2ACC0FE7">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u w:val="single"/>
        </w:rPr>
        <w:t>规划保留苏家店</w:t>
      </w:r>
      <w:r>
        <w:rPr>
          <w:rFonts w:hint="eastAsia" w:ascii="Times New Roman" w:hAnsi="Times New Roman" w:cs="Times New Roman"/>
          <w:color w:val="auto"/>
          <w:szCs w:val="32"/>
          <w:highlight w:val="none"/>
          <w:u w:val="single"/>
          <w:lang w:eastAsia="zh-CN"/>
        </w:rPr>
        <w:t>镇</w:t>
      </w:r>
      <w:r>
        <w:rPr>
          <w:rFonts w:ascii="Times New Roman" w:hAnsi="Times New Roman" w:cs="Times New Roman"/>
          <w:color w:val="auto"/>
          <w:szCs w:val="32"/>
          <w:highlight w:val="none"/>
          <w:u w:val="single"/>
        </w:rPr>
        <w:t>现状水源，现状水源井位于</w:t>
      </w:r>
      <w:r>
        <w:rPr>
          <w:rFonts w:hint="eastAsia" w:ascii="Times New Roman" w:hAnsi="Times New Roman" w:cs="Times New Roman"/>
          <w:color w:val="auto"/>
          <w:szCs w:val="32"/>
          <w:highlight w:val="none"/>
          <w:u w:val="single"/>
          <w:lang w:eastAsia="zh-CN"/>
        </w:rPr>
        <w:t>镇</w:t>
      </w:r>
      <w:r>
        <w:rPr>
          <w:rFonts w:ascii="Times New Roman" w:hAnsi="Times New Roman" w:cs="Times New Roman"/>
          <w:color w:val="auto"/>
          <w:szCs w:val="32"/>
          <w:highlight w:val="none"/>
          <w:u w:val="single"/>
        </w:rPr>
        <w:t>区东北部，</w:t>
      </w:r>
      <w:r>
        <w:rPr>
          <w:rFonts w:ascii="Times New Roman" w:hAnsi="Times New Roman" w:cs="Times New Roman"/>
          <w:color w:val="auto"/>
          <w:szCs w:val="32"/>
          <w:highlight w:val="none"/>
        </w:rPr>
        <w:t>供水规模可以满足供水需求。规划期内根据水质监测，完善处理工艺，维护泵房设施，保证供水水质、水压要求。</w:t>
      </w:r>
    </w:p>
    <w:p w14:paraId="2467C1BE">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（3）给水管网规划 </w:t>
      </w:r>
    </w:p>
    <w:p w14:paraId="2DAD2432">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为保证给水管网的安全性，</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 xml:space="preserve">政府驻地生活供水管网采用环状布置方式； </w:t>
      </w:r>
    </w:p>
    <w:p w14:paraId="08F83B05">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对于现有的给水管道，要进行充分利用，改造老旧管线。承担消防用水任务的管线，管径不低于DN150；给水管道沿道路敷设，覆土厚度原则上控制在2.2～3.0米之间。 </w:t>
      </w:r>
    </w:p>
    <w:bookmarkEnd w:id="161"/>
    <w:p w14:paraId="5C93FCD1">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排水工程</w:t>
      </w:r>
      <w:bookmarkEnd w:id="162"/>
      <w:bookmarkEnd w:id="163"/>
    </w:p>
    <w:p w14:paraId="4559AC56">
      <w:pPr>
        <w:ind w:firstLine="640" w:firstLineChars="200"/>
        <w:rPr>
          <w:rFonts w:ascii="Times New Roman" w:hAnsi="Times New Roman" w:cs="Times New Roman"/>
          <w:color w:val="auto"/>
          <w:szCs w:val="32"/>
          <w:highlight w:val="none"/>
        </w:rPr>
      </w:pPr>
      <w:bookmarkStart w:id="164" w:name="_Hlk175293361"/>
      <w:bookmarkStart w:id="165" w:name="_Toc124632565"/>
      <w:bookmarkStart w:id="166" w:name="_Toc128561438"/>
      <w:r>
        <w:rPr>
          <w:rFonts w:ascii="Times New Roman" w:hAnsi="Times New Roman" w:cs="Times New Roman"/>
          <w:color w:val="auto"/>
          <w:szCs w:val="32"/>
          <w:highlight w:val="none"/>
        </w:rPr>
        <w:t xml:space="preserve">1、排水工程现状 </w:t>
      </w:r>
    </w:p>
    <w:p w14:paraId="0D016534">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政府驻地现有排水管线在</w:t>
      </w:r>
      <w:r>
        <w:rPr>
          <w:rFonts w:hint="eastAsia" w:ascii="Times New Roman" w:hAnsi="Times New Roman" w:cs="Times New Roman"/>
          <w:color w:val="auto"/>
          <w:szCs w:val="32"/>
          <w:highlight w:val="none"/>
          <w:lang w:eastAsia="zh-CN"/>
        </w:rPr>
        <w:t>国道</w:t>
      </w:r>
      <w:r>
        <w:rPr>
          <w:rFonts w:ascii="Times New Roman" w:hAnsi="Times New Roman" w:cs="Times New Roman"/>
          <w:color w:val="auto"/>
          <w:szCs w:val="32"/>
          <w:highlight w:val="none"/>
        </w:rPr>
        <w:t>西侧自北向南敷设。</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政府驻地没有污水处理设施，建有一定数量化粪池，定期清运。</w:t>
      </w:r>
    </w:p>
    <w:p w14:paraId="5B48A203">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2、污水工程规划 </w:t>
      </w:r>
    </w:p>
    <w:p w14:paraId="60CC921B">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（1）排水体制</w:t>
      </w:r>
    </w:p>
    <w:p w14:paraId="0E910337">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政府驻地排水体制采用雨污分流制。污水由污水管道收集后，进入污水处理站处理；雨水经雨水管渠收集后就近排入水体。</w:t>
      </w:r>
    </w:p>
    <w:p w14:paraId="4CEDD3A2">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（2）污水量预测</w:t>
      </w:r>
    </w:p>
    <w:p w14:paraId="2F007189">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规划污水量按照平均日用水量的85%计，用水日变化系数1.2，计算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 xml:space="preserve">政府驻地2035年污水总量为350 立方米/日。 </w:t>
      </w:r>
    </w:p>
    <w:p w14:paraId="48497C0C">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（3）污水处理规划</w:t>
      </w:r>
    </w:p>
    <w:p w14:paraId="72370CF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规划新建污水处理站</w:t>
      </w:r>
      <w:r>
        <w:rPr>
          <w:rFonts w:hint="eastAsia" w:ascii="Times New Roman" w:hAnsi="Times New Roman" w:cs="Times New Roman"/>
          <w:color w:val="auto"/>
          <w:szCs w:val="32"/>
          <w:highlight w:val="none"/>
        </w:rPr>
        <w:t>1座</w:t>
      </w:r>
      <w:r>
        <w:rPr>
          <w:rFonts w:ascii="Times New Roman" w:hAnsi="Times New Roman" w:cs="Times New Roman"/>
          <w:color w:val="auto"/>
          <w:szCs w:val="32"/>
          <w:highlight w:val="none"/>
        </w:rPr>
        <w:t>，处理能力达到400立方米/日</w:t>
      </w:r>
      <w:r>
        <w:rPr>
          <w:rFonts w:hint="eastAsia" w:ascii="Times New Roman" w:hAnsi="Times New Roman" w:cs="Times New Roman"/>
          <w:color w:val="auto"/>
          <w:szCs w:val="32"/>
          <w:highlight w:val="none"/>
        </w:rPr>
        <w:t>，</w:t>
      </w:r>
      <w:r>
        <w:rPr>
          <w:rFonts w:ascii="Times New Roman" w:hAnsi="Times New Roman" w:cs="Times New Roman"/>
          <w:color w:val="auto"/>
          <w:szCs w:val="32"/>
          <w:highlight w:val="none"/>
        </w:rPr>
        <w:t>处理水质达到一级A。新建污水处理站选址在</w:t>
      </w:r>
      <w:r>
        <w:rPr>
          <w:rFonts w:hint="eastAsia" w:ascii="Times New Roman" w:hAnsi="Times New Roman" w:cs="Times New Roman"/>
          <w:color w:val="auto"/>
          <w:szCs w:val="32"/>
          <w:highlight w:val="none"/>
          <w:lang w:eastAsia="zh-CN"/>
        </w:rPr>
        <w:t>镇</w:t>
      </w:r>
      <w:r>
        <w:rPr>
          <w:rFonts w:hint="eastAsia" w:ascii="Times New Roman" w:hAnsi="Times New Roman" w:cs="Times New Roman"/>
          <w:color w:val="auto"/>
          <w:szCs w:val="32"/>
          <w:highlight w:val="none"/>
        </w:rPr>
        <w:t>政府驻地</w:t>
      </w:r>
      <w:r>
        <w:rPr>
          <w:rFonts w:ascii="Times New Roman" w:hAnsi="Times New Roman" w:cs="Times New Roman"/>
          <w:color w:val="auto"/>
          <w:szCs w:val="32"/>
          <w:highlight w:val="none"/>
        </w:rPr>
        <w:t>南部。</w:t>
      </w:r>
    </w:p>
    <w:p w14:paraId="14F0E7FC">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（4）污水系统</w:t>
      </w:r>
    </w:p>
    <w:p w14:paraId="3BE73B6E">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镇</w:t>
      </w:r>
      <w:r>
        <w:rPr>
          <w:rFonts w:ascii="Times New Roman" w:hAnsi="Times New Roman" w:eastAsia="仿宋_GB2312" w:cs="Times New Roman"/>
          <w:color w:val="auto"/>
          <w:kern w:val="2"/>
          <w:sz w:val="32"/>
          <w:szCs w:val="32"/>
          <w:highlight w:val="none"/>
          <w:lang w:val="en-US" w:eastAsia="zh-CN" w:bidi="ar-SA"/>
        </w:rPr>
        <w:t>政府驻地现状排水管线，作为污水主干管使用，沿道路修建D300污水管道，生活污水在经过隔油池、化粪池后排入污水管道，排至污水主干管，接入污水处理站，水质达标后排入周边</w:t>
      </w:r>
      <w:r>
        <w:rPr>
          <w:rFonts w:hint="eastAsia" w:ascii="Times New Roman" w:hAnsi="Times New Roman" w:eastAsia="仿宋_GB2312" w:cs="Times New Roman"/>
          <w:color w:val="auto"/>
          <w:kern w:val="2"/>
          <w:sz w:val="32"/>
          <w:szCs w:val="32"/>
          <w:highlight w:val="none"/>
          <w:lang w:val="en-US" w:eastAsia="zh-CN" w:bidi="ar-SA"/>
        </w:rPr>
        <w:t>河</w:t>
      </w:r>
      <w:r>
        <w:rPr>
          <w:rFonts w:ascii="Times New Roman" w:hAnsi="Times New Roman" w:eastAsia="仿宋_GB2312" w:cs="Times New Roman"/>
          <w:color w:val="auto"/>
          <w:kern w:val="2"/>
          <w:sz w:val="32"/>
          <w:szCs w:val="32"/>
          <w:highlight w:val="none"/>
          <w:lang w:val="en-US" w:eastAsia="zh-CN" w:bidi="ar-SA"/>
        </w:rPr>
        <w:t>渠。</w:t>
      </w:r>
    </w:p>
    <w:p w14:paraId="67BD5CEA">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3、雨水规划 </w:t>
      </w:r>
    </w:p>
    <w:p w14:paraId="34B7C3E2">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规划对现状雨水排水明沟、明渠进行清淤，根据需要建设排水明沟或暗渠，雨水边沟的建设与道路整治一起逐步施行，引导雨水排放，避免发生暴雨天气积水现象。规划远期，根据</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发展建设情况，经济能力满足条件后可逐步建设暗管排放雨水，保持路面清洁卫生，提升生活条件标准。</w:t>
      </w:r>
      <w:bookmarkEnd w:id="164"/>
    </w:p>
    <w:p w14:paraId="6D0DAC57">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供</w:t>
      </w:r>
      <w:r>
        <w:rPr>
          <w:rFonts w:hint="eastAsia" w:ascii="Calibri" w:hAnsi="Calibri" w:eastAsia="楷体_GB2312" w:cs="Times New Roman"/>
          <w:b/>
          <w:color w:val="auto"/>
          <w:kern w:val="2"/>
          <w:sz w:val="32"/>
          <w:szCs w:val="24"/>
          <w:highlight w:val="none"/>
          <w:lang w:val="en-US" w:eastAsia="zh-CN" w:bidi="ar-SA"/>
        </w:rPr>
        <w:t>电</w:t>
      </w:r>
      <w:r>
        <w:rPr>
          <w:rFonts w:ascii="Calibri" w:hAnsi="Calibri" w:eastAsia="楷体_GB2312" w:cs="Times New Roman"/>
          <w:b/>
          <w:color w:val="auto"/>
          <w:kern w:val="2"/>
          <w:sz w:val="32"/>
          <w:szCs w:val="24"/>
          <w:highlight w:val="none"/>
          <w:lang w:val="en-US" w:eastAsia="zh-CN" w:bidi="ar-SA"/>
        </w:rPr>
        <w:t>工程</w:t>
      </w:r>
    </w:p>
    <w:p w14:paraId="73748692">
      <w:pPr>
        <w:ind w:firstLine="640" w:firstLineChars="200"/>
        <w:rPr>
          <w:rFonts w:ascii="Times New Roman" w:hAnsi="Times New Roman" w:cs="Times New Roman"/>
          <w:color w:val="auto"/>
          <w:szCs w:val="32"/>
          <w:highlight w:val="none"/>
        </w:rPr>
      </w:pPr>
      <w:bookmarkStart w:id="167" w:name="_Hlk175293952"/>
      <w:bookmarkStart w:id="168" w:name="_Toc31389"/>
      <w:r>
        <w:rPr>
          <w:rFonts w:ascii="Times New Roman" w:hAnsi="Times New Roman" w:cs="Times New Roman"/>
          <w:color w:val="auto"/>
          <w:szCs w:val="32"/>
          <w:highlight w:val="none"/>
        </w:rPr>
        <w:t>线路规划</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规划区内居民点采用架空</w:t>
      </w: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力线供</w:t>
      </w: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，架空线路自变压器架设接引。各住宅实行一户一表制，公共建筑实行单独计量。</w:t>
      </w:r>
    </w:p>
    <w:bookmarkEnd w:id="167"/>
    <w:p w14:paraId="4F92925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供热工程</w:t>
      </w:r>
      <w:bookmarkEnd w:id="168"/>
    </w:p>
    <w:p w14:paraId="2F58C476">
      <w:pPr>
        <w:ind w:firstLine="640" w:firstLineChars="200"/>
        <w:rPr>
          <w:rFonts w:ascii="Times New Roman" w:hAnsi="Times New Roman" w:cs="Times New Roman"/>
          <w:color w:val="auto"/>
          <w:szCs w:val="32"/>
          <w:highlight w:val="none"/>
        </w:rPr>
      </w:pPr>
      <w:bookmarkStart w:id="169" w:name="_Hlk175294024"/>
      <w:r>
        <w:rPr>
          <w:rFonts w:ascii="Times New Roman" w:hAnsi="Times New Roman" w:cs="Times New Roman"/>
          <w:color w:val="auto"/>
          <w:szCs w:val="32"/>
          <w:highlight w:val="none"/>
        </w:rPr>
        <w:t>规划居民供热采用分散供热模式。可采用直燃式秸秆</w:t>
      </w:r>
      <w:r>
        <w:rPr>
          <w:rFonts w:ascii="Times New Roman" w:hAnsi="Times New Roman" w:cs="Times New Roman"/>
          <w:color w:val="auto"/>
          <w:szCs w:val="32"/>
          <w:highlight w:val="none"/>
          <w:shd w:val="clear" w:color="auto" w:fill="FFFFFF"/>
        </w:rPr>
        <w:t>半</w:t>
      </w:r>
      <w:r>
        <w:rPr>
          <w:rFonts w:hint="eastAsia" w:ascii="Times New Roman" w:hAnsi="Times New Roman" w:cs="Times New Roman"/>
          <w:color w:val="auto"/>
          <w:szCs w:val="32"/>
          <w:highlight w:val="none"/>
          <w:shd w:val="clear" w:color="auto" w:fill="FFFFFF"/>
        </w:rPr>
        <w:t>气化多功能</w:t>
      </w:r>
      <w:r>
        <w:rPr>
          <w:rFonts w:ascii="Times New Roman" w:hAnsi="Times New Roman" w:cs="Times New Roman"/>
          <w:color w:val="auto"/>
          <w:szCs w:val="32"/>
          <w:highlight w:val="none"/>
        </w:rPr>
        <w:t>水暖炉采暖、墙体保温与地盘管独立供热模式。这种模式适用于各种建筑，不涉及外墙美观和房顶面积的考虑。</w:t>
      </w:r>
    </w:p>
    <w:p w14:paraId="5C11CC4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规划公共管理与公共服务建筑采用</w:t>
      </w: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采暖。</w:t>
      </w:r>
      <w:bookmarkEnd w:id="169"/>
    </w:p>
    <w:p w14:paraId="49D27C4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通信工程</w:t>
      </w:r>
    </w:p>
    <w:p w14:paraId="1E293FB9">
      <w:pPr>
        <w:ind w:firstLine="640" w:firstLineChars="200"/>
        <w:rPr>
          <w:rFonts w:ascii="Times New Roman" w:hAnsi="Times New Roman" w:cs="Times New Roman"/>
          <w:color w:val="auto"/>
          <w:szCs w:val="32"/>
          <w:highlight w:val="none"/>
        </w:rPr>
      </w:pPr>
      <w:bookmarkStart w:id="170" w:name="_Hlk175294074"/>
      <w:r>
        <w:rPr>
          <w:rFonts w:ascii="Times New Roman" w:hAnsi="Times New Roman" w:cs="Times New Roman"/>
          <w:color w:val="auto"/>
          <w:szCs w:val="32"/>
          <w:highlight w:val="none"/>
        </w:rPr>
        <w:t>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通信引自桦川</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通信公司。</w:t>
      </w:r>
    </w:p>
    <w:p w14:paraId="7B52009A">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规划</w:t>
      </w:r>
      <w:r>
        <w:rPr>
          <w:rFonts w:ascii="Times New Roman" w:hAnsi="Times New Roman" w:cs="Times New Roman"/>
          <w:color w:val="auto"/>
          <w:szCs w:val="32"/>
          <w:highlight w:val="none"/>
        </w:rPr>
        <w:t>全面建成涵盖</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、农村地区、家庭和政企以及家庭终端的端到端智能光网络，全面具备千兆接入能力，满足万</w:t>
      </w:r>
      <w:r>
        <w:rPr>
          <w:rFonts w:ascii="Times New Roman" w:hAnsi="Times New Roman" w:cs="Times New Roman"/>
          <w:color w:val="auto"/>
          <w:szCs w:val="32"/>
          <w:highlight w:val="none"/>
          <w:shd w:val="clear" w:color="auto" w:fill="FFFFFF"/>
        </w:rPr>
        <w:t>兆</w:t>
      </w:r>
      <w:r>
        <w:rPr>
          <w:rFonts w:ascii="Times New Roman" w:hAnsi="Times New Roman" w:cs="Times New Roman"/>
          <w:color w:val="auto"/>
          <w:szCs w:val="32"/>
          <w:highlight w:val="none"/>
        </w:rPr>
        <w:t>需求。</w:t>
      </w:r>
    </w:p>
    <w:p w14:paraId="6539F950">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视节目逐步过渡到数字化和高清晰化，积极开发数字</w:t>
      </w: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视的增值业务。</w:t>
      </w:r>
    </w:p>
    <w:bookmarkEnd w:id="170"/>
    <w:p w14:paraId="251B762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燃气工程</w:t>
      </w:r>
    </w:p>
    <w:p w14:paraId="34164766">
      <w:pPr>
        <w:ind w:firstLine="640" w:firstLineChars="200"/>
        <w:rPr>
          <w:rFonts w:ascii="Times New Roman" w:hAnsi="Times New Roman" w:cs="Times New Roman"/>
          <w:color w:val="auto"/>
          <w:szCs w:val="32"/>
          <w:highlight w:val="none"/>
        </w:rPr>
      </w:pPr>
      <w:bookmarkStart w:id="171" w:name="_Hlk175294104"/>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政府驻地居民用燃气主要以液化石油气为主要燃料，气源采用桦川</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液化石油气站。</w:t>
      </w:r>
    </w:p>
    <w:p w14:paraId="39C34825">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规划燃气气源采用液化石油气，通过气瓶向用户供气。</w:t>
      </w:r>
    </w:p>
    <w:p w14:paraId="304E70EB">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居民用气定额：参照《城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燃气设计规范》推荐的用气量指标，确定液化石油气定额15千克/户•月。</w:t>
      </w:r>
    </w:p>
    <w:bookmarkEnd w:id="171"/>
    <w:p w14:paraId="1849413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环卫工程</w:t>
      </w:r>
      <w:bookmarkEnd w:id="165"/>
      <w:bookmarkEnd w:id="166"/>
    </w:p>
    <w:p w14:paraId="4A29B4C0">
      <w:pPr>
        <w:ind w:firstLine="640" w:firstLineChars="200"/>
        <w:rPr>
          <w:rFonts w:ascii="Times New Roman" w:hAnsi="Times New Roman" w:cs="Times New Roman"/>
          <w:color w:val="auto"/>
          <w:szCs w:val="32"/>
          <w:highlight w:val="none"/>
        </w:rPr>
      </w:pPr>
      <w:bookmarkStart w:id="172" w:name="_Hlk175294146"/>
      <w:r>
        <w:rPr>
          <w:rFonts w:ascii="Times New Roman" w:hAnsi="Times New Roman" w:cs="Times New Roman"/>
          <w:color w:val="auto"/>
          <w:szCs w:val="32"/>
          <w:highlight w:val="none"/>
        </w:rPr>
        <w:t xml:space="preserve">1、垃圾处理方式规划 </w:t>
      </w:r>
    </w:p>
    <w:p w14:paraId="00BEAF6C">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规划采用垃圾定点收集，集中处理的方式，将垃圾转运站内的垃圾</w:t>
      </w:r>
      <w:r>
        <w:rPr>
          <w:rFonts w:ascii="Times New Roman" w:hAnsi="Times New Roman" w:cs="Times New Roman"/>
          <w:color w:val="auto"/>
          <w:szCs w:val="32"/>
          <w:highlight w:val="none"/>
          <w:shd w:val="clear" w:color="auto" w:fill="FFFFFF"/>
        </w:rPr>
        <w:t>由</w:t>
      </w:r>
      <w:r>
        <w:rPr>
          <w:rFonts w:ascii="Times New Roman" w:hAnsi="Times New Roman" w:cs="Times New Roman"/>
          <w:color w:val="auto"/>
          <w:szCs w:val="32"/>
          <w:highlight w:val="none"/>
        </w:rPr>
        <w:t>密闭式垃圾清运车运到垃圾处理厂，统一处理。</w:t>
      </w:r>
    </w:p>
    <w:p w14:paraId="50C63125">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 xml:space="preserve">医疗垃圾由医疗机构（医院）转运至医疗垃圾处置机构专门处理。 </w:t>
      </w:r>
    </w:p>
    <w:p w14:paraId="727EDBA8">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．环境卫生设施规划</w:t>
      </w:r>
    </w:p>
    <w:p w14:paraId="2948DCE0">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（1）垃圾分类收集</w:t>
      </w:r>
    </w:p>
    <w:p w14:paraId="1EC5DD24">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垃圾分类收</w:t>
      </w:r>
      <w:bookmarkStart w:id="173" w:name="_Hlk175294254"/>
      <w:r>
        <w:rPr>
          <w:rFonts w:ascii="Times New Roman" w:hAnsi="Times New Roman" w:cs="Times New Roman"/>
          <w:color w:val="auto"/>
          <w:szCs w:val="32"/>
          <w:highlight w:val="none"/>
        </w:rPr>
        <w:t>集</w:t>
      </w:r>
      <w:bookmarkEnd w:id="173"/>
      <w:r>
        <w:rPr>
          <w:rFonts w:ascii="Times New Roman" w:hAnsi="Times New Roman" w:cs="Times New Roman"/>
          <w:color w:val="auto"/>
          <w:szCs w:val="32"/>
          <w:highlight w:val="none"/>
        </w:rPr>
        <w:t>箱的设置原则主要交通干道每50-80米</w:t>
      </w:r>
      <w:r>
        <w:rPr>
          <w:rFonts w:ascii="Times New Roman" w:hAnsi="Times New Roman" w:cs="Times New Roman"/>
          <w:color w:val="auto"/>
          <w:szCs w:val="32"/>
          <w:highlight w:val="none"/>
          <w:shd w:val="clear" w:color="auto" w:fill="FFFFFF"/>
        </w:rPr>
        <w:t>设</w:t>
      </w:r>
      <w:r>
        <w:rPr>
          <w:rFonts w:ascii="Times New Roman" w:hAnsi="Times New Roman" w:cs="Times New Roman"/>
          <w:color w:val="auto"/>
          <w:szCs w:val="32"/>
          <w:highlight w:val="none"/>
        </w:rPr>
        <w:t>1个；一般道路每80-100米</w:t>
      </w:r>
      <w:r>
        <w:rPr>
          <w:rFonts w:ascii="Times New Roman" w:hAnsi="Times New Roman" w:cs="Times New Roman"/>
          <w:color w:val="auto"/>
          <w:szCs w:val="32"/>
          <w:highlight w:val="none"/>
          <w:shd w:val="clear" w:color="auto" w:fill="FFFFFF"/>
        </w:rPr>
        <w:t>设</w:t>
      </w:r>
      <w:r>
        <w:rPr>
          <w:rFonts w:ascii="Times New Roman" w:hAnsi="Times New Roman" w:cs="Times New Roman"/>
          <w:color w:val="auto"/>
          <w:szCs w:val="32"/>
          <w:highlight w:val="none"/>
        </w:rPr>
        <w:t>1个。</w:t>
      </w:r>
    </w:p>
    <w:p w14:paraId="3B2BE5D6">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）垃圾转运站规划</w:t>
      </w:r>
    </w:p>
    <w:p w14:paraId="1CE4CA43">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规划建设垃圾分拣转运站1座，位于苏家店村委会西侧。</w:t>
      </w:r>
    </w:p>
    <w:bookmarkEnd w:id="172"/>
    <w:p w14:paraId="19571388">
      <w:pPr>
        <w:keepNext/>
        <w:keepLines/>
        <w:widowControl w:val="0"/>
        <w:spacing w:before="260" w:beforeLines="50" w:after="260" w:afterLines="50" w:line="600" w:lineRule="exact"/>
        <w:jc w:val="center"/>
        <w:outlineLvl w:val="1"/>
        <w:rPr>
          <w:rFonts w:ascii="Times New Roman" w:hAnsi="Times New Roman" w:eastAsia="黑体" w:cs="Times New Roman"/>
          <w:color w:val="auto"/>
          <w:kern w:val="2"/>
          <w:sz w:val="32"/>
          <w:szCs w:val="24"/>
          <w:highlight w:val="none"/>
          <w:lang w:val="en-US" w:eastAsia="zh-CN" w:bidi="ar-SA"/>
        </w:rPr>
      </w:pPr>
      <w:bookmarkStart w:id="174" w:name="_Toc4150"/>
      <w:r>
        <w:rPr>
          <w:rFonts w:ascii="Times New Roman" w:hAnsi="Times New Roman" w:eastAsia="黑体" w:cs="Times New Roman"/>
          <w:color w:val="auto"/>
          <w:kern w:val="2"/>
          <w:sz w:val="32"/>
          <w:szCs w:val="24"/>
          <w:highlight w:val="none"/>
          <w:lang w:val="en-US" w:eastAsia="zh-CN" w:bidi="ar-SA"/>
        </w:rPr>
        <w:t>第六节</w:t>
      </w:r>
      <w:bookmarkEnd w:id="156"/>
      <w:r>
        <w:rPr>
          <w:rFonts w:ascii="Times New Roman" w:hAnsi="Times New Roman" w:eastAsia="黑体" w:cs="Times New Roman"/>
          <w:color w:val="auto"/>
          <w:kern w:val="2"/>
          <w:sz w:val="32"/>
          <w:szCs w:val="24"/>
          <w:highlight w:val="none"/>
          <w:lang w:val="en-US" w:eastAsia="zh-CN" w:bidi="ar-SA"/>
        </w:rPr>
        <w:t xml:space="preserve"> 健全综合防灾体系</w:t>
      </w:r>
      <w:bookmarkEnd w:id="174"/>
    </w:p>
    <w:bookmarkEnd w:id="157"/>
    <w:bookmarkEnd w:id="158"/>
    <w:p w14:paraId="70A2B11E">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综合防灾与公共安全保障</w:t>
      </w:r>
    </w:p>
    <w:p w14:paraId="1F068E2F">
      <w:pPr>
        <w:ind w:firstLine="640" w:firstLineChars="200"/>
        <w:rPr>
          <w:rFonts w:ascii="Times New Roman" w:hAnsi="Times New Roman" w:cs="Times New Roman"/>
          <w:color w:val="auto"/>
          <w:szCs w:val="32"/>
          <w:highlight w:val="none"/>
        </w:rPr>
      </w:pPr>
      <w:bookmarkStart w:id="175" w:name="_Hlk175295964"/>
      <w:r>
        <w:rPr>
          <w:rFonts w:ascii="Times New Roman" w:hAnsi="Times New Roman" w:cs="Times New Roman"/>
          <w:color w:val="auto"/>
          <w:szCs w:val="32"/>
          <w:highlight w:val="none"/>
        </w:rPr>
        <w:t>1．综合防灾空间结构</w:t>
      </w:r>
    </w:p>
    <w:p w14:paraId="0C027E89">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构建以救援主通道、疏散主通道、疏散次通道和一般疏散通道为主体的分级疏散救援通道体系。建立布局合理的避难场所体系，利用现有和规划建设的公园广场、绿地、学校等场地以及地下空间，加强室内、综合性及农村地区应急避难场所建设。利用全国自然灾害综合风险普查结果，合理避让自然灾害高风险区域。</w:t>
      </w:r>
    </w:p>
    <w:p w14:paraId="61A3155A">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2．地质灾害预防</w:t>
      </w:r>
    </w:p>
    <w:p w14:paraId="5DE22480">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地质灾害的防治要贯彻以防为主、防治结合的原则，城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建设应避开各类地质灾害分布区，规划中的道路、基础设施等工程，应在前期进行勘察，充分进行可行性论证，制定严密措施，采取防治对策。</w:t>
      </w:r>
    </w:p>
    <w:p w14:paraId="1B2AE615">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广泛开展科普宣传，普及地质灾害防治知识。对地震灾害等地质灾害，开展专业性和群众性的监测预报工作。</w:t>
      </w:r>
    </w:p>
    <w:p w14:paraId="3402EF22">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3．公共场所安全</w:t>
      </w:r>
    </w:p>
    <w:p w14:paraId="32A83E40">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制定疏散方案，提出疏散行动组织要求，强化日常疏散训练。加强安全疏散技术要求、建筑防火安全规定、公共活动场所的防火</w:t>
      </w:r>
      <w:r>
        <w:rPr>
          <w:rFonts w:hint="eastAsia" w:ascii="Times New Roman" w:hAnsi="Times New Roman" w:cs="Times New Roman"/>
          <w:color w:val="auto"/>
          <w:szCs w:val="32"/>
          <w:highlight w:val="none"/>
        </w:rPr>
        <w:t>设施</w:t>
      </w:r>
      <w:r>
        <w:rPr>
          <w:rFonts w:ascii="Times New Roman" w:hAnsi="Times New Roman" w:cs="Times New Roman"/>
          <w:color w:val="auto"/>
          <w:szCs w:val="32"/>
          <w:highlight w:val="none"/>
        </w:rPr>
        <w:t>的监督和管理。</w:t>
      </w:r>
    </w:p>
    <w:p w14:paraId="63BFF204">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4．重点防范公共事件</w:t>
      </w:r>
    </w:p>
    <w:p w14:paraId="5E972256">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需要重点防范的公共事件有洪涝灾害、突发性地质灾害、地震、暴雨雷</w:t>
      </w: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、火灾事故、道路桥梁突发事故、突发重大交通事故（铁路、</w:t>
      </w:r>
      <w:r>
        <w:rPr>
          <w:rFonts w:hint="eastAsia" w:ascii="Times New Roman" w:hAnsi="Times New Roman" w:cs="Times New Roman"/>
          <w:color w:val="auto"/>
          <w:szCs w:val="32"/>
          <w:highlight w:val="none"/>
          <w:lang w:eastAsia="zh-CN"/>
        </w:rPr>
        <w:t>公路</w:t>
      </w:r>
      <w:r>
        <w:rPr>
          <w:rFonts w:ascii="Times New Roman" w:hAnsi="Times New Roman" w:cs="Times New Roman"/>
          <w:color w:val="auto"/>
          <w:szCs w:val="32"/>
          <w:highlight w:val="none"/>
        </w:rPr>
        <w:t>、水运、航空）、城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供水突发公共事件、城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排水突发公共事件、重大</w:t>
      </w: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力突发事故、燃气事故、供热事故、通信线路和通信设施事故、化学危险品事故、传染病疫情、动植物疫病、恐怖袭击、群体性事件等。</w:t>
      </w:r>
      <w:bookmarkEnd w:id="175"/>
    </w:p>
    <w:p w14:paraId="3B34042F">
      <w:pPr>
        <w:spacing w:line="600" w:lineRule="atLeast"/>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5.气象灾害防御</w:t>
      </w:r>
    </w:p>
    <w:p w14:paraId="4ED0BD15">
      <w:pPr>
        <w:widowControl w:val="0"/>
        <w:spacing w:line="600" w:lineRule="exact"/>
        <w:jc w:val="both"/>
        <w:rPr>
          <w:rFonts w:ascii="Times New Roman" w:hAnsi="Times New Roman" w:eastAsia="宋体" w:cs="Times New Roman"/>
          <w:color w:val="auto"/>
          <w:kern w:val="2"/>
          <w:sz w:val="28"/>
          <w:szCs w:val="24"/>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建立和完善气候变化的评估和预警系统，提高气象灾害的预报预测水平</w:t>
      </w:r>
      <w:r>
        <w:rPr>
          <w:rFonts w:ascii="Times New Roman" w:hAnsi="Times New Roman" w:eastAsia="宋体" w:cs="Times New Roman"/>
          <w:color w:val="auto"/>
          <w:kern w:val="2"/>
          <w:sz w:val="32"/>
          <w:szCs w:val="32"/>
          <w:highlight w:val="none"/>
          <w:lang w:val="en-US" w:eastAsia="zh-CN" w:bidi="ar-SA"/>
        </w:rPr>
        <w:t>，</w:t>
      </w:r>
      <w:r>
        <w:rPr>
          <w:rFonts w:ascii="Times New Roman" w:hAnsi="Times New Roman" w:eastAsia="仿宋_GB2312" w:cs="Times New Roman"/>
          <w:color w:val="auto"/>
          <w:kern w:val="2"/>
          <w:sz w:val="32"/>
          <w:szCs w:val="32"/>
          <w:highlight w:val="none"/>
          <w:lang w:val="en-US" w:eastAsia="zh-CN" w:bidi="ar-SA"/>
        </w:rPr>
        <w:t>最大限度减轻气象灾害造成的经济损失和社会不利影响。为确保佳木斯</w:t>
      </w:r>
      <w:r>
        <w:rPr>
          <w:rFonts w:hint="eastAsia" w:ascii="Times New Roman" w:hAnsi="Times New Roman" w:eastAsia="仿宋_GB2312" w:cs="Times New Roman"/>
          <w:color w:val="auto"/>
          <w:kern w:val="2"/>
          <w:sz w:val="32"/>
          <w:szCs w:val="32"/>
          <w:highlight w:val="none"/>
          <w:lang w:val="en-US" w:eastAsia="zh-CN" w:bidi="ar-SA"/>
        </w:rPr>
        <w:t>市</w:t>
      </w:r>
      <w:r>
        <w:rPr>
          <w:rFonts w:ascii="Times New Roman" w:hAnsi="Times New Roman" w:eastAsia="仿宋_GB2312" w:cs="Times New Roman"/>
          <w:color w:val="auto"/>
          <w:kern w:val="2"/>
          <w:sz w:val="32"/>
          <w:szCs w:val="32"/>
          <w:highlight w:val="none"/>
          <w:lang w:val="en-US" w:eastAsia="zh-CN" w:bidi="ar-SA"/>
        </w:rPr>
        <w:t>气象观测站点</w:t>
      </w:r>
      <w:r>
        <w:rPr>
          <w:rFonts w:hint="eastAsia" w:ascii="Times New Roman" w:hAnsi="Times New Roman" w:eastAsia="仿宋_GB2312" w:cs="Times New Roman"/>
          <w:color w:val="auto"/>
          <w:kern w:val="2"/>
          <w:sz w:val="32"/>
          <w:szCs w:val="32"/>
          <w:highlight w:val="none"/>
          <w:lang w:val="en-US" w:eastAsia="zh-CN" w:bidi="ar-SA"/>
        </w:rPr>
        <w:t>（</w:t>
      </w:r>
      <w:r>
        <w:rPr>
          <w:rFonts w:ascii="Times New Roman" w:hAnsi="Times New Roman" w:eastAsia="仿宋_GB2312" w:cs="Times New Roman"/>
          <w:color w:val="auto"/>
          <w:kern w:val="2"/>
          <w:sz w:val="32"/>
          <w:szCs w:val="32"/>
          <w:highlight w:val="none"/>
          <w:lang w:val="en-US" w:eastAsia="zh-CN" w:bidi="ar-SA"/>
        </w:rPr>
        <w:t>天气雷达站、气象观测站</w:t>
      </w:r>
      <w:r>
        <w:rPr>
          <w:rFonts w:hint="eastAsia" w:ascii="Times New Roman" w:hAnsi="Times New Roman" w:eastAsia="仿宋_GB2312" w:cs="Times New Roman"/>
          <w:color w:val="auto"/>
          <w:kern w:val="2"/>
          <w:sz w:val="32"/>
          <w:szCs w:val="32"/>
          <w:highlight w:val="none"/>
          <w:lang w:val="en-US" w:eastAsia="zh-CN" w:bidi="ar-SA"/>
        </w:rPr>
        <w:t>）</w:t>
      </w:r>
      <w:r>
        <w:rPr>
          <w:rFonts w:ascii="Times New Roman" w:hAnsi="Times New Roman" w:eastAsia="仿宋_GB2312" w:cs="Times New Roman"/>
          <w:color w:val="auto"/>
          <w:kern w:val="2"/>
          <w:sz w:val="32"/>
          <w:szCs w:val="32"/>
          <w:highlight w:val="none"/>
          <w:lang w:val="en-US" w:eastAsia="zh-CN" w:bidi="ar-SA"/>
        </w:rPr>
        <w:t>数据代表性、准确性、比较性，</w:t>
      </w:r>
      <w:r>
        <w:rPr>
          <w:rFonts w:ascii="Times New Roman" w:hAnsi="Times New Roman" w:eastAsia="宋体" w:cs="Times New Roman"/>
          <w:color w:val="auto"/>
          <w:kern w:val="2"/>
          <w:sz w:val="32"/>
          <w:szCs w:val="32"/>
          <w:highlight w:val="none"/>
          <w:lang w:val="en-US" w:eastAsia="zh-CN" w:bidi="ar-SA"/>
        </w:rPr>
        <w:t>规划</w:t>
      </w:r>
      <w:r>
        <w:rPr>
          <w:rFonts w:hint="eastAsia" w:ascii="Times New Roman" w:hAnsi="Times New Roman" w:eastAsia="仿宋_GB2312" w:cs="Times New Roman"/>
          <w:color w:val="auto"/>
          <w:kern w:val="2"/>
          <w:sz w:val="32"/>
          <w:szCs w:val="32"/>
          <w:highlight w:val="none"/>
          <w:lang w:val="en-US" w:eastAsia="zh-CN" w:bidi="ar-SA"/>
        </w:rPr>
        <w:t>乡镇</w:t>
      </w:r>
      <w:r>
        <w:rPr>
          <w:rFonts w:ascii="Times New Roman" w:hAnsi="Times New Roman" w:eastAsia="仿宋_GB2312" w:cs="Times New Roman"/>
          <w:color w:val="auto"/>
          <w:kern w:val="2"/>
          <w:sz w:val="32"/>
          <w:szCs w:val="32"/>
          <w:highlight w:val="none"/>
          <w:lang w:val="en-US" w:eastAsia="zh-CN" w:bidi="ar-SA"/>
        </w:rPr>
        <w:t>建设1套区域气象观测站，按照《气象探测环境保护规范地面气象观测站GB31221—2014》“3.2区域气象观测站”要求执行。</w:t>
      </w:r>
    </w:p>
    <w:p w14:paraId="78715F53">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176" w:name="_Toc360266032"/>
      <w:r>
        <w:rPr>
          <w:rFonts w:ascii="Calibri" w:hAnsi="Calibri" w:eastAsia="楷体_GB2312" w:cs="Times New Roman"/>
          <w:b/>
          <w:color w:val="auto"/>
          <w:kern w:val="2"/>
          <w:sz w:val="32"/>
          <w:szCs w:val="24"/>
          <w:highlight w:val="none"/>
          <w:lang w:val="en-US" w:eastAsia="zh-CN" w:bidi="ar-SA"/>
        </w:rPr>
        <w:t>防震减灾</w:t>
      </w:r>
      <w:bookmarkEnd w:id="176"/>
    </w:p>
    <w:p w14:paraId="40766020">
      <w:pPr>
        <w:ind w:firstLine="640" w:firstLineChars="200"/>
        <w:rPr>
          <w:rFonts w:ascii="Times New Roman" w:hAnsi="Times New Roman" w:cs="Times New Roman"/>
          <w:color w:val="auto"/>
          <w:szCs w:val="32"/>
          <w:highlight w:val="none"/>
        </w:rPr>
      </w:pPr>
      <w:bookmarkStart w:id="177" w:name="_Hlk175296160"/>
      <w:r>
        <w:rPr>
          <w:rFonts w:ascii="Times New Roman" w:hAnsi="Times New Roman" w:cs="Times New Roman"/>
          <w:color w:val="auto"/>
          <w:szCs w:val="32"/>
          <w:highlight w:val="none"/>
        </w:rPr>
        <w:t>1．抗震设防标准</w:t>
      </w:r>
    </w:p>
    <w:p w14:paraId="56275785">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根据《中国地震动参数区划图》（GB18306-2001），</w:t>
      </w:r>
      <w:r>
        <w:rPr>
          <w:rFonts w:ascii="Times New Roman" w:hAnsi="Times New Roman" w:cs="Times New Roman"/>
          <w:bCs/>
          <w:color w:val="auto"/>
          <w:sz w:val="28"/>
          <w:szCs w:val="28"/>
          <w:highlight w:val="none"/>
        </w:rPr>
        <w:t>桦川</w:t>
      </w:r>
      <w:r>
        <w:rPr>
          <w:rFonts w:hint="eastAsia" w:ascii="Times New Roman" w:hAnsi="Times New Roman" w:cs="Times New Roman"/>
          <w:bCs/>
          <w:color w:val="auto"/>
          <w:sz w:val="28"/>
          <w:szCs w:val="28"/>
          <w:highlight w:val="none"/>
          <w:lang w:eastAsia="zh-CN"/>
        </w:rPr>
        <w:t>县</w:t>
      </w:r>
      <w:r>
        <w:rPr>
          <w:rFonts w:ascii="Times New Roman" w:hAnsi="Times New Roman" w:cs="Times New Roman"/>
          <w:color w:val="auto"/>
          <w:szCs w:val="32"/>
          <w:highlight w:val="none"/>
        </w:rPr>
        <w:t>地震动峰值加速度&lt;0.05g，地震基本烈度值&lt;Ⅵ，规划将苏家店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列为地震6度。</w:t>
      </w:r>
    </w:p>
    <w:p w14:paraId="01D88B22">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w:t>
      </w:r>
      <w:bookmarkStart w:id="178" w:name="_Toc406394927"/>
      <w:bookmarkStart w:id="179" w:name="_Toc331536202"/>
      <w:r>
        <w:rPr>
          <w:rFonts w:ascii="Times New Roman" w:hAnsi="Times New Roman" w:cs="Times New Roman"/>
          <w:color w:val="auto"/>
          <w:szCs w:val="32"/>
          <w:highlight w:val="none"/>
        </w:rPr>
        <w:t>抗震工程</w:t>
      </w:r>
      <w:bookmarkEnd w:id="178"/>
      <w:bookmarkEnd w:id="179"/>
      <w:r>
        <w:rPr>
          <w:rFonts w:ascii="Times New Roman" w:hAnsi="Times New Roman" w:cs="Times New Roman"/>
          <w:color w:val="auto"/>
          <w:szCs w:val="32"/>
          <w:highlight w:val="none"/>
        </w:rPr>
        <w:t>建设</w:t>
      </w:r>
    </w:p>
    <w:p w14:paraId="6BA1318E">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规划布局时应考虑抗震因素，城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建设应避开塌陷、断裂带等地区及软土和液化土层地带。城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建设用地应选择利用抗震性能比较好的场地，尽量避免在坑塘等不利地段建设，如必须建设时应采取抗震处理措施。</w:t>
      </w:r>
    </w:p>
    <w:p w14:paraId="78394BDE">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．疏散场地</w:t>
      </w:r>
    </w:p>
    <w:p w14:paraId="7F20805B">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中的公园、绿地、广场、中小学的操场等空旷场地为避震疏散场地，规划人均避震疏散面积为1.0平方米/人以上。在城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公共绿地、公园等用地规划布局时，应考虑避震疏散功能。 </w:t>
      </w:r>
    </w:p>
    <w:p w14:paraId="7724E1A7">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.疏散通道规划</w:t>
      </w:r>
    </w:p>
    <w:p w14:paraId="5189CE45">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规划高速</w:t>
      </w:r>
      <w:r>
        <w:rPr>
          <w:rFonts w:hint="eastAsia" w:ascii="Times New Roman" w:hAnsi="Times New Roman" w:cs="Times New Roman"/>
          <w:color w:val="auto"/>
          <w:szCs w:val="32"/>
          <w:highlight w:val="none"/>
          <w:lang w:eastAsia="zh-CN"/>
        </w:rPr>
        <w:t>公路</w:t>
      </w:r>
      <w:r>
        <w:rPr>
          <w:rFonts w:ascii="Times New Roman" w:hAnsi="Times New Roman" w:cs="Times New Roman"/>
          <w:color w:val="auto"/>
          <w:szCs w:val="32"/>
          <w:highlight w:val="none"/>
        </w:rPr>
        <w:t>、铁路、城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主要道路作为人员疏散和物资运输的主要救援通道，将疏散救援道路分为疏散救援主干道、疏散救援次干道和疏散通道三级，通向城区内疏散场地和郊外</w:t>
      </w:r>
      <w:r>
        <w:rPr>
          <w:rFonts w:ascii="Times New Roman" w:hAnsi="Times New Roman" w:cs="Times New Roman"/>
          <w:color w:val="auto"/>
          <w:szCs w:val="32"/>
          <w:highlight w:val="none"/>
          <w:shd w:val="clear" w:color="auto" w:fill="FFFFFF"/>
        </w:rPr>
        <w:t>旷</w:t>
      </w:r>
      <w:r>
        <w:rPr>
          <w:rFonts w:ascii="Times New Roman" w:hAnsi="Times New Roman" w:cs="Times New Roman"/>
          <w:color w:val="auto"/>
          <w:szCs w:val="32"/>
          <w:highlight w:val="none"/>
        </w:rPr>
        <w:t>地，并通向长途交通设施。</w:t>
      </w:r>
    </w:p>
    <w:p w14:paraId="7E40F5D3">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5</w:t>
      </w:r>
      <w:r>
        <w:rPr>
          <w:rFonts w:ascii="Times New Roman" w:hAnsi="Times New Roman" w:cs="Times New Roman"/>
          <w:color w:val="auto"/>
          <w:szCs w:val="32"/>
          <w:highlight w:val="none"/>
        </w:rPr>
        <w:t>.生命线工程规划</w:t>
      </w:r>
    </w:p>
    <w:p w14:paraId="6E923B3F">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对道路交通、通讯、供水供</w:t>
      </w: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、供煤气、热力、医疗卫生、粮食、消防、公安、广播</w:t>
      </w:r>
      <w:r>
        <w:rPr>
          <w:rFonts w:hint="eastAsia" w:ascii="Times New Roman" w:hAnsi="Times New Roman" w:cs="Times New Roman"/>
          <w:color w:val="auto"/>
          <w:szCs w:val="32"/>
          <w:highlight w:val="none"/>
          <w:lang w:eastAsia="zh-CN"/>
        </w:rPr>
        <w:t>电</w:t>
      </w:r>
      <w:r>
        <w:rPr>
          <w:rFonts w:ascii="Times New Roman" w:hAnsi="Times New Roman" w:cs="Times New Roman"/>
          <w:color w:val="auto"/>
          <w:szCs w:val="32"/>
          <w:highlight w:val="none"/>
        </w:rPr>
        <w:t>视、政府、对外交通等生命线工程要制定抗震应急措施，在灾害发生时保障各生命线系统正常。</w:t>
      </w:r>
    </w:p>
    <w:bookmarkEnd w:id="177"/>
    <w:p w14:paraId="7C47DE78">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180" w:name="_Toc360266033"/>
      <w:r>
        <w:rPr>
          <w:rFonts w:ascii="Calibri" w:hAnsi="Calibri" w:eastAsia="楷体_GB2312" w:cs="Times New Roman"/>
          <w:b/>
          <w:color w:val="auto"/>
          <w:kern w:val="2"/>
          <w:sz w:val="32"/>
          <w:szCs w:val="24"/>
          <w:highlight w:val="none"/>
          <w:lang w:val="en-US" w:eastAsia="zh-CN" w:bidi="ar-SA"/>
        </w:rPr>
        <w:t>消防</w:t>
      </w:r>
      <w:bookmarkEnd w:id="180"/>
    </w:p>
    <w:p w14:paraId="7CBED6F1">
      <w:pPr>
        <w:ind w:firstLine="640" w:firstLineChars="200"/>
        <w:rPr>
          <w:rFonts w:ascii="Times New Roman" w:hAnsi="Times New Roman" w:cs="Times New Roman"/>
          <w:color w:val="auto"/>
          <w:szCs w:val="32"/>
          <w:highlight w:val="none"/>
        </w:rPr>
      </w:pPr>
      <w:bookmarkStart w:id="181" w:name="_Hlk175296326"/>
      <w:bookmarkStart w:id="182" w:name="_Toc360266034"/>
      <w:r>
        <w:rPr>
          <w:rFonts w:ascii="Times New Roman" w:hAnsi="Times New Roman" w:cs="Times New Roman"/>
          <w:color w:val="auto"/>
          <w:szCs w:val="32"/>
          <w:highlight w:val="none"/>
        </w:rPr>
        <w:t>1.消防安全布局</w:t>
      </w:r>
    </w:p>
    <w:p w14:paraId="4AE90721">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生产、储存和装卸易燃易爆危险品的工厂、仓库和专用车站、码头，必须设置在城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的边缘或相对独立的安全地带。易燃易爆气体和液体的充装站、供应站、调压站，应当设置在合理的位置，符合防火防爆要求。将易燃棚户区纳入旧区改造规划，积极改善防火条件，拆除阻塞道路的院墙，保证消防道路畅通。</w:t>
      </w:r>
    </w:p>
    <w:p w14:paraId="682CE86F">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2.消防站布局</w:t>
      </w:r>
    </w:p>
    <w:p w14:paraId="7EBAB562">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根据《</w:t>
      </w:r>
      <w:bookmarkStart w:id="183" w:name="bookmark5"/>
      <w:bookmarkStart w:id="184" w:name="bookmark3"/>
      <w:bookmarkStart w:id="185" w:name="bookmark4"/>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消防队</w:t>
      </w:r>
      <w:bookmarkEnd w:id="183"/>
      <w:bookmarkEnd w:id="184"/>
      <w:bookmarkEnd w:id="185"/>
      <w:r>
        <w:rPr>
          <w:rFonts w:ascii="Times New Roman" w:hAnsi="Times New Roman" w:cs="Times New Roman"/>
          <w:color w:val="auto"/>
          <w:szCs w:val="32"/>
          <w:highlight w:val="none"/>
        </w:rPr>
        <w:t>（GB/T35547-2017）》，地方人民政府需建立</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消防队，在</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、农村承担火灾扑救、应急救援和其他消防安全工作。根据</w:t>
      </w:r>
      <w:r>
        <w:rPr>
          <w:rFonts w:hint="eastAsia" w:ascii="Times New Roman" w:hAnsi="Times New Roman" w:cs="Times New Roman"/>
          <w:color w:val="auto"/>
          <w:szCs w:val="32"/>
          <w:highlight w:val="none"/>
        </w:rPr>
        <w:t>苏家店</w:t>
      </w:r>
      <w:r>
        <w:rPr>
          <w:rFonts w:hint="eastAsia" w:ascii="Times New Roman" w:hAnsi="Times New Roman" w:cs="Times New Roman"/>
          <w:color w:val="auto"/>
          <w:szCs w:val="32"/>
          <w:highlight w:val="none"/>
          <w:lang w:eastAsia="zh-CN"/>
        </w:rPr>
        <w:t>镇镇</w:t>
      </w:r>
      <w:r>
        <w:rPr>
          <w:rFonts w:hint="eastAsia" w:ascii="Times New Roman" w:hAnsi="Times New Roman" w:cs="Times New Roman"/>
          <w:color w:val="auto"/>
          <w:szCs w:val="32"/>
          <w:highlight w:val="none"/>
        </w:rPr>
        <w:t>政府驻地</w:t>
      </w:r>
      <w:r>
        <w:rPr>
          <w:rFonts w:ascii="Times New Roman" w:hAnsi="Times New Roman" w:cs="Times New Roman"/>
          <w:color w:val="auto"/>
          <w:szCs w:val="32"/>
          <w:highlight w:val="none"/>
        </w:rPr>
        <w:t>人口及建成区面积，应建立</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志愿消防队一处。村庄建立微型消防站，提高初起火灾扑救能力</w:t>
      </w:r>
      <w:bookmarkStart w:id="186" w:name="_Hlk97725197"/>
      <w:r>
        <w:rPr>
          <w:rFonts w:ascii="Times New Roman" w:hAnsi="Times New Roman" w:cs="Times New Roman"/>
          <w:color w:val="auto"/>
          <w:szCs w:val="32"/>
          <w:highlight w:val="none"/>
        </w:rPr>
        <w:t>。</w:t>
      </w:r>
      <w:bookmarkEnd w:id="186"/>
    </w:p>
    <w:p w14:paraId="12DF4BEA">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3.消防车通道规划</w:t>
      </w:r>
    </w:p>
    <w:p w14:paraId="0271A97E">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结合基础设施改造、村庄整治等，打通消防车通道，提高消防车辆通行能力。对现有应急道路进行升级改造，提高其通行能力，并新建防火</w:t>
      </w:r>
      <w:r>
        <w:rPr>
          <w:rFonts w:hint="eastAsia" w:ascii="Times New Roman" w:hAnsi="Times New Roman" w:cs="Times New Roman"/>
          <w:color w:val="auto"/>
          <w:szCs w:val="32"/>
          <w:highlight w:val="none"/>
          <w:lang w:eastAsia="zh-CN"/>
        </w:rPr>
        <w:t>公路</w:t>
      </w:r>
      <w:r>
        <w:rPr>
          <w:rFonts w:ascii="Times New Roman" w:hAnsi="Times New Roman" w:cs="Times New Roman"/>
          <w:color w:val="auto"/>
          <w:szCs w:val="32"/>
          <w:highlight w:val="none"/>
        </w:rPr>
        <w:t>系统，提高防火应急道路路网密度。</w:t>
      </w:r>
    </w:p>
    <w:p w14:paraId="23610706">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4.消防给水规划</w:t>
      </w:r>
    </w:p>
    <w:p w14:paraId="1DDC40D9">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规划消防供水主要以供水水源井为水源，采用生活—消防统一供水系统，消防采用低压制，要求供水管网实现环网供水。</w:t>
      </w:r>
    </w:p>
    <w:p w14:paraId="4D865F15">
      <w:pPr>
        <w:ind w:firstLine="640" w:firstLineChars="200"/>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5</w:t>
      </w:r>
      <w:r>
        <w:rPr>
          <w:rFonts w:ascii="Times New Roman" w:hAnsi="Times New Roman" w:cs="Times New Roman"/>
          <w:color w:val="auto"/>
          <w:szCs w:val="32"/>
          <w:highlight w:val="none"/>
        </w:rPr>
        <w:t>.开展消防安全宣传体验教育</w:t>
      </w:r>
    </w:p>
    <w:p w14:paraId="00719BA5">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按照《应急消防科普教育基地建设标准》要求，依托各类安全宣传教育资源，深入推进消防主题公园、消防餐厅、消防文化街</w:t>
      </w:r>
      <w:r>
        <w:rPr>
          <w:rFonts w:ascii="Times New Roman" w:hAnsi="Times New Roman" w:cs="Times New Roman"/>
          <w:color w:val="auto"/>
          <w:szCs w:val="32"/>
          <w:highlight w:val="none"/>
          <w:shd w:val="clear" w:color="auto" w:fill="FFFFFF"/>
        </w:rPr>
        <w:t>或</w:t>
      </w:r>
      <w:r>
        <w:rPr>
          <w:rFonts w:ascii="Times New Roman" w:hAnsi="Times New Roman" w:cs="Times New Roman"/>
          <w:color w:val="auto"/>
          <w:szCs w:val="32"/>
          <w:highlight w:val="none"/>
        </w:rPr>
        <w:t>广场建设，建成应急消防科普教育场馆，建立应急消防科普教育体系</w:t>
      </w:r>
      <w:bookmarkEnd w:id="181"/>
      <w:r>
        <w:rPr>
          <w:rFonts w:ascii="Times New Roman" w:hAnsi="Times New Roman" w:cs="Times New Roman"/>
          <w:color w:val="auto"/>
          <w:szCs w:val="32"/>
          <w:highlight w:val="none"/>
        </w:rPr>
        <w:t>。</w:t>
      </w:r>
    </w:p>
    <w:p w14:paraId="36FA138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防洪排涝规划</w:t>
      </w:r>
      <w:bookmarkEnd w:id="182"/>
    </w:p>
    <w:p w14:paraId="378BEAB7">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187" w:name="_Hlk175296492"/>
      <w:r>
        <w:rPr>
          <w:rFonts w:ascii="Times New Roman" w:hAnsi="Times New Roman" w:eastAsia="仿宋_GB2312" w:cs="Times New Roman"/>
          <w:color w:val="auto"/>
          <w:kern w:val="2"/>
          <w:sz w:val="32"/>
          <w:szCs w:val="32"/>
          <w:highlight w:val="none"/>
          <w:lang w:val="en-US" w:eastAsia="zh-CN" w:bidi="ar-SA"/>
        </w:rPr>
        <w:t>按照桦川</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防洪标准要求，完成</w:t>
      </w:r>
      <w:r>
        <w:rPr>
          <w:rFonts w:hint="eastAsia" w:ascii="Times New Roman" w:hAnsi="Times New Roman" w:eastAsia="仿宋_GB2312" w:cs="Times New Roman"/>
          <w:color w:val="auto"/>
          <w:kern w:val="2"/>
          <w:sz w:val="32"/>
          <w:szCs w:val="32"/>
          <w:highlight w:val="none"/>
          <w:lang w:val="en-US" w:eastAsia="zh-CN" w:bidi="ar-SA"/>
        </w:rPr>
        <w:t>河</w:t>
      </w:r>
      <w:r>
        <w:rPr>
          <w:rFonts w:ascii="Times New Roman" w:hAnsi="Times New Roman" w:eastAsia="仿宋_GB2312" w:cs="Times New Roman"/>
          <w:color w:val="auto"/>
          <w:kern w:val="2"/>
          <w:sz w:val="32"/>
          <w:szCs w:val="32"/>
          <w:highlight w:val="none"/>
          <w:lang w:val="en-US" w:eastAsia="zh-CN" w:bidi="ar-SA"/>
        </w:rPr>
        <w:t>流防洪工程查缺补漏工作，推进中小</w:t>
      </w:r>
      <w:r>
        <w:rPr>
          <w:rFonts w:hint="eastAsia" w:ascii="Times New Roman" w:hAnsi="Times New Roman" w:eastAsia="仿宋_GB2312" w:cs="Times New Roman"/>
          <w:color w:val="auto"/>
          <w:kern w:val="2"/>
          <w:sz w:val="32"/>
          <w:szCs w:val="32"/>
          <w:highlight w:val="none"/>
          <w:lang w:val="en-US" w:eastAsia="zh-CN" w:bidi="ar-SA"/>
        </w:rPr>
        <w:t>河</w:t>
      </w:r>
      <w:r>
        <w:rPr>
          <w:rFonts w:ascii="Times New Roman" w:hAnsi="Times New Roman" w:eastAsia="仿宋_GB2312" w:cs="Times New Roman"/>
          <w:color w:val="auto"/>
          <w:kern w:val="2"/>
          <w:sz w:val="32"/>
          <w:szCs w:val="32"/>
          <w:highlight w:val="none"/>
          <w:lang w:val="en-US" w:eastAsia="zh-CN" w:bidi="ar-SA"/>
        </w:rPr>
        <w:t>流治理、病险水库除险加固、农村基层防汛预警体系等重点薄弱环节建设。巩固完善由“堤库结合、蓄洪兼施”所组成的防洪总体布局。</w:t>
      </w:r>
    </w:p>
    <w:bookmarkEnd w:id="187"/>
    <w:p w14:paraId="3A4E5C6A">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防疫</w:t>
      </w:r>
    </w:p>
    <w:p w14:paraId="10902C20">
      <w:pPr>
        <w:ind w:firstLine="640" w:firstLineChars="200"/>
        <w:rPr>
          <w:rFonts w:ascii="Times New Roman" w:hAnsi="Times New Roman" w:cs="Times New Roman"/>
          <w:color w:val="auto"/>
          <w:szCs w:val="32"/>
          <w:highlight w:val="none"/>
        </w:rPr>
      </w:pPr>
      <w:bookmarkStart w:id="188" w:name="_Hlk175296608"/>
      <w:r>
        <w:rPr>
          <w:rFonts w:ascii="Times New Roman" w:hAnsi="Times New Roman" w:cs="Times New Roman"/>
          <w:color w:val="auto"/>
          <w:szCs w:val="32"/>
          <w:highlight w:val="none"/>
        </w:rPr>
        <w:t>建立应急联合防控网络，设置传染病相关公共卫生用地和应急疫情防控用地，提出用地布局上的“战略留白”。</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形成独立的疫情隔离单元，有效配备健康信息工作站、医疗救助站、物资发放站及小规模隔离区等</w:t>
      </w:r>
      <w:bookmarkEnd w:id="188"/>
      <w:r>
        <w:rPr>
          <w:rFonts w:ascii="Times New Roman" w:hAnsi="Times New Roman" w:cs="Times New Roman"/>
          <w:color w:val="auto"/>
          <w:szCs w:val="32"/>
          <w:highlight w:val="none"/>
        </w:rPr>
        <w:t>。</w:t>
      </w:r>
    </w:p>
    <w:p w14:paraId="74FE799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hint="eastAsia" w:ascii="Calibri" w:hAnsi="Calibri" w:eastAsia="楷体_GB2312" w:cs="Times New Roman"/>
          <w:b/>
          <w:color w:val="auto"/>
          <w:kern w:val="2"/>
          <w:sz w:val="32"/>
          <w:szCs w:val="24"/>
          <w:highlight w:val="none"/>
          <w:lang w:val="en-US" w:eastAsia="zh-CN" w:bidi="ar-SA"/>
        </w:rPr>
        <w:t>镇</w:t>
      </w:r>
      <w:r>
        <w:rPr>
          <w:rFonts w:ascii="Calibri" w:hAnsi="Calibri" w:eastAsia="楷体_GB2312" w:cs="Times New Roman"/>
          <w:b/>
          <w:color w:val="auto"/>
          <w:kern w:val="2"/>
          <w:sz w:val="32"/>
          <w:szCs w:val="24"/>
          <w:highlight w:val="none"/>
          <w:lang w:val="en-US" w:eastAsia="zh-CN" w:bidi="ar-SA"/>
        </w:rPr>
        <w:t>政府驻地综合防灾要求</w:t>
      </w:r>
    </w:p>
    <w:p w14:paraId="48C23A77">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1.防洪排涝工程</w:t>
      </w:r>
    </w:p>
    <w:p w14:paraId="5005654F">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根据国家《防洪标准》（GB50201-2014）的有关规定，</w:t>
      </w:r>
      <w:r>
        <w:rPr>
          <w:rFonts w:hint="eastAsia" w:ascii="Times New Roman" w:hAnsi="Times New Roman" w:cs="Times New Roman"/>
          <w:color w:val="auto"/>
          <w:szCs w:val="32"/>
          <w:highlight w:val="none"/>
        </w:rPr>
        <w:t>苏家店</w:t>
      </w:r>
      <w:r>
        <w:rPr>
          <w:rFonts w:hint="eastAsia" w:ascii="Times New Roman" w:hAnsi="Times New Roman" w:cs="Times New Roman"/>
          <w:color w:val="auto"/>
          <w:szCs w:val="32"/>
          <w:highlight w:val="none"/>
          <w:lang w:eastAsia="zh-CN"/>
        </w:rPr>
        <w:t>镇镇</w:t>
      </w:r>
      <w:r>
        <w:rPr>
          <w:rFonts w:hint="eastAsia" w:ascii="Times New Roman" w:hAnsi="Times New Roman" w:cs="Times New Roman"/>
          <w:color w:val="auto"/>
          <w:szCs w:val="32"/>
          <w:highlight w:val="none"/>
        </w:rPr>
        <w:t>政府驻地</w:t>
      </w:r>
      <w:r>
        <w:rPr>
          <w:rFonts w:ascii="Times New Roman" w:hAnsi="Times New Roman" w:cs="Times New Roman"/>
          <w:color w:val="auto"/>
          <w:szCs w:val="32"/>
          <w:highlight w:val="none"/>
        </w:rPr>
        <w:t>按20年一遇标准设防。</w:t>
      </w:r>
    </w:p>
    <w:p w14:paraId="29FEE172">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2.消防设施</w:t>
      </w:r>
    </w:p>
    <w:p w14:paraId="3E7AC1E8">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根据</w:t>
      </w:r>
      <w:r>
        <w:rPr>
          <w:rFonts w:hint="eastAsia" w:ascii="Times New Roman" w:hAnsi="Times New Roman" w:cs="Times New Roman"/>
          <w:color w:val="auto"/>
          <w:szCs w:val="32"/>
          <w:highlight w:val="none"/>
        </w:rPr>
        <w:t>苏家店</w:t>
      </w:r>
      <w:r>
        <w:rPr>
          <w:rFonts w:hint="eastAsia" w:ascii="Times New Roman" w:hAnsi="Times New Roman" w:cs="Times New Roman"/>
          <w:color w:val="auto"/>
          <w:szCs w:val="32"/>
          <w:highlight w:val="none"/>
          <w:lang w:eastAsia="zh-CN"/>
        </w:rPr>
        <w:t>镇镇</w:t>
      </w:r>
      <w:r>
        <w:rPr>
          <w:rFonts w:hint="eastAsia" w:ascii="Times New Roman" w:hAnsi="Times New Roman" w:cs="Times New Roman"/>
          <w:color w:val="auto"/>
          <w:szCs w:val="32"/>
          <w:highlight w:val="none"/>
        </w:rPr>
        <w:t>政府驻地</w:t>
      </w:r>
      <w:r>
        <w:rPr>
          <w:rFonts w:ascii="Times New Roman" w:hAnsi="Times New Roman" w:cs="Times New Roman"/>
          <w:color w:val="auto"/>
          <w:szCs w:val="32"/>
          <w:highlight w:val="none"/>
        </w:rPr>
        <w:t>人口及建成区面积，应建立</w:t>
      </w:r>
      <w:r>
        <w:rPr>
          <w:rFonts w:hint="eastAsia" w:ascii="Times New Roman" w:hAnsi="Times New Roman" w:cs="Times New Roman"/>
          <w:color w:val="auto"/>
          <w:szCs w:val="32"/>
          <w:highlight w:val="none"/>
          <w:lang w:eastAsia="zh-CN"/>
        </w:rPr>
        <w:t>乡镇</w:t>
      </w:r>
      <w:r>
        <w:rPr>
          <w:rFonts w:ascii="Times New Roman" w:hAnsi="Times New Roman" w:cs="Times New Roman"/>
          <w:color w:val="auto"/>
          <w:szCs w:val="32"/>
          <w:highlight w:val="none"/>
        </w:rPr>
        <w:t>志愿消防队一处。</w:t>
      </w:r>
    </w:p>
    <w:p w14:paraId="1E003173">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政府驻地消防采用生活—消防统一供水系统，消防采用低压制，要求供水管网实现环网供水，消防给水管道的管径应不小于DN100。</w:t>
      </w:r>
    </w:p>
    <w:p w14:paraId="2B9C8F3C">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3.应急避难场所</w:t>
      </w:r>
    </w:p>
    <w:p w14:paraId="4A4F7974">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避难场所可划分为固定避难场所和紧急避难场所两种类型。城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中的广场、学校、公园、绿地及体育场，是城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中分布较多的开放空间，是城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主要的避难场所。大型广场、学校、公园可作为固定避难场所，绿地可作为紧急避难场所。</w:t>
      </w:r>
    </w:p>
    <w:p w14:paraId="5D389B26">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固定避难场所的建筑物应进行抗震加固。为防止次生灾害，地震避难场地不得过于靠近易燃易爆的加油站、燃气站用地。</w:t>
      </w:r>
    </w:p>
    <w:p w14:paraId="6E6EA054">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4.避灾通道</w:t>
      </w:r>
    </w:p>
    <w:p w14:paraId="4A2F15D3">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根据疏散需要，规划确定主要对外出入口，并与外部的主要</w:t>
      </w:r>
      <w:r>
        <w:rPr>
          <w:rFonts w:hint="eastAsia" w:ascii="Times New Roman" w:hAnsi="Times New Roman" w:cs="Times New Roman"/>
          <w:color w:val="auto"/>
          <w:szCs w:val="32"/>
          <w:highlight w:val="none"/>
          <w:lang w:eastAsia="zh-CN"/>
        </w:rPr>
        <w:t>公路</w:t>
      </w:r>
      <w:r>
        <w:rPr>
          <w:rFonts w:ascii="Times New Roman" w:hAnsi="Times New Roman" w:cs="Times New Roman"/>
          <w:color w:val="auto"/>
          <w:szCs w:val="32"/>
          <w:highlight w:val="none"/>
        </w:rPr>
        <w:t>衔接。各住宅区到避难场所应有避灾道路连接，避灾道路应建成相互贯通的、可供车辆通行的网络，形成完善的避灾道路系统。</w:t>
      </w:r>
    </w:p>
    <w:p w14:paraId="230FD749">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5.生命线系统保障</w:t>
      </w:r>
    </w:p>
    <w:p w14:paraId="63B59B21">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按照桦川</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制定的《桦川</w:t>
      </w:r>
      <w:r>
        <w:rPr>
          <w:rFonts w:hint="eastAsia" w:ascii="Times New Roman" w:hAnsi="Times New Roman" w:cs="Times New Roman"/>
          <w:color w:val="auto"/>
          <w:szCs w:val="32"/>
          <w:highlight w:val="none"/>
          <w:lang w:eastAsia="zh-CN"/>
        </w:rPr>
        <w:t>县</w:t>
      </w:r>
      <w:r>
        <w:rPr>
          <w:rFonts w:ascii="Times New Roman" w:hAnsi="Times New Roman" w:cs="Times New Roman"/>
          <w:color w:val="auto"/>
          <w:szCs w:val="32"/>
          <w:highlight w:val="none"/>
        </w:rPr>
        <w:t>地震应急预案》的方案，由</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医院、疾病控制中心、卫生院及社区卫生中心作为救灾援助物资调配站及救护点，共同组成生命线保障系统。</w:t>
      </w:r>
    </w:p>
    <w:p w14:paraId="29B47496">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6.公共卫生安全</w:t>
      </w:r>
    </w:p>
    <w:p w14:paraId="6D9D1C05">
      <w:pPr>
        <w:ind w:firstLine="640" w:firstLineChars="200"/>
        <w:rPr>
          <w:rFonts w:ascii="Times New Roman" w:hAnsi="Times New Roman" w:cs="Times New Roman"/>
          <w:color w:val="auto"/>
          <w:highlight w:val="none"/>
        </w:rPr>
      </w:pPr>
      <w:bookmarkStart w:id="189" w:name="_Toc72862784"/>
      <w:r>
        <w:rPr>
          <w:rFonts w:ascii="Times New Roman" w:hAnsi="Times New Roman" w:cs="Times New Roman"/>
          <w:color w:val="auto"/>
          <w:szCs w:val="32"/>
          <w:highlight w:val="none"/>
        </w:rPr>
        <w:t>建设公共卫生安全防控体系</w:t>
      </w:r>
      <w:bookmarkEnd w:id="189"/>
      <w:r>
        <w:rPr>
          <w:rFonts w:ascii="Times New Roman" w:hAnsi="Times New Roman" w:cs="Times New Roman"/>
          <w:color w:val="auto"/>
          <w:szCs w:val="32"/>
          <w:highlight w:val="none"/>
        </w:rPr>
        <w:t>，建立大数据应用系统，重点布局疫情防控设施和用地。根据城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规模，设置传染病相关公共卫生用地和应急疫情防控用地。搭建应急联合防控网络，形成联防联控机制，并定期开展防灾演练训练。防控物资储备库应能满足城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一定时期内的物资供给。</w:t>
      </w:r>
    </w:p>
    <w:p w14:paraId="57D5B147">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190" w:name="_Toc8030"/>
      <w:r>
        <w:rPr>
          <w:rFonts w:ascii="Times New Roman" w:hAnsi="Times New Roman" w:eastAsia="黑体" w:cs="Times New Roman"/>
          <w:color w:val="auto"/>
          <w:kern w:val="2"/>
          <w:sz w:val="32"/>
          <w:szCs w:val="24"/>
          <w:highlight w:val="none"/>
          <w:lang w:val="en-US" w:eastAsia="zh-CN" w:bidi="ar-SA"/>
        </w:rPr>
        <w:t>第七节 加强水利基础设施建设</w:t>
      </w:r>
      <w:bookmarkEnd w:id="137"/>
      <w:bookmarkEnd w:id="190"/>
    </w:p>
    <w:p w14:paraId="34143172">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节约用水规划</w:t>
      </w:r>
    </w:p>
    <w:p w14:paraId="3B7A7368">
      <w:pPr>
        <w:ind w:firstLine="640" w:firstLineChars="200"/>
        <w:rPr>
          <w:rFonts w:ascii="Times New Roman" w:hAnsi="Times New Roman" w:cs="Times New Roman"/>
          <w:color w:val="auto"/>
          <w:szCs w:val="32"/>
          <w:highlight w:val="none"/>
        </w:rPr>
      </w:pPr>
      <w:bookmarkStart w:id="191" w:name="_Hlk175296626"/>
      <w:r>
        <w:rPr>
          <w:rFonts w:ascii="Times New Roman" w:hAnsi="Times New Roman" w:cs="Times New Roman"/>
          <w:color w:val="auto"/>
          <w:highlight w:val="none"/>
        </w:rPr>
        <w:t>根据《中华人民共和国水法》规定，国家厉行节约用水，大力推行节约用水措施，推广节约用水新技术、新工艺，发展节水型工业、农业和服务业，建立节水型社会。各级人民政府应当采取措施，加强对节约用水的管理，建立节约用水技术开发推广体系，培育和发展节约用水产业</w:t>
      </w:r>
      <w:bookmarkEnd w:id="191"/>
      <w:r>
        <w:rPr>
          <w:rFonts w:ascii="Times New Roman" w:hAnsi="Times New Roman" w:cs="Times New Roman"/>
          <w:color w:val="auto"/>
          <w:highlight w:val="none"/>
        </w:rPr>
        <w:t>。</w:t>
      </w:r>
    </w:p>
    <w:p w14:paraId="0BADEC8F">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完</w:t>
      </w:r>
      <w:r>
        <w:rPr>
          <w:rFonts w:hint="eastAsia" w:ascii="Calibri" w:hAnsi="Calibri" w:eastAsia="楷体_GB2312" w:cs="Times New Roman"/>
          <w:b/>
          <w:color w:val="auto"/>
          <w:kern w:val="2"/>
          <w:sz w:val="32"/>
          <w:szCs w:val="24"/>
          <w:highlight w:val="none"/>
          <w:lang w:val="en-US" w:eastAsia="zh-CN" w:bidi="ar-SA"/>
        </w:rPr>
        <w:t>善和</w:t>
      </w:r>
      <w:r>
        <w:rPr>
          <w:rFonts w:ascii="Calibri" w:hAnsi="Calibri" w:eastAsia="楷体_GB2312" w:cs="Times New Roman"/>
          <w:b/>
          <w:color w:val="auto"/>
          <w:kern w:val="2"/>
          <w:sz w:val="32"/>
          <w:szCs w:val="24"/>
          <w:highlight w:val="none"/>
          <w:lang w:val="en-US" w:eastAsia="zh-CN" w:bidi="ar-SA"/>
        </w:rPr>
        <w:t>优化水利设施</w:t>
      </w:r>
    </w:p>
    <w:p w14:paraId="25B78DDE">
      <w:pPr>
        <w:ind w:firstLine="640" w:firstLineChars="200"/>
        <w:rPr>
          <w:rFonts w:ascii="Times New Roman" w:hAnsi="Times New Roman" w:eastAsia="楷体" w:cs="Times New Roman"/>
          <w:color w:val="auto"/>
          <w:szCs w:val="32"/>
          <w:highlight w:val="none"/>
        </w:rPr>
      </w:pPr>
      <w:bookmarkStart w:id="192" w:name="_Hlk175296651"/>
      <w:r>
        <w:rPr>
          <w:rFonts w:ascii="Times New Roman" w:hAnsi="Times New Roman" w:eastAsia="楷体" w:cs="Times New Roman"/>
          <w:color w:val="auto"/>
          <w:szCs w:val="32"/>
          <w:highlight w:val="none"/>
        </w:rPr>
        <w:t>1.</w:t>
      </w:r>
      <w:r>
        <w:rPr>
          <w:rFonts w:ascii="Times New Roman" w:hAnsi="Times New Roman" w:cs="Times New Roman"/>
          <w:color w:val="auto"/>
          <w:szCs w:val="32"/>
          <w:highlight w:val="none"/>
        </w:rPr>
        <w:t>灌区节水配套建设</w:t>
      </w:r>
    </w:p>
    <w:p w14:paraId="617E918A">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完成中小型灌区水利工程管理与保护范围划界工作，进一步谋划现代灌区新建和改扩建工程，持续提高灌区覆盖农田灌溉面积比例，为苏家店</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现代农业建设和全面</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村振兴提供水利支撑和保障。</w:t>
      </w:r>
    </w:p>
    <w:p w14:paraId="722E02B6">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管理范围，干渠两侧不小于10米，支渠两侧不小于5米，建筑物工程不小于50米；保护范围，干、支渠以管理范围边界以外不小于20米为界，建筑物工程以建筑物管理范围边界以外不小于50米为界。建设现代灌区，更新现状设施，至2035年农业灌溉水利用系数提高到0.52以上。</w:t>
      </w:r>
    </w:p>
    <w:p w14:paraId="36A87502">
      <w:pPr>
        <w:ind w:firstLine="640" w:firstLineChars="200"/>
        <w:rPr>
          <w:rFonts w:ascii="Times New Roman" w:hAnsi="Times New Roman" w:eastAsia="楷体" w:cs="Times New Roman"/>
          <w:color w:val="auto"/>
          <w:szCs w:val="32"/>
          <w:highlight w:val="none"/>
        </w:rPr>
      </w:pPr>
      <w:r>
        <w:rPr>
          <w:rFonts w:ascii="Times New Roman" w:hAnsi="Times New Roman" w:eastAsia="楷体" w:cs="Times New Roman"/>
          <w:color w:val="auto"/>
          <w:szCs w:val="32"/>
          <w:highlight w:val="none"/>
        </w:rPr>
        <w:t>2.</w:t>
      </w:r>
      <w:r>
        <w:rPr>
          <w:rFonts w:ascii="Times New Roman" w:hAnsi="Times New Roman" w:cs="Times New Roman"/>
          <w:color w:val="auto"/>
          <w:szCs w:val="32"/>
          <w:highlight w:val="none"/>
        </w:rPr>
        <w:t>防洪提升</w:t>
      </w:r>
    </w:p>
    <w:p w14:paraId="4EE5AB36">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规划全面提高堤防标准，</w:t>
      </w:r>
      <w:r>
        <w:rPr>
          <w:rFonts w:hint="eastAsia" w:ascii="Times New Roman" w:hAnsi="Times New Roman" w:cs="Times New Roman"/>
          <w:color w:val="auto"/>
          <w:szCs w:val="32"/>
          <w:highlight w:val="none"/>
          <w:lang w:val="en-US" w:eastAsia="zh-CN"/>
        </w:rPr>
        <w:t>苏家店镇</w:t>
      </w:r>
      <w:r>
        <w:rPr>
          <w:rFonts w:hint="eastAsia" w:ascii="Times New Roman" w:hAnsi="Times New Roman" w:cs="Times New Roman"/>
          <w:color w:val="auto"/>
          <w:szCs w:val="32"/>
          <w:highlight w:val="none"/>
          <w:lang w:eastAsia="zh-CN"/>
        </w:rPr>
        <w:t>河</w:t>
      </w:r>
      <w:r>
        <w:rPr>
          <w:rFonts w:ascii="Times New Roman" w:hAnsi="Times New Roman" w:cs="Times New Roman"/>
          <w:color w:val="auto"/>
          <w:szCs w:val="32"/>
          <w:highlight w:val="none"/>
        </w:rPr>
        <w:t>道规划防洪标准为20年一遇</w:t>
      </w:r>
      <w:bookmarkEnd w:id="192"/>
      <w:r>
        <w:rPr>
          <w:rFonts w:ascii="Times New Roman" w:hAnsi="Times New Roman" w:cs="Times New Roman"/>
          <w:color w:val="auto"/>
          <w:szCs w:val="32"/>
          <w:highlight w:val="none"/>
        </w:rPr>
        <w:t>。</w:t>
      </w:r>
    </w:p>
    <w:p w14:paraId="502DA043">
      <w:pPr>
        <w:keepNext/>
        <w:keepLines/>
        <w:widowControl w:val="0"/>
        <w:spacing w:before="340" w:beforeLines="50" w:after="330" w:afterLines="50" w:line="600" w:lineRule="atLeast"/>
        <w:jc w:val="center"/>
        <w:outlineLvl w:val="0"/>
        <w:rPr>
          <w:rFonts w:ascii="Times New Roman" w:hAnsi="Times New Roman" w:eastAsia="方正小标宋简体" w:cs="Times New Roman"/>
          <w:color w:val="auto"/>
          <w:kern w:val="44"/>
          <w:sz w:val="36"/>
          <w:szCs w:val="24"/>
          <w:highlight w:val="none"/>
          <w:lang w:val="en-US" w:eastAsia="zh-CN" w:bidi="ar-SA"/>
        </w:rPr>
      </w:pPr>
      <w:r>
        <w:rPr>
          <w:rFonts w:ascii="Times New Roman" w:hAnsi="Times New Roman" w:eastAsia="方正小标宋_GBK" w:cs="Times New Roman"/>
          <w:color w:val="auto"/>
          <w:kern w:val="2"/>
          <w:sz w:val="36"/>
          <w:szCs w:val="36"/>
          <w:highlight w:val="none"/>
          <w:lang w:val="en-US" w:eastAsia="zh-CN" w:bidi="ar-SA"/>
        </w:rPr>
        <w:br w:type="page"/>
      </w:r>
      <w:bookmarkStart w:id="193" w:name="_Toc19277"/>
      <w:r>
        <w:rPr>
          <w:rFonts w:ascii="Times New Roman" w:hAnsi="Times New Roman" w:eastAsia="方正小标宋简体" w:cs="Times New Roman"/>
          <w:color w:val="auto"/>
          <w:kern w:val="44"/>
          <w:sz w:val="36"/>
          <w:szCs w:val="24"/>
          <w:highlight w:val="none"/>
          <w:lang w:val="en-US" w:eastAsia="zh-CN" w:bidi="ar-SA"/>
        </w:rPr>
        <w:t>第</w:t>
      </w:r>
      <w:r>
        <w:rPr>
          <w:rFonts w:hint="eastAsia" w:ascii="Times New Roman" w:hAnsi="Times New Roman" w:eastAsia="方正小标宋简体" w:cs="Times New Roman"/>
          <w:color w:val="auto"/>
          <w:kern w:val="44"/>
          <w:sz w:val="36"/>
          <w:szCs w:val="24"/>
          <w:highlight w:val="none"/>
          <w:lang w:val="en-US" w:eastAsia="zh-CN" w:bidi="ar-SA"/>
        </w:rPr>
        <w:t>七</w:t>
      </w:r>
      <w:r>
        <w:rPr>
          <w:rFonts w:ascii="Times New Roman" w:hAnsi="Times New Roman" w:eastAsia="方正小标宋简体" w:cs="Times New Roman"/>
          <w:color w:val="auto"/>
          <w:kern w:val="44"/>
          <w:sz w:val="36"/>
          <w:szCs w:val="24"/>
          <w:highlight w:val="none"/>
          <w:lang w:val="en-US" w:eastAsia="zh-CN" w:bidi="ar-SA"/>
        </w:rPr>
        <w:t>章 历史文化与特色风貌</w:t>
      </w:r>
      <w:bookmarkEnd w:id="193"/>
    </w:p>
    <w:p w14:paraId="2EACFDD4">
      <w:pPr>
        <w:keepNext/>
        <w:keepLines/>
        <w:widowControl w:val="0"/>
        <w:spacing w:before="260" w:beforeLines="50" w:after="260" w:afterLines="50" w:line="600" w:lineRule="atLeast"/>
        <w:ind w:firstLine="0" w:firstLineChars="0"/>
        <w:jc w:val="center"/>
        <w:outlineLvl w:val="1"/>
        <w:rPr>
          <w:rFonts w:ascii="Times New Roman" w:hAnsi="Times New Roman" w:eastAsia="黑体" w:cs="Times New Roman"/>
          <w:color w:val="auto"/>
          <w:kern w:val="2"/>
          <w:sz w:val="32"/>
          <w:szCs w:val="24"/>
          <w:highlight w:val="none"/>
          <w:lang w:val="en-US" w:eastAsia="zh-CN" w:bidi="ar-SA"/>
        </w:rPr>
      </w:pPr>
      <w:bookmarkStart w:id="194" w:name="_Toc15351"/>
      <w:r>
        <w:rPr>
          <w:rFonts w:ascii="Times New Roman" w:hAnsi="Times New Roman" w:eastAsia="黑体" w:cs="Times New Roman"/>
          <w:color w:val="auto"/>
          <w:kern w:val="2"/>
          <w:sz w:val="32"/>
          <w:szCs w:val="24"/>
          <w:highlight w:val="none"/>
          <w:lang w:val="en-US" w:eastAsia="zh-CN" w:bidi="ar-SA"/>
        </w:rPr>
        <w:t>第一节 历史文化保护</w:t>
      </w:r>
      <w:bookmarkEnd w:id="194"/>
    </w:p>
    <w:p w14:paraId="1BAA21F7">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历史文化保护对象</w:t>
      </w:r>
    </w:p>
    <w:p w14:paraId="1B36BFCC">
      <w:pPr>
        <w:widowControl w:val="0"/>
        <w:spacing w:line="600" w:lineRule="exact"/>
        <w:ind w:firstLine="640"/>
        <w:jc w:val="both"/>
        <w:rPr>
          <w:rFonts w:ascii="Times New Roman" w:hAnsi="Times New Roman" w:eastAsia="仿宋_GB2312" w:cs="Times New Roman"/>
          <w:color w:val="auto"/>
          <w:kern w:val="2"/>
          <w:sz w:val="32"/>
          <w:szCs w:val="32"/>
          <w:highlight w:val="none"/>
          <w:u w:val="single"/>
          <w:lang w:val="en-US" w:eastAsia="zh-CN" w:bidi="ar-SA"/>
        </w:rPr>
      </w:pPr>
      <w:bookmarkStart w:id="195" w:name="_Hlk175297039"/>
      <w:r>
        <w:rPr>
          <w:rFonts w:hint="eastAsia" w:ascii="Times New Roman" w:hAnsi="Times New Roman" w:eastAsia="仿宋_GB2312" w:cs="Times New Roman"/>
          <w:color w:val="auto"/>
          <w:kern w:val="2"/>
          <w:sz w:val="32"/>
          <w:szCs w:val="32"/>
          <w:highlight w:val="none"/>
          <w:u w:val="single"/>
          <w:lang w:val="en-US" w:eastAsia="zh-CN" w:bidi="ar-SA"/>
        </w:rPr>
        <w:t>苏家店镇镇域</w:t>
      </w:r>
      <w:r>
        <w:rPr>
          <w:rFonts w:ascii="Times New Roman" w:hAnsi="Times New Roman" w:eastAsia="仿宋_GB2312" w:cs="Times New Roman"/>
          <w:color w:val="auto"/>
          <w:kern w:val="2"/>
          <w:sz w:val="32"/>
          <w:szCs w:val="32"/>
          <w:highlight w:val="none"/>
          <w:u w:val="single"/>
          <w:lang w:val="en-US" w:eastAsia="zh-CN" w:bidi="ar-SA"/>
        </w:rPr>
        <w:t>内现存3处</w:t>
      </w:r>
      <w:r>
        <w:rPr>
          <w:rFonts w:hint="eastAsia" w:ascii="Times New Roman" w:hAnsi="Times New Roman" w:eastAsia="仿宋_GB2312" w:cs="Times New Roman"/>
          <w:color w:val="auto"/>
          <w:kern w:val="2"/>
          <w:sz w:val="32"/>
          <w:szCs w:val="32"/>
          <w:highlight w:val="none"/>
          <w:u w:val="single"/>
          <w:lang w:val="en-US" w:eastAsia="zh-CN" w:bidi="ar-SA"/>
        </w:rPr>
        <w:t>县</w:t>
      </w:r>
      <w:r>
        <w:rPr>
          <w:rFonts w:ascii="Times New Roman" w:hAnsi="Times New Roman" w:eastAsia="仿宋_GB2312" w:cs="Times New Roman"/>
          <w:color w:val="auto"/>
          <w:kern w:val="2"/>
          <w:sz w:val="32"/>
          <w:szCs w:val="32"/>
          <w:highlight w:val="none"/>
          <w:u w:val="single"/>
          <w:lang w:val="en-US" w:eastAsia="zh-CN" w:bidi="ar-SA"/>
        </w:rPr>
        <w:t>级文物保护单位，为苏家店村营子岗遗址、靠山村遗址和自新村遗址。</w:t>
      </w:r>
      <w:bookmarkEnd w:id="195"/>
    </w:p>
    <w:p w14:paraId="400EED28">
      <w:pPr>
        <w:widowControl w:val="0"/>
        <w:spacing w:line="600" w:lineRule="exact"/>
        <w:ind w:firstLine="64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以文保单位为中心，划定核心保护范围及建设控制地带。</w:t>
      </w:r>
    </w:p>
    <w:p w14:paraId="49B50F24">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文物保护单位保护措施</w:t>
      </w:r>
    </w:p>
    <w:p w14:paraId="1B0DF6C1">
      <w:pPr>
        <w:ind w:firstLine="640"/>
        <w:rPr>
          <w:rFonts w:ascii="Times New Roman" w:hAnsi="Times New Roman" w:cs="Times New Roman"/>
          <w:color w:val="auto"/>
          <w:szCs w:val="28"/>
          <w:highlight w:val="none"/>
        </w:rPr>
      </w:pPr>
      <w:r>
        <w:rPr>
          <w:rFonts w:ascii="Times New Roman" w:hAnsi="Times New Roman" w:cs="Times New Roman"/>
          <w:color w:val="auto"/>
          <w:szCs w:val="32"/>
          <w:highlight w:val="none"/>
        </w:rPr>
        <w:t>执行《中华人民共和国文物保护法</w:t>
      </w:r>
      <w:r>
        <w:rPr>
          <w:rFonts w:hint="eastAsia" w:ascii="Times New Roman" w:hAnsi="Times New Roman" w:cs="Times New Roman"/>
          <w:color w:val="auto"/>
          <w:szCs w:val="32"/>
          <w:highlight w:val="none"/>
        </w:rPr>
        <w:t>》的</w:t>
      </w:r>
      <w:r>
        <w:rPr>
          <w:rFonts w:ascii="Times New Roman" w:hAnsi="Times New Roman" w:cs="Times New Roman"/>
          <w:color w:val="auto"/>
          <w:szCs w:val="32"/>
          <w:highlight w:val="none"/>
        </w:rPr>
        <w:t>有关规定，</w:t>
      </w:r>
      <w:r>
        <w:rPr>
          <w:rFonts w:ascii="Times New Roman" w:hAnsi="Times New Roman" w:cs="Times New Roman"/>
          <w:color w:val="auto"/>
          <w:szCs w:val="28"/>
          <w:highlight w:val="none"/>
        </w:rPr>
        <w:t>在保护范围和控制地带范围内禁止取土、耕种、放牧破坏文物的生产活动。文物保护单位的保护范围内不得进行其他建设工程或者爆破、钻探、挖掘等作业。但是，因特殊情况需要在文物保护单位的保护范围内进行其他建设工程或者爆破、钻探、挖掘等作业的，必须保证文物保护单位的安全，在批准前应当征得上一级人民政府文物行政部门同意；在全国重点文物保护单位的保护范围内进行其他建设工程或者爆破、钻探、挖掘等作业的，必须经</w:t>
      </w:r>
      <w:r>
        <w:rPr>
          <w:rFonts w:hint="eastAsia" w:ascii="Times New Roman" w:hAnsi="Times New Roman" w:cs="Times New Roman"/>
          <w:color w:val="auto"/>
          <w:szCs w:val="28"/>
          <w:highlight w:val="none"/>
          <w:lang w:eastAsia="zh-CN"/>
        </w:rPr>
        <w:t>省</w:t>
      </w:r>
      <w:r>
        <w:rPr>
          <w:rFonts w:ascii="Times New Roman" w:hAnsi="Times New Roman" w:cs="Times New Roman"/>
          <w:color w:val="auto"/>
          <w:szCs w:val="28"/>
          <w:highlight w:val="none"/>
        </w:rPr>
        <w:t>、自治区、直辖</w:t>
      </w:r>
      <w:r>
        <w:rPr>
          <w:rFonts w:hint="eastAsia" w:ascii="Times New Roman" w:hAnsi="Times New Roman" w:cs="Times New Roman"/>
          <w:color w:val="auto"/>
          <w:szCs w:val="28"/>
          <w:highlight w:val="none"/>
          <w:lang w:eastAsia="zh-CN"/>
        </w:rPr>
        <w:t>市</w:t>
      </w:r>
      <w:r>
        <w:rPr>
          <w:rFonts w:ascii="Times New Roman" w:hAnsi="Times New Roman" w:cs="Times New Roman"/>
          <w:color w:val="auto"/>
          <w:szCs w:val="28"/>
          <w:highlight w:val="none"/>
        </w:rPr>
        <w:t>人民政府批准，在批准前应当征得国务院文物行政部门同意。</w:t>
      </w:r>
    </w:p>
    <w:p w14:paraId="6E514515">
      <w:pPr>
        <w:ind w:firstLine="640"/>
        <w:rPr>
          <w:rFonts w:ascii="Times New Roman" w:hAnsi="Times New Roman" w:cs="Times New Roman"/>
          <w:color w:val="auto"/>
          <w:szCs w:val="32"/>
          <w:highlight w:val="none"/>
        </w:rPr>
      </w:pPr>
      <w:r>
        <w:rPr>
          <w:rFonts w:ascii="Times New Roman" w:hAnsi="Times New Roman" w:cs="Times New Roman"/>
          <w:color w:val="auto"/>
          <w:szCs w:val="28"/>
          <w:highlight w:val="none"/>
        </w:rPr>
        <w:t>在文物保护单位的保护范围和建设控制地带内，不得建设污染文物保护单位及其环境的设施，不得进行可能影响文物保护单位安全及其环境的活动。对已有的污染文物保护单位及其环境的设施，应当限期治理。在文物保护单位的建设控制地带内进行建设工程，不得破坏文物保护单位的历史风貌。</w:t>
      </w:r>
    </w:p>
    <w:p w14:paraId="68E2FE87">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加强地名管理，保护地名文化</w:t>
      </w:r>
    </w:p>
    <w:p w14:paraId="001F0EC9">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加大</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村地名信息化管理，助力</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村振兴。对</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村地区自然地理实体、居民点、道路街巷、交通水利、公共服务、文化旅游、农业产业等地名信息实现应收尽收、常态更新、规范上图。</w:t>
      </w:r>
    </w:p>
    <w:p w14:paraId="275BB610">
      <w:pPr>
        <w:widowControl w:val="0"/>
        <w:overflowPunct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32"/>
          <w:highlight w:val="none"/>
          <w:lang w:val="en-US" w:eastAsia="zh-CN" w:bidi="ar-SA"/>
        </w:rPr>
        <w:t>加强地名文化保护并加以宣传，传承</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村特色文化。实现历史地名稳定、实用，复苏有文化底蕴但未使用的老地名。因城</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建设、改造或行政区划调整等原因，修改老地名或规划新地名时，应符合《地名管理条例</w:t>
      </w:r>
      <w:r>
        <w:rPr>
          <w:rFonts w:ascii="Times New Roman" w:hAnsi="Times New Roman" w:eastAsia="仿宋_GB2312" w:cs="Times New Roman"/>
          <w:color w:val="auto"/>
          <w:kern w:val="2"/>
          <w:sz w:val="32"/>
          <w:szCs w:val="32"/>
          <w:highlight w:val="none"/>
          <w:shd w:val="clear" w:color="auto" w:fill="FFFFFF"/>
          <w:lang w:val="en-US" w:eastAsia="zh-CN" w:bidi="ar-SA"/>
        </w:rPr>
        <w:t>》《</w:t>
      </w:r>
      <w:r>
        <w:rPr>
          <w:rFonts w:ascii="Times New Roman" w:hAnsi="Times New Roman" w:eastAsia="仿宋_GB2312" w:cs="Times New Roman"/>
          <w:color w:val="auto"/>
          <w:kern w:val="2"/>
          <w:sz w:val="32"/>
          <w:szCs w:val="32"/>
          <w:highlight w:val="none"/>
          <w:lang w:val="en-US" w:eastAsia="zh-CN" w:bidi="ar-SA"/>
        </w:rPr>
        <w:t>关于印发黑龙江</w:t>
      </w:r>
      <w:r>
        <w:rPr>
          <w:rFonts w:hint="eastAsia" w:ascii="Times New Roman" w:hAnsi="Times New Roman" w:eastAsia="仿宋_GB2312" w:cs="Times New Roman"/>
          <w:color w:val="auto"/>
          <w:kern w:val="2"/>
          <w:sz w:val="32"/>
          <w:szCs w:val="32"/>
          <w:highlight w:val="none"/>
          <w:lang w:val="en-US" w:eastAsia="zh-CN" w:bidi="ar-SA"/>
        </w:rPr>
        <w:t>省</w:t>
      </w:r>
      <w:r>
        <w:rPr>
          <w:rFonts w:ascii="Times New Roman" w:hAnsi="Times New Roman" w:eastAsia="仿宋_GB2312" w:cs="Times New Roman"/>
          <w:color w:val="auto"/>
          <w:kern w:val="2"/>
          <w:sz w:val="32"/>
          <w:szCs w:val="32"/>
          <w:highlight w:val="none"/>
          <w:lang w:val="en-US" w:eastAsia="zh-CN" w:bidi="ar-SA"/>
        </w:rPr>
        <w:t>开展“</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村著名行动”助力</w:t>
      </w:r>
      <w:r>
        <w:rPr>
          <w:rFonts w:hint="eastAsia" w:ascii="Times New Roman" w:hAnsi="Times New Roman" w:eastAsia="仿宋_GB2312" w:cs="Times New Roman"/>
          <w:color w:val="auto"/>
          <w:kern w:val="2"/>
          <w:sz w:val="32"/>
          <w:szCs w:val="32"/>
          <w:highlight w:val="none"/>
          <w:lang w:val="en-US" w:eastAsia="zh-CN" w:bidi="ar-SA"/>
        </w:rPr>
        <w:t>乡</w:t>
      </w:r>
      <w:r>
        <w:rPr>
          <w:rFonts w:ascii="Times New Roman" w:hAnsi="Times New Roman" w:eastAsia="仿宋_GB2312" w:cs="Times New Roman"/>
          <w:color w:val="auto"/>
          <w:kern w:val="2"/>
          <w:sz w:val="32"/>
          <w:szCs w:val="32"/>
          <w:highlight w:val="none"/>
          <w:lang w:val="en-US" w:eastAsia="zh-CN" w:bidi="ar-SA"/>
        </w:rPr>
        <w:t>村振兴实施方案的通知》（</w:t>
      </w:r>
      <w:r>
        <w:rPr>
          <w:rFonts w:ascii="Times New Roman" w:hAnsi="Times New Roman" w:eastAsia="仿宋_GB2312" w:cs="Times New Roman"/>
          <w:color w:val="auto"/>
          <w:kern w:val="2"/>
          <w:sz w:val="32"/>
          <w:szCs w:val="32"/>
          <w:highlight w:val="none"/>
          <w:shd w:val="clear" w:color="auto" w:fill="FFFFFF"/>
          <w:lang w:val="en-US" w:eastAsia="zh-CN" w:bidi="ar-SA"/>
        </w:rPr>
        <w:t>黑民</w:t>
      </w:r>
      <w:r>
        <w:rPr>
          <w:rFonts w:ascii="Times New Roman" w:hAnsi="Times New Roman" w:eastAsia="仿宋_GB2312" w:cs="Times New Roman"/>
          <w:color w:val="auto"/>
          <w:kern w:val="2"/>
          <w:sz w:val="32"/>
          <w:szCs w:val="32"/>
          <w:highlight w:val="none"/>
          <w:lang w:val="en-US" w:eastAsia="zh-CN" w:bidi="ar-SA"/>
        </w:rPr>
        <w:t>发〔2024〕4号）《佳木斯</w:t>
      </w:r>
      <w:r>
        <w:rPr>
          <w:rFonts w:hint="eastAsia" w:ascii="Times New Roman" w:hAnsi="Times New Roman" w:eastAsia="仿宋_GB2312" w:cs="Times New Roman"/>
          <w:color w:val="auto"/>
          <w:kern w:val="2"/>
          <w:sz w:val="32"/>
          <w:szCs w:val="32"/>
          <w:highlight w:val="none"/>
          <w:lang w:val="en-US" w:eastAsia="zh-CN" w:bidi="ar-SA"/>
        </w:rPr>
        <w:t>市</w:t>
      </w:r>
      <w:r>
        <w:rPr>
          <w:rFonts w:ascii="Times New Roman" w:hAnsi="Times New Roman" w:eastAsia="仿宋_GB2312" w:cs="Times New Roman"/>
          <w:color w:val="auto"/>
          <w:kern w:val="2"/>
          <w:sz w:val="32"/>
          <w:szCs w:val="32"/>
          <w:highlight w:val="none"/>
          <w:lang w:val="en-US" w:eastAsia="zh-CN" w:bidi="ar-SA"/>
        </w:rPr>
        <w:t>地名方案（2024—2026年）》等相关要求。</w:t>
      </w:r>
    </w:p>
    <w:p w14:paraId="1EEC3CDF">
      <w:pPr>
        <w:keepNext/>
        <w:keepLines/>
        <w:widowControl w:val="0"/>
        <w:spacing w:before="260" w:beforeLines="50" w:after="260" w:afterLines="50" w:line="600" w:lineRule="atLeast"/>
        <w:ind w:firstLine="0" w:firstLineChars="0"/>
        <w:jc w:val="center"/>
        <w:outlineLvl w:val="1"/>
        <w:rPr>
          <w:rFonts w:ascii="Times New Roman" w:hAnsi="Times New Roman" w:eastAsia="黑体" w:cs="Times New Roman"/>
          <w:color w:val="auto"/>
          <w:kern w:val="2"/>
          <w:sz w:val="32"/>
          <w:szCs w:val="24"/>
          <w:highlight w:val="none"/>
          <w:lang w:val="en-US" w:eastAsia="zh-CN" w:bidi="ar-SA"/>
        </w:rPr>
      </w:pPr>
      <w:bookmarkStart w:id="196" w:name="_Toc19077"/>
      <w:r>
        <w:rPr>
          <w:rFonts w:ascii="Times New Roman" w:hAnsi="Times New Roman" w:eastAsia="黑体" w:cs="Times New Roman"/>
          <w:color w:val="auto"/>
          <w:kern w:val="2"/>
          <w:sz w:val="32"/>
          <w:szCs w:val="24"/>
          <w:highlight w:val="none"/>
          <w:lang w:val="en-US" w:eastAsia="zh-CN" w:bidi="ar-SA"/>
        </w:rPr>
        <w:t>第二节 城</w:t>
      </w:r>
      <w:r>
        <w:rPr>
          <w:rFonts w:hint="eastAsia" w:ascii="Times New Roman" w:hAnsi="Times New Roman" w:eastAsia="黑体" w:cs="Times New Roman"/>
          <w:color w:val="auto"/>
          <w:kern w:val="2"/>
          <w:sz w:val="32"/>
          <w:szCs w:val="24"/>
          <w:highlight w:val="none"/>
          <w:lang w:val="en-US" w:eastAsia="zh-CN" w:bidi="ar-SA"/>
        </w:rPr>
        <w:t>乡</w:t>
      </w:r>
      <w:r>
        <w:rPr>
          <w:rFonts w:ascii="Times New Roman" w:hAnsi="Times New Roman" w:eastAsia="黑体" w:cs="Times New Roman"/>
          <w:color w:val="auto"/>
          <w:kern w:val="2"/>
          <w:sz w:val="32"/>
          <w:szCs w:val="24"/>
          <w:highlight w:val="none"/>
          <w:lang w:val="en-US" w:eastAsia="zh-CN" w:bidi="ar-SA"/>
        </w:rPr>
        <w:t>风貌指引</w:t>
      </w:r>
      <w:bookmarkEnd w:id="196"/>
    </w:p>
    <w:p w14:paraId="63E71299">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城</w:t>
      </w:r>
      <w:r>
        <w:rPr>
          <w:rFonts w:hint="eastAsia" w:ascii="Calibri" w:hAnsi="Calibri" w:eastAsia="楷体_GB2312" w:cs="Times New Roman"/>
          <w:b/>
          <w:color w:val="auto"/>
          <w:kern w:val="2"/>
          <w:sz w:val="32"/>
          <w:szCs w:val="24"/>
          <w:highlight w:val="none"/>
          <w:lang w:val="en-US" w:eastAsia="zh-CN" w:bidi="ar-SA"/>
        </w:rPr>
        <w:t>乡</w:t>
      </w:r>
      <w:r>
        <w:rPr>
          <w:rFonts w:ascii="Calibri" w:hAnsi="Calibri" w:eastAsia="楷体_GB2312" w:cs="Times New Roman"/>
          <w:b/>
          <w:color w:val="auto"/>
          <w:kern w:val="2"/>
          <w:sz w:val="32"/>
          <w:szCs w:val="24"/>
          <w:highlight w:val="none"/>
          <w:lang w:val="en-US" w:eastAsia="zh-CN" w:bidi="ar-SA"/>
        </w:rPr>
        <w:t>风貌格局</w:t>
      </w:r>
    </w:p>
    <w:p w14:paraId="24DB57C0">
      <w:pPr>
        <w:ind w:firstLine="640" w:firstLineChars="200"/>
        <w:rPr>
          <w:rFonts w:ascii="Times New Roman" w:hAnsi="Times New Roman" w:cs="Times New Roman"/>
          <w:color w:val="auto"/>
          <w:szCs w:val="32"/>
          <w:highlight w:val="none"/>
        </w:rPr>
      </w:pPr>
      <w:bookmarkStart w:id="197" w:name="_Hlk175297092"/>
      <w:r>
        <w:rPr>
          <w:rFonts w:ascii="Times New Roman" w:hAnsi="Times New Roman" w:cs="Times New Roman"/>
          <w:color w:val="auto"/>
          <w:szCs w:val="32"/>
          <w:highlight w:val="none"/>
        </w:rPr>
        <w:t>以山水林田等自然资源为本底，结合地形地貌及用地空间形态，整体形成“一轴、三区”的北国田园景观风貌。</w:t>
      </w:r>
    </w:p>
    <w:p w14:paraId="51EC9A2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“一轴”：丰收</w:t>
      </w:r>
      <w:r>
        <w:rPr>
          <w:rFonts w:ascii="Times New Roman" w:hAnsi="Times New Roman" w:cs="Times New Roman"/>
          <w:color w:val="auto"/>
          <w:szCs w:val="32"/>
          <w:highlight w:val="none"/>
          <w:shd w:val="clear" w:color="auto" w:fill="FFFFFF"/>
        </w:rPr>
        <w:t>沟</w:t>
      </w:r>
      <w:r>
        <w:rPr>
          <w:rFonts w:ascii="Times New Roman" w:hAnsi="Times New Roman" w:cs="Times New Roman"/>
          <w:color w:val="auto"/>
          <w:szCs w:val="32"/>
          <w:highlight w:val="none"/>
        </w:rPr>
        <w:t>生态景观廊道。</w:t>
      </w:r>
    </w:p>
    <w:p w14:paraId="33CD53BB">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“三区”：全域划分为北部大地景观风貌区、中部平原城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风貌区和南部田园生活风貌区，三大风貌分区。</w:t>
      </w:r>
    </w:p>
    <w:p w14:paraId="22EE62A7">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北部大地景观风貌区：依托</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村丰富的耕地空间，发展现代农业，展现</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村田园风光。</w:t>
      </w:r>
    </w:p>
    <w:p w14:paraId="0BCE968F">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中部平原城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风貌区：中部平原城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风貌区：提升</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政府驻地整体环境，展示传统地域风貌特征的精品小</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w:t>
      </w:r>
    </w:p>
    <w:p w14:paraId="47A15E3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南部田园生活风貌区：依托南部村庄密集和便利的交通条件，主要发展休闲产业。结合</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村特色，整治</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村风貌，展现美好</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村图景</w:t>
      </w:r>
      <w:bookmarkEnd w:id="197"/>
      <w:r>
        <w:rPr>
          <w:rFonts w:ascii="Times New Roman" w:hAnsi="Times New Roman" w:cs="Times New Roman"/>
          <w:color w:val="auto"/>
          <w:szCs w:val="32"/>
          <w:highlight w:val="none"/>
        </w:rPr>
        <w:t>。</w:t>
      </w:r>
    </w:p>
    <w:p w14:paraId="53E9682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hint="eastAsia" w:ascii="Calibri" w:hAnsi="Calibri" w:eastAsia="楷体_GB2312" w:cs="Times New Roman"/>
          <w:b/>
          <w:color w:val="auto"/>
          <w:kern w:val="2"/>
          <w:sz w:val="32"/>
          <w:szCs w:val="24"/>
          <w:highlight w:val="none"/>
          <w:lang w:val="en-US" w:eastAsia="zh-CN" w:bidi="ar-SA"/>
        </w:rPr>
        <w:t>乡</w:t>
      </w:r>
      <w:r>
        <w:rPr>
          <w:rFonts w:ascii="Calibri" w:hAnsi="Calibri" w:eastAsia="楷体_GB2312" w:cs="Times New Roman"/>
          <w:b/>
          <w:color w:val="auto"/>
          <w:kern w:val="2"/>
          <w:sz w:val="32"/>
          <w:szCs w:val="24"/>
          <w:highlight w:val="none"/>
          <w:lang w:val="en-US" w:eastAsia="zh-CN" w:bidi="ar-SA"/>
        </w:rPr>
        <w:t>村风貌指引</w:t>
      </w:r>
    </w:p>
    <w:p w14:paraId="786D5710">
      <w:pPr>
        <w:ind w:firstLine="640" w:firstLineChars="200"/>
        <w:rPr>
          <w:rFonts w:ascii="Times New Roman" w:hAnsi="Times New Roman" w:cs="Times New Roman"/>
          <w:color w:val="auto"/>
          <w:szCs w:val="32"/>
          <w:highlight w:val="none"/>
        </w:rPr>
      </w:pPr>
      <w:bookmarkStart w:id="198" w:name="_Hlk175297135"/>
      <w:r>
        <w:rPr>
          <w:rFonts w:ascii="Times New Roman" w:hAnsi="Times New Roman" w:cs="Times New Roman"/>
          <w:color w:val="auto"/>
          <w:szCs w:val="32"/>
          <w:highlight w:val="none"/>
        </w:rPr>
        <w:t>延续具有东北特色的聚落肌理、生态景观和田园风光。构筑生态基底，凸显“北国田园”的原生态自然风貌和</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土景观特色。</w:t>
      </w:r>
    </w:p>
    <w:bookmarkEnd w:id="198"/>
    <w:p w14:paraId="0D971578">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199" w:name="_Hlk175294620"/>
      <w:r>
        <w:rPr>
          <w:rFonts w:hint="eastAsia" w:ascii="Calibri" w:hAnsi="Calibri" w:eastAsia="楷体_GB2312" w:cs="Times New Roman"/>
          <w:b/>
          <w:color w:val="auto"/>
          <w:kern w:val="2"/>
          <w:sz w:val="32"/>
          <w:szCs w:val="24"/>
          <w:highlight w:val="none"/>
          <w:lang w:val="en-US" w:eastAsia="zh-CN" w:bidi="ar-SA"/>
        </w:rPr>
        <w:t>镇</w:t>
      </w:r>
      <w:r>
        <w:rPr>
          <w:rFonts w:ascii="Calibri" w:hAnsi="Calibri" w:eastAsia="楷体_GB2312" w:cs="Times New Roman"/>
          <w:b/>
          <w:color w:val="auto"/>
          <w:kern w:val="2"/>
          <w:sz w:val="32"/>
          <w:szCs w:val="24"/>
          <w:highlight w:val="none"/>
          <w:lang w:val="en-US" w:eastAsia="zh-CN" w:bidi="ar-SA"/>
        </w:rPr>
        <w:t>政府驻地开发强度控制</w:t>
      </w:r>
    </w:p>
    <w:p w14:paraId="15A11662">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苏家店镇镇政府驻地</w:t>
      </w:r>
      <w:r>
        <w:rPr>
          <w:rFonts w:ascii="Times New Roman" w:hAnsi="Times New Roman" w:eastAsia="仿宋_GB2312" w:cs="Times New Roman"/>
          <w:bCs w:val="0"/>
          <w:color w:val="auto"/>
          <w:kern w:val="2"/>
          <w:sz w:val="32"/>
          <w:szCs w:val="32"/>
          <w:highlight w:val="none"/>
          <w:lang w:val="en-US" w:eastAsia="zh-CN" w:bidi="ar-SA"/>
        </w:rPr>
        <w:t>实施分片开发强度管控，划分I级强度区、</w:t>
      </w:r>
      <w:r>
        <w:rPr>
          <w:rFonts w:hint="eastAsia" w:ascii="Times New Roman" w:hAnsi="Times New Roman" w:eastAsia="仿宋_GB2312" w:cs="Times New Roman"/>
          <w:bCs w:val="0"/>
          <w:color w:val="auto"/>
          <w:kern w:val="2"/>
          <w:sz w:val="32"/>
          <w:szCs w:val="32"/>
          <w:highlight w:val="none"/>
          <w:shd w:val="clear" w:color="auto" w:fill="FFFFFF"/>
          <w:lang w:val="en-US" w:eastAsia="zh-CN" w:bidi="ar-SA"/>
        </w:rPr>
        <w:t>Ⅱ级</w:t>
      </w:r>
      <w:r>
        <w:rPr>
          <w:rFonts w:ascii="Times New Roman" w:hAnsi="Times New Roman" w:eastAsia="仿宋_GB2312" w:cs="Times New Roman"/>
          <w:bCs w:val="0"/>
          <w:color w:val="auto"/>
          <w:kern w:val="2"/>
          <w:sz w:val="32"/>
          <w:szCs w:val="32"/>
          <w:highlight w:val="none"/>
          <w:lang w:val="en-US" w:eastAsia="zh-CN" w:bidi="ar-SA"/>
        </w:rPr>
        <w:t>强度区二类分区。对重点地段依据地方性法规和城</w:t>
      </w:r>
      <w:r>
        <w:rPr>
          <w:rFonts w:hint="eastAsia" w:ascii="Times New Roman" w:hAnsi="Times New Roman" w:eastAsia="仿宋_GB2312" w:cs="Times New Roman"/>
          <w:bCs w:val="0"/>
          <w:color w:val="auto"/>
          <w:kern w:val="2"/>
          <w:sz w:val="32"/>
          <w:szCs w:val="32"/>
          <w:highlight w:val="none"/>
          <w:lang w:val="en-US" w:eastAsia="zh-CN" w:bidi="ar-SA"/>
        </w:rPr>
        <w:t>市</w:t>
      </w:r>
      <w:r>
        <w:rPr>
          <w:rFonts w:ascii="Times New Roman" w:hAnsi="Times New Roman" w:eastAsia="仿宋_GB2312" w:cs="Times New Roman"/>
          <w:bCs w:val="0"/>
          <w:color w:val="auto"/>
          <w:kern w:val="2"/>
          <w:sz w:val="32"/>
          <w:szCs w:val="32"/>
          <w:highlight w:val="none"/>
          <w:lang w:val="en-US" w:eastAsia="zh-CN" w:bidi="ar-SA"/>
        </w:rPr>
        <w:t>设计的要求，经论证可适当调整容积率。</w:t>
      </w:r>
    </w:p>
    <w:bookmarkEnd w:id="199"/>
    <w:p w14:paraId="2117B9D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hint="eastAsia" w:ascii="Calibri" w:hAnsi="Calibri" w:eastAsia="楷体_GB2312" w:cs="Times New Roman"/>
          <w:b/>
          <w:color w:val="auto"/>
          <w:kern w:val="2"/>
          <w:sz w:val="32"/>
          <w:szCs w:val="24"/>
          <w:highlight w:val="none"/>
          <w:lang w:val="en-US" w:eastAsia="zh-CN" w:bidi="ar-SA"/>
        </w:rPr>
        <w:t>镇</w:t>
      </w:r>
      <w:r>
        <w:rPr>
          <w:rFonts w:ascii="Calibri" w:hAnsi="Calibri" w:eastAsia="楷体_GB2312" w:cs="Times New Roman"/>
          <w:b/>
          <w:color w:val="auto"/>
          <w:kern w:val="2"/>
          <w:sz w:val="32"/>
          <w:szCs w:val="24"/>
          <w:highlight w:val="none"/>
          <w:lang w:val="en-US" w:eastAsia="zh-CN" w:bidi="ar-SA"/>
        </w:rPr>
        <w:t>政府驻地高度分区</w:t>
      </w:r>
    </w:p>
    <w:p w14:paraId="05AE6289">
      <w:pPr>
        <w:ind w:firstLine="640" w:firstLineChars="200"/>
        <w:jc w:val="left"/>
        <w:rPr>
          <w:rFonts w:ascii="Times New Roman" w:hAnsi="Times New Roman" w:cs="Times New Roman"/>
          <w:color w:val="auto"/>
          <w:szCs w:val="32"/>
          <w:highlight w:val="none"/>
        </w:rPr>
      </w:pPr>
      <w:r>
        <w:rPr>
          <w:rFonts w:ascii="Times New Roman" w:hAnsi="Times New Roman" w:cs="Times New Roman"/>
          <w:color w:val="auto"/>
          <w:szCs w:val="32"/>
          <w:highlight w:val="none"/>
        </w:rPr>
        <w:t>规划结合</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政府驻地现状及用地功能布局，划分为3个高度控制区，即开敞空间区域、低层区域和多层区域。</w:t>
      </w:r>
    </w:p>
    <w:p w14:paraId="4922EA62">
      <w:pPr>
        <w:rPr>
          <w:rFonts w:ascii="Times New Roman" w:hAnsi="Times New Roman" w:cs="Times New Roman"/>
          <w:color w:val="auto"/>
          <w:szCs w:val="36"/>
          <w:highlight w:val="none"/>
        </w:rPr>
      </w:pPr>
      <w:r>
        <w:rPr>
          <w:rFonts w:ascii="Times New Roman" w:hAnsi="Times New Roman" w:cs="Times New Roman"/>
          <w:color w:val="auto"/>
          <w:szCs w:val="36"/>
          <w:highlight w:val="none"/>
        </w:rPr>
        <w:br w:type="page"/>
      </w:r>
    </w:p>
    <w:p w14:paraId="76C44486">
      <w:pPr>
        <w:keepNext/>
        <w:keepLines w:val="0"/>
        <w:widowControl w:val="0"/>
        <w:spacing w:before="340" w:beforeLines="50" w:after="330" w:afterLines="50" w:line="600" w:lineRule="exact"/>
        <w:jc w:val="center"/>
        <w:outlineLvl w:val="0"/>
        <w:rPr>
          <w:rFonts w:ascii="Times New Roman" w:hAnsi="Times New Roman" w:eastAsia="方正小标宋简体" w:cs="Times New Roman"/>
          <w:color w:val="auto"/>
          <w:kern w:val="44"/>
          <w:sz w:val="36"/>
          <w:szCs w:val="24"/>
          <w:highlight w:val="none"/>
          <w:lang w:val="en-US" w:eastAsia="zh-CN" w:bidi="ar-SA"/>
        </w:rPr>
      </w:pPr>
      <w:bookmarkStart w:id="200" w:name="_Toc874"/>
      <w:r>
        <w:rPr>
          <w:rFonts w:ascii="Times New Roman" w:hAnsi="Times New Roman" w:eastAsia="方正小标宋简体" w:cs="Times New Roman"/>
          <w:color w:val="auto"/>
          <w:kern w:val="44"/>
          <w:sz w:val="36"/>
          <w:szCs w:val="24"/>
          <w:highlight w:val="none"/>
          <w:lang w:val="en-US" w:eastAsia="zh-CN" w:bidi="ar-SA"/>
        </w:rPr>
        <w:t>第</w:t>
      </w:r>
      <w:r>
        <w:rPr>
          <w:rFonts w:hint="eastAsia" w:ascii="Times New Roman" w:hAnsi="Times New Roman" w:eastAsia="方正小标宋简体" w:cs="Times New Roman"/>
          <w:color w:val="auto"/>
          <w:kern w:val="44"/>
          <w:sz w:val="36"/>
          <w:szCs w:val="24"/>
          <w:highlight w:val="none"/>
          <w:lang w:val="en-US" w:eastAsia="zh-CN" w:bidi="ar-SA"/>
        </w:rPr>
        <w:t>八</w:t>
      </w:r>
      <w:r>
        <w:rPr>
          <w:rFonts w:ascii="Times New Roman" w:hAnsi="Times New Roman" w:eastAsia="方正小标宋简体" w:cs="Times New Roman"/>
          <w:color w:val="auto"/>
          <w:kern w:val="44"/>
          <w:sz w:val="36"/>
          <w:szCs w:val="24"/>
          <w:highlight w:val="none"/>
          <w:lang w:val="en-US" w:eastAsia="zh-CN" w:bidi="ar-SA"/>
        </w:rPr>
        <w:t>章 生态修复和国土综合整治</w:t>
      </w:r>
      <w:bookmarkEnd w:id="96"/>
      <w:bookmarkEnd w:id="200"/>
    </w:p>
    <w:p w14:paraId="1B79B161">
      <w:pPr>
        <w:keepNext/>
        <w:keepLines/>
        <w:widowControl w:val="0"/>
        <w:spacing w:before="260" w:beforeLines="50" w:after="260" w:afterLines="50" w:line="600" w:lineRule="atLeast"/>
        <w:ind w:left="1002" w:hanging="1001" w:hangingChars="313"/>
        <w:jc w:val="center"/>
        <w:outlineLvl w:val="1"/>
        <w:rPr>
          <w:rFonts w:ascii="Times New Roman" w:hAnsi="Times New Roman" w:eastAsia="黑体" w:cs="Times New Roman"/>
          <w:color w:val="auto"/>
          <w:kern w:val="2"/>
          <w:sz w:val="32"/>
          <w:szCs w:val="24"/>
          <w:highlight w:val="none"/>
          <w:lang w:val="en-US" w:eastAsia="zh-CN" w:bidi="ar-SA"/>
        </w:rPr>
      </w:pPr>
      <w:bookmarkStart w:id="201" w:name="_Toc16885"/>
      <w:bookmarkStart w:id="202" w:name="_Toc22660"/>
      <w:bookmarkStart w:id="203" w:name="_Toc12634"/>
      <w:r>
        <w:rPr>
          <w:rFonts w:ascii="Times New Roman" w:hAnsi="Times New Roman" w:eastAsia="黑体" w:cs="Times New Roman"/>
          <w:color w:val="auto"/>
          <w:kern w:val="2"/>
          <w:sz w:val="32"/>
          <w:szCs w:val="24"/>
          <w:highlight w:val="none"/>
          <w:lang w:val="en-US" w:eastAsia="zh-CN" w:bidi="ar-SA"/>
        </w:rPr>
        <w:t>第一节 推进山水林田</w:t>
      </w:r>
      <w:r>
        <w:rPr>
          <w:rFonts w:hint="eastAsia" w:ascii="Times New Roman" w:hAnsi="Times New Roman" w:eastAsia="黑体" w:cs="Times New Roman"/>
          <w:color w:val="auto"/>
          <w:kern w:val="2"/>
          <w:sz w:val="32"/>
          <w:szCs w:val="24"/>
          <w:highlight w:val="none"/>
          <w:lang w:val="en-US" w:eastAsia="zh-CN" w:bidi="ar-SA"/>
        </w:rPr>
        <w:t>湖</w:t>
      </w:r>
      <w:r>
        <w:rPr>
          <w:rFonts w:ascii="Times New Roman" w:hAnsi="Times New Roman" w:eastAsia="黑体" w:cs="Times New Roman"/>
          <w:color w:val="auto"/>
          <w:kern w:val="2"/>
          <w:sz w:val="32"/>
          <w:szCs w:val="24"/>
          <w:highlight w:val="none"/>
          <w:lang w:val="en-US" w:eastAsia="zh-CN" w:bidi="ar-SA"/>
        </w:rPr>
        <w:t>草系统修复</w:t>
      </w:r>
      <w:bookmarkEnd w:id="201"/>
      <w:bookmarkEnd w:id="202"/>
    </w:p>
    <w:p w14:paraId="195DF823">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生态修复措施</w:t>
      </w:r>
    </w:p>
    <w:p w14:paraId="536CABE3">
      <w:pPr>
        <w:widowControl/>
        <w:ind w:firstLine="640" w:firstLineChars="200"/>
        <w:rPr>
          <w:rFonts w:ascii="Times New Roman" w:hAnsi="Times New Roman" w:cs="Times New Roman"/>
          <w:color w:val="auto"/>
          <w:szCs w:val="32"/>
          <w:highlight w:val="none"/>
        </w:rPr>
      </w:pPr>
      <w:bookmarkStart w:id="204" w:name="_Hlk175297269"/>
      <w:r>
        <w:rPr>
          <w:rFonts w:ascii="Times New Roman" w:hAnsi="Times New Roman" w:cs="Times New Roman"/>
          <w:color w:val="auto"/>
          <w:highlight w:val="none"/>
        </w:rPr>
        <w:t>自然恢复为主，人工恢复为辅。</w:t>
      </w:r>
      <w:r>
        <w:rPr>
          <w:rFonts w:ascii="Times New Roman" w:hAnsi="Times New Roman" w:cs="Times New Roman"/>
          <w:color w:val="auto"/>
          <w:szCs w:val="32"/>
          <w:highlight w:val="none"/>
        </w:rPr>
        <w:t>根据生态系统退化、受损程度和恢</w:t>
      </w:r>
      <w:r>
        <w:rPr>
          <w:rFonts w:hint="eastAsia" w:ascii="Times New Roman" w:hAnsi="Times New Roman" w:cs="Times New Roman"/>
          <w:color w:val="auto"/>
          <w:szCs w:val="32"/>
          <w:highlight w:val="none"/>
        </w:rPr>
        <w:t>复能</w:t>
      </w:r>
      <w:r>
        <w:rPr>
          <w:rFonts w:ascii="Times New Roman" w:hAnsi="Times New Roman" w:cs="Times New Roman"/>
          <w:color w:val="auto"/>
          <w:szCs w:val="32"/>
          <w:highlight w:val="none"/>
        </w:rPr>
        <w:t>力，合理选择保育保护、自然恢复、辅助再生和生态重建等措施，恢复生态系统结构和功能，增强生态系统稳定性和生态供给能力。</w:t>
      </w:r>
    </w:p>
    <w:p w14:paraId="5FB11DC5">
      <w:pPr>
        <w:widowControl/>
        <w:ind w:firstLine="640" w:firstLineChars="200"/>
        <w:rPr>
          <w:rFonts w:ascii="Times New Roman" w:hAnsi="Times New Roman" w:cs="Times New Roman"/>
          <w:color w:val="auto"/>
          <w:szCs w:val="32"/>
          <w:highlight w:val="none"/>
        </w:rPr>
      </w:pPr>
      <w:r>
        <w:rPr>
          <w:rFonts w:ascii="Times New Roman" w:hAnsi="Times New Roman" w:cs="Times New Roman"/>
          <w:color w:val="auto"/>
          <w:highlight w:val="none"/>
        </w:rPr>
        <w:t>生态修复应以预防为主，融入“山水林田</w:t>
      </w:r>
      <w:r>
        <w:rPr>
          <w:rFonts w:hint="eastAsia" w:ascii="Times New Roman" w:hAnsi="Times New Roman" w:cs="Times New Roman"/>
          <w:color w:val="auto"/>
          <w:highlight w:val="none"/>
          <w:lang w:eastAsia="zh-CN"/>
        </w:rPr>
        <w:t>湖</w:t>
      </w:r>
      <w:r>
        <w:rPr>
          <w:rFonts w:ascii="Times New Roman" w:hAnsi="Times New Roman" w:cs="Times New Roman"/>
          <w:color w:val="auto"/>
          <w:highlight w:val="none"/>
        </w:rPr>
        <w:t>草”生命共同体理念。</w:t>
      </w:r>
      <w:r>
        <w:rPr>
          <w:rFonts w:ascii="Times New Roman" w:hAnsi="Times New Roman" w:cs="Times New Roman"/>
          <w:color w:val="auto"/>
          <w:szCs w:val="32"/>
          <w:highlight w:val="none"/>
        </w:rPr>
        <w:t>通过统筹考虑山、水、林、田、</w:t>
      </w:r>
      <w:r>
        <w:rPr>
          <w:rFonts w:hint="eastAsia" w:ascii="Times New Roman" w:hAnsi="Times New Roman" w:cs="Times New Roman"/>
          <w:color w:val="auto"/>
          <w:szCs w:val="32"/>
          <w:highlight w:val="none"/>
          <w:lang w:eastAsia="zh-CN"/>
        </w:rPr>
        <w:t>湖</w:t>
      </w:r>
      <w:r>
        <w:rPr>
          <w:rFonts w:ascii="Times New Roman" w:hAnsi="Times New Roman" w:cs="Times New Roman"/>
          <w:color w:val="auto"/>
          <w:szCs w:val="32"/>
          <w:highlight w:val="none"/>
        </w:rPr>
        <w:t>、草要素以及各类重要生态系统的空间分布规律，识别生态环境脆弱区及生态系统退化区域空间分布，分阶段科学确定生态修复目标。</w:t>
      </w:r>
      <w:bookmarkEnd w:id="204"/>
    </w:p>
    <w:p w14:paraId="1C4E9094">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生态修复规划</w:t>
      </w:r>
    </w:p>
    <w:p w14:paraId="4D733501">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bookmarkStart w:id="205" w:name="_Hlk175297348"/>
      <w:r>
        <w:rPr>
          <w:rFonts w:ascii="Times New Roman" w:hAnsi="Times New Roman" w:eastAsia="仿宋_GB2312" w:cs="Times New Roman"/>
          <w:color w:val="auto"/>
          <w:kern w:val="2"/>
          <w:sz w:val="32"/>
          <w:szCs w:val="32"/>
          <w:highlight w:val="none"/>
          <w:lang w:val="en-US" w:eastAsia="zh-CN" w:bidi="ar-SA"/>
        </w:rPr>
        <w:t>落实</w:t>
      </w:r>
      <w:r>
        <w:rPr>
          <w:rFonts w:hint="eastAsia" w:ascii="Times New Roman" w:hAnsi="Times New Roman" w:eastAsia="仿宋_GB2312" w:cs="Times New Roman"/>
          <w:color w:val="auto"/>
          <w:kern w:val="2"/>
          <w:sz w:val="32"/>
          <w:szCs w:val="32"/>
          <w:highlight w:val="none"/>
          <w:lang w:val="en-US" w:eastAsia="zh-CN" w:bidi="ar-SA"/>
        </w:rPr>
        <w:t>县</w:t>
      </w:r>
      <w:r>
        <w:rPr>
          <w:rFonts w:ascii="Times New Roman" w:hAnsi="Times New Roman" w:eastAsia="仿宋_GB2312" w:cs="Times New Roman"/>
          <w:color w:val="auto"/>
          <w:kern w:val="2"/>
          <w:sz w:val="32"/>
          <w:szCs w:val="32"/>
          <w:highlight w:val="none"/>
          <w:lang w:val="en-US" w:eastAsia="zh-CN" w:bidi="ar-SA"/>
        </w:rPr>
        <w:t>级划定的水土流失治理重点区、水域生态修复重点区、矿山生态修复重点区。</w:t>
      </w:r>
      <w:r>
        <w:rPr>
          <w:rFonts w:ascii="Times New Roman" w:hAnsi="Times New Roman" w:eastAsia="仿宋_GB2312" w:cs="Times New Roman"/>
          <w:color w:val="auto"/>
          <w:kern w:val="2"/>
          <w:sz w:val="32"/>
          <w:szCs w:val="28"/>
          <w:highlight w:val="none"/>
          <w:lang w:val="en-US" w:eastAsia="zh-CN" w:bidi="ar-SA"/>
        </w:rPr>
        <w:t>依托山水林田</w:t>
      </w:r>
      <w:r>
        <w:rPr>
          <w:rFonts w:hint="eastAsia" w:ascii="Times New Roman" w:hAnsi="Times New Roman" w:eastAsia="仿宋_GB2312" w:cs="Times New Roman"/>
          <w:color w:val="auto"/>
          <w:kern w:val="2"/>
          <w:sz w:val="32"/>
          <w:szCs w:val="28"/>
          <w:highlight w:val="none"/>
          <w:lang w:val="en-US" w:eastAsia="zh-CN" w:bidi="ar-SA"/>
        </w:rPr>
        <w:t>湖</w:t>
      </w:r>
      <w:r>
        <w:rPr>
          <w:rFonts w:ascii="Times New Roman" w:hAnsi="Times New Roman" w:eastAsia="仿宋_GB2312" w:cs="Times New Roman"/>
          <w:color w:val="auto"/>
          <w:kern w:val="2"/>
          <w:sz w:val="32"/>
          <w:szCs w:val="28"/>
          <w:highlight w:val="none"/>
          <w:lang w:val="en-US" w:eastAsia="zh-CN" w:bidi="ar-SA"/>
        </w:rPr>
        <w:t>草系统修复等项目，提升林草等生态系统，实现生态服务功能显著提高。</w:t>
      </w:r>
    </w:p>
    <w:bookmarkEnd w:id="205"/>
    <w:p w14:paraId="770575C3">
      <w:pPr>
        <w:keepNext/>
        <w:keepLines/>
        <w:widowControl w:val="0"/>
        <w:spacing w:before="260" w:beforeLines="50" w:after="260" w:afterLines="50" w:line="600" w:lineRule="atLeast"/>
        <w:ind w:left="1002" w:hanging="1001" w:hangingChars="313"/>
        <w:jc w:val="center"/>
        <w:outlineLvl w:val="1"/>
        <w:rPr>
          <w:rFonts w:ascii="Times New Roman" w:hAnsi="Times New Roman" w:eastAsia="黑体" w:cs="Times New Roman"/>
          <w:color w:val="auto"/>
          <w:kern w:val="2"/>
          <w:sz w:val="32"/>
          <w:szCs w:val="24"/>
          <w:highlight w:val="none"/>
          <w:lang w:val="en-US" w:eastAsia="zh-CN" w:bidi="ar-SA"/>
        </w:rPr>
      </w:pPr>
      <w:bookmarkStart w:id="206" w:name="_Toc4486"/>
      <w:r>
        <w:rPr>
          <w:rFonts w:ascii="Times New Roman" w:hAnsi="Times New Roman" w:eastAsia="黑体" w:cs="Times New Roman"/>
          <w:color w:val="auto"/>
          <w:kern w:val="2"/>
          <w:sz w:val="32"/>
          <w:szCs w:val="24"/>
          <w:highlight w:val="none"/>
          <w:lang w:val="en-US" w:eastAsia="zh-CN" w:bidi="ar-SA"/>
        </w:rPr>
        <w:t>第二节</w:t>
      </w:r>
      <w:bookmarkEnd w:id="203"/>
      <w:r>
        <w:rPr>
          <w:rFonts w:hint="eastAsia" w:ascii="Times New Roman" w:hAnsi="Times New Roman" w:eastAsia="黑体" w:cs="Times New Roman"/>
          <w:color w:val="auto"/>
          <w:kern w:val="2"/>
          <w:sz w:val="32"/>
          <w:szCs w:val="24"/>
          <w:highlight w:val="none"/>
          <w:lang w:val="en-US" w:eastAsia="zh-CN" w:bidi="ar-SA"/>
        </w:rPr>
        <w:t xml:space="preserve"> 全域土地综合整治</w:t>
      </w:r>
      <w:bookmarkEnd w:id="206"/>
    </w:p>
    <w:p w14:paraId="1940901B">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hint="eastAsia" w:ascii="Calibri" w:hAnsi="Calibri" w:eastAsia="楷体_GB2312" w:cs="Times New Roman"/>
          <w:b/>
          <w:color w:val="auto"/>
          <w:kern w:val="2"/>
          <w:sz w:val="32"/>
          <w:szCs w:val="24"/>
          <w:highlight w:val="none"/>
          <w:lang w:val="en-US" w:eastAsia="zh-CN" w:bidi="ar-SA"/>
        </w:rPr>
        <w:t>公共服务设施用地管控</w:t>
      </w:r>
    </w:p>
    <w:p w14:paraId="14BFB068">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公共管理与公共服务设施</w:t>
      </w:r>
      <w:r>
        <w:rPr>
          <w:rFonts w:hint="eastAsia" w:ascii="Times New Roman" w:hAnsi="Times New Roman" w:eastAsia="仿宋_GB2312" w:cs="Times New Roman"/>
          <w:bCs w:val="0"/>
          <w:color w:val="auto"/>
          <w:kern w:val="2"/>
          <w:sz w:val="32"/>
          <w:szCs w:val="32"/>
          <w:highlight w:val="none"/>
          <w:lang w:val="en-US" w:eastAsia="zh-CN" w:bidi="ar-SA"/>
        </w:rPr>
        <w:t>用地布局</w:t>
      </w:r>
      <w:r>
        <w:rPr>
          <w:rFonts w:hint="eastAsia" w:ascii="Times New Roman" w:hAnsi="Times New Roman" w:cs="Times New Roman"/>
          <w:bCs w:val="0"/>
          <w:color w:val="auto"/>
          <w:kern w:val="2"/>
          <w:sz w:val="32"/>
          <w:szCs w:val="32"/>
          <w:highlight w:val="none"/>
          <w:lang w:val="en-US" w:eastAsia="zh-CN" w:bidi="ar-SA"/>
        </w:rPr>
        <w:t>，</w:t>
      </w:r>
      <w:r>
        <w:rPr>
          <w:rFonts w:hint="eastAsia" w:ascii="Times New Roman" w:hAnsi="Times New Roman" w:eastAsia="仿宋_GB2312" w:cs="Times New Roman"/>
          <w:bCs w:val="0"/>
          <w:color w:val="auto"/>
          <w:kern w:val="2"/>
          <w:sz w:val="32"/>
          <w:szCs w:val="32"/>
          <w:highlight w:val="none"/>
          <w:lang w:val="en-US" w:eastAsia="zh-CN" w:bidi="ar-SA"/>
        </w:rPr>
        <w:t>包括机关团体用地、科研用地、文化用地、教育用地、体育用地、医疗卫生用地、社会福利用地等，</w:t>
      </w:r>
      <w:r>
        <w:rPr>
          <w:rFonts w:ascii="Times New Roman" w:hAnsi="Times New Roman" w:eastAsia="仿宋_GB2312" w:cs="Times New Roman"/>
          <w:bCs w:val="0"/>
          <w:color w:val="auto"/>
          <w:kern w:val="2"/>
          <w:sz w:val="32"/>
          <w:szCs w:val="32"/>
          <w:highlight w:val="none"/>
          <w:lang w:val="en-US" w:eastAsia="zh-CN" w:bidi="ar-SA"/>
        </w:rPr>
        <w:t>主要用于村委会、文化活动室、养老服务、便民服务等设施建设</w:t>
      </w:r>
      <w:r>
        <w:rPr>
          <w:rFonts w:hint="eastAsia" w:ascii="Times New Roman" w:hAnsi="Times New Roman" w:eastAsia="仿宋_GB2312" w:cs="Times New Roman"/>
          <w:bCs w:val="0"/>
          <w:color w:val="auto"/>
          <w:kern w:val="2"/>
          <w:sz w:val="32"/>
          <w:szCs w:val="32"/>
          <w:highlight w:val="none"/>
          <w:lang w:val="en-US" w:eastAsia="zh-CN" w:bidi="ar-SA"/>
        </w:rPr>
        <w:t>。</w:t>
      </w:r>
    </w:p>
    <w:p w14:paraId="7F83B8C7">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鼓励</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村公共服务设施</w:t>
      </w:r>
      <w:r>
        <w:rPr>
          <w:rFonts w:hint="eastAsia" w:ascii="Times New Roman" w:hAnsi="Times New Roman" w:eastAsia="仿宋_GB2312" w:cs="Times New Roman"/>
          <w:bCs w:val="0"/>
          <w:color w:val="auto"/>
          <w:kern w:val="2"/>
          <w:sz w:val="32"/>
          <w:szCs w:val="32"/>
          <w:highlight w:val="none"/>
          <w:lang w:val="en-US" w:eastAsia="zh-CN" w:bidi="ar-SA"/>
        </w:rPr>
        <w:t>宜</w:t>
      </w:r>
      <w:r>
        <w:rPr>
          <w:rFonts w:ascii="Times New Roman" w:hAnsi="Times New Roman" w:eastAsia="仿宋_GB2312" w:cs="Times New Roman"/>
          <w:bCs w:val="0"/>
          <w:color w:val="auto"/>
          <w:kern w:val="2"/>
          <w:sz w:val="32"/>
          <w:szCs w:val="32"/>
          <w:highlight w:val="none"/>
          <w:lang w:val="en-US" w:eastAsia="zh-CN" w:bidi="ar-SA"/>
        </w:rPr>
        <w:t>充分利用现有空间，综合行政管理、治理服务、医疗卫生、文化体育等功能复合设置，选址宜布置在位置适中、内外联系方便的地段，方便村民使用。</w:t>
      </w:r>
    </w:p>
    <w:p w14:paraId="5E815EF5">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对空间区位有特殊要求、确需在村庄建设边界外选址的零星项目，在符合本规划“三区三线”等管控要求和耕地保护等政策的基础上，可使用规划“留白”机动指标。因地制宜、节约集约开发建设，实施点状布局、点状供地。</w:t>
      </w:r>
    </w:p>
    <w:p w14:paraId="6DA4F9E7">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风貌指引</w:t>
      </w:r>
      <w:r>
        <w:rPr>
          <w:rFonts w:hint="eastAsia" w:ascii="Times New Roman" w:hAnsi="Times New Roman" w:cs="Times New Roman"/>
          <w:bCs w:val="0"/>
          <w:color w:val="auto"/>
          <w:kern w:val="2"/>
          <w:sz w:val="32"/>
          <w:szCs w:val="32"/>
          <w:highlight w:val="none"/>
          <w:lang w:val="en-US" w:eastAsia="zh-CN" w:bidi="ar-SA"/>
        </w:rPr>
        <w:t>：</w:t>
      </w:r>
      <w:r>
        <w:rPr>
          <w:rFonts w:hint="eastAsia" w:ascii="Times New Roman" w:hAnsi="Times New Roman" w:eastAsia="仿宋_GB2312" w:cs="Times New Roman"/>
          <w:bCs w:val="0"/>
          <w:color w:val="auto"/>
          <w:kern w:val="2"/>
          <w:sz w:val="32"/>
          <w:szCs w:val="32"/>
          <w:highlight w:val="none"/>
          <w:lang w:val="en-US" w:eastAsia="zh-CN" w:bidi="ar-SA"/>
        </w:rPr>
        <w:t>推荐办公建筑以白色、灰色为主色调，强调庄重沉稳的氛围感。其他</w:t>
      </w:r>
      <w:r>
        <w:rPr>
          <w:rFonts w:ascii="Times New Roman" w:hAnsi="Times New Roman" w:eastAsia="仿宋_GB2312" w:cs="Times New Roman"/>
          <w:bCs w:val="0"/>
          <w:color w:val="auto"/>
          <w:kern w:val="2"/>
          <w:sz w:val="32"/>
          <w:szCs w:val="32"/>
          <w:highlight w:val="none"/>
          <w:lang w:val="en-US" w:eastAsia="zh-CN" w:bidi="ar-SA"/>
        </w:rPr>
        <w:t>村庄公共建筑</w:t>
      </w:r>
      <w:r>
        <w:rPr>
          <w:rFonts w:hint="eastAsia" w:ascii="Times New Roman" w:hAnsi="Times New Roman" w:eastAsia="仿宋_GB2312" w:cs="Times New Roman"/>
          <w:bCs w:val="0"/>
          <w:color w:val="auto"/>
          <w:kern w:val="2"/>
          <w:sz w:val="32"/>
          <w:szCs w:val="32"/>
          <w:highlight w:val="none"/>
          <w:lang w:val="en-US" w:eastAsia="zh-CN" w:bidi="ar-SA"/>
        </w:rPr>
        <w:t xml:space="preserve">风格、色彩、材质宜符合功能特性，并与周边环境的融合，符合村庄整体风貌管控要求。 </w:t>
      </w:r>
    </w:p>
    <w:p w14:paraId="3881A8B7">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确定农用地综合整治目标</w:t>
      </w:r>
    </w:p>
    <w:p w14:paraId="197241C8">
      <w:pPr>
        <w:ind w:firstLine="640" w:firstLineChars="200"/>
        <w:rPr>
          <w:rFonts w:ascii="Times New Roman" w:hAnsi="Times New Roman" w:cs="Times New Roman"/>
          <w:color w:val="auto"/>
          <w:szCs w:val="32"/>
          <w:highlight w:val="none"/>
        </w:rPr>
      </w:pPr>
      <w:bookmarkStart w:id="207" w:name="_Hlk175297427"/>
      <w:r>
        <w:rPr>
          <w:rFonts w:ascii="Times New Roman" w:hAnsi="Times New Roman" w:eastAsia="楷体_GB2312" w:cs="Times New Roman"/>
          <w:color w:val="auto"/>
          <w:highlight w:val="none"/>
        </w:rPr>
        <w:t>以保证粮食安全为重点目标。</w:t>
      </w:r>
      <w:r>
        <w:rPr>
          <w:rFonts w:ascii="Times New Roman" w:hAnsi="Times New Roman" w:cs="Times New Roman"/>
          <w:color w:val="auto"/>
          <w:szCs w:val="32"/>
          <w:highlight w:val="none"/>
        </w:rPr>
        <w:t>一是采用合理工程措施调整土地利用的结构，增加耕地的数量，如耕地后备资源的开发等。二是通过实施旱改水措施、建设高标准农田等措施来提高耕地质量。</w:t>
      </w:r>
    </w:p>
    <w:p w14:paraId="70ED3774">
      <w:pPr>
        <w:widowControl w:val="0"/>
        <w:spacing w:line="600" w:lineRule="exact"/>
        <w:ind w:firstLine="640" w:firstLineChars="200"/>
        <w:jc w:val="both"/>
        <w:rPr>
          <w:rFonts w:ascii="Times New Roman" w:hAnsi="Times New Roman" w:eastAsia="仿宋_GB2312" w:cs="Times New Roman"/>
          <w:color w:val="auto"/>
          <w:kern w:val="2"/>
          <w:sz w:val="32"/>
          <w:szCs w:val="32"/>
          <w:highlight w:val="none"/>
          <w:lang w:val="en-US" w:eastAsia="zh-CN" w:bidi="ar-SA"/>
        </w:rPr>
      </w:pPr>
      <w:r>
        <w:rPr>
          <w:rFonts w:ascii="Times New Roman" w:hAnsi="Times New Roman" w:eastAsia="仿宋_GB2312" w:cs="Times New Roman"/>
          <w:color w:val="auto"/>
          <w:kern w:val="2"/>
          <w:sz w:val="32"/>
          <w:szCs w:val="24"/>
          <w:highlight w:val="none"/>
          <w:lang w:val="en-US" w:eastAsia="zh-CN" w:bidi="ar-SA"/>
        </w:rPr>
        <w:t>以耕地保有量、永久基本农田规模、高标准农田建设规模作为农用地综合整治的重要约束性指标。</w:t>
      </w:r>
      <w:r>
        <w:rPr>
          <w:rFonts w:ascii="Times New Roman" w:hAnsi="Times New Roman" w:eastAsia="仿宋_GB2312" w:cs="Times New Roman"/>
          <w:color w:val="auto"/>
          <w:kern w:val="2"/>
          <w:sz w:val="32"/>
          <w:szCs w:val="32"/>
          <w:highlight w:val="none"/>
          <w:lang w:val="en-US" w:eastAsia="zh-CN" w:bidi="ar-SA"/>
        </w:rPr>
        <w:t>耕地质量提高程度、补偿耕地总量作为立项基础。突出永久基本农田保护的“底线”和对“藏粮于地，高标准建设、高标准管护、高标准利用”要求的落实。</w:t>
      </w:r>
    </w:p>
    <w:bookmarkEnd w:id="207"/>
    <w:p w14:paraId="13606981">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农用地综合整治规划</w:t>
      </w:r>
    </w:p>
    <w:p w14:paraId="2E96E1D0">
      <w:pPr>
        <w:ind w:firstLine="640" w:firstLineChars="200"/>
        <w:rPr>
          <w:rFonts w:ascii="Times New Roman" w:hAnsi="Times New Roman" w:cs="Times New Roman"/>
          <w:color w:val="auto"/>
          <w:szCs w:val="32"/>
          <w:highlight w:val="none"/>
        </w:rPr>
      </w:pPr>
      <w:bookmarkStart w:id="208" w:name="_Hlk175297529"/>
      <w:r>
        <w:rPr>
          <w:rFonts w:ascii="Times New Roman" w:hAnsi="Times New Roman" w:cs="Times New Roman"/>
          <w:color w:val="auto"/>
          <w:szCs w:val="32"/>
          <w:highlight w:val="none"/>
        </w:rPr>
        <w:t>寻找耕地量、质双向提高的突破点，寻找适宜的农用地综合整治重点区域，优化区域整治发展布局安排。</w:t>
      </w:r>
    </w:p>
    <w:p w14:paraId="701D56A2">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加强高标准基本农田建设，夯实农田基础设施。通过田、水、路、林、村的综合整治，开展国土综合整治项目、高标准农田建设项目等，做好耕地保护与质量提升。</w:t>
      </w:r>
    </w:p>
    <w:p w14:paraId="76E73283">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推进农用地整理，增加有效耕地面积，适度开发宜耕后备资源，增强粮食安全保障能力。</w:t>
      </w:r>
    </w:p>
    <w:bookmarkEnd w:id="208"/>
    <w:p w14:paraId="5646063F">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确定建设用地整治目标</w:t>
      </w:r>
    </w:p>
    <w:p w14:paraId="5EB4F2EA">
      <w:pPr>
        <w:ind w:firstLine="640" w:firstLineChars="200"/>
        <w:rPr>
          <w:rFonts w:ascii="Times New Roman" w:hAnsi="Times New Roman" w:cs="Times New Roman"/>
          <w:color w:val="auto"/>
          <w:szCs w:val="32"/>
          <w:highlight w:val="none"/>
        </w:rPr>
      </w:pPr>
      <w:bookmarkStart w:id="209" w:name="_Hlk175297675"/>
      <w:r>
        <w:rPr>
          <w:rFonts w:ascii="Times New Roman" w:hAnsi="Times New Roman" w:cs="Times New Roman"/>
          <w:color w:val="auto"/>
          <w:highlight w:val="none"/>
        </w:rPr>
        <w:t>农村建设用地整治以提升农村人居环境、改善生活品质为目标，优化村庄布局，扎实推进社会主义新农村建设。</w:t>
      </w:r>
      <w:r>
        <w:rPr>
          <w:rFonts w:ascii="Times New Roman" w:hAnsi="Times New Roman" w:cs="Times New Roman"/>
          <w:color w:val="auto"/>
          <w:szCs w:val="32"/>
          <w:highlight w:val="none"/>
        </w:rPr>
        <w:t>重视村庄绿化整治，改善农村居住环境，加强道路的绿化建设，有效提高生态用地规模；重点改善村居环境和耕地碎片化状态，实施田水路林村全域土地综合整治，整</w:t>
      </w:r>
      <w:r>
        <w:rPr>
          <w:rFonts w:hint="eastAsia" w:ascii="Times New Roman" w:hAnsi="Times New Roman" w:cs="Times New Roman"/>
          <w:color w:val="auto"/>
          <w:szCs w:val="32"/>
          <w:highlight w:val="none"/>
        </w:rPr>
        <w:t>治和</w:t>
      </w:r>
      <w:r>
        <w:rPr>
          <w:rFonts w:ascii="Times New Roman" w:hAnsi="Times New Roman" w:cs="Times New Roman"/>
          <w:color w:val="auto"/>
          <w:szCs w:val="32"/>
          <w:highlight w:val="none"/>
        </w:rPr>
        <w:t>提升各类低效用地效率，保护自然人文景观；人居环境整治</w:t>
      </w:r>
      <w:r>
        <w:rPr>
          <w:rFonts w:hint="eastAsia" w:ascii="Times New Roman" w:hAnsi="Times New Roman" w:cs="Times New Roman"/>
          <w:color w:val="auto"/>
          <w:szCs w:val="32"/>
          <w:highlight w:val="none"/>
        </w:rPr>
        <w:t>以及</w:t>
      </w:r>
      <w:r>
        <w:rPr>
          <w:rFonts w:ascii="Times New Roman" w:hAnsi="Times New Roman" w:cs="Times New Roman"/>
          <w:color w:val="auto"/>
          <w:szCs w:val="32"/>
          <w:highlight w:val="none"/>
        </w:rPr>
        <w:t>排水、环卫等设施规划建设及村庄治危拆违等，推进美丽宜居</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村建设。</w:t>
      </w:r>
    </w:p>
    <w:p w14:paraId="4AB66B2B">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化区域建设用地整治以节约集约用地为原则。</w:t>
      </w:r>
      <w:r>
        <w:rPr>
          <w:rFonts w:ascii="Times New Roman" w:hAnsi="Times New Roman" w:cs="Times New Roman"/>
          <w:color w:val="auto"/>
          <w:szCs w:val="32"/>
          <w:highlight w:val="none"/>
        </w:rPr>
        <w:t>以城</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结构优化、功能完善为目标。提升人居环境、公共管理与公共服务设施配套等，整合用地资源，提升土地利用率。定期实施城</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建设存量更新，明确重点区域、重点工程及项目。重点考虑盘活城</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闲散土地、低效城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工业用地、老旧小区和城中村等存量低效用地</w:t>
      </w:r>
      <w:bookmarkEnd w:id="209"/>
      <w:r>
        <w:rPr>
          <w:rFonts w:ascii="Times New Roman" w:hAnsi="Times New Roman" w:cs="Times New Roman"/>
          <w:color w:val="auto"/>
          <w:szCs w:val="32"/>
          <w:highlight w:val="none"/>
        </w:rPr>
        <w:t>。</w:t>
      </w:r>
    </w:p>
    <w:p w14:paraId="68698630">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建设用地整治规划</w:t>
      </w:r>
    </w:p>
    <w:p w14:paraId="5FA74CC0">
      <w:pPr>
        <w:widowControl/>
        <w:ind w:firstLine="640" w:firstLineChars="200"/>
        <w:rPr>
          <w:rFonts w:ascii="Times New Roman" w:hAnsi="Times New Roman" w:eastAsia="楷体" w:cs="Times New Roman"/>
          <w:color w:val="auto"/>
          <w:highlight w:val="none"/>
        </w:rPr>
      </w:pPr>
      <w:r>
        <w:rPr>
          <w:rFonts w:ascii="Times New Roman" w:hAnsi="Times New Roman" w:eastAsia="楷体" w:cs="Times New Roman"/>
          <w:color w:val="auto"/>
          <w:highlight w:val="none"/>
        </w:rPr>
        <w:t>1.</w:t>
      </w:r>
      <w:r>
        <w:rPr>
          <w:rFonts w:ascii="Times New Roman" w:hAnsi="Times New Roman" w:cs="Times New Roman"/>
          <w:color w:val="auto"/>
          <w:highlight w:val="none"/>
        </w:rPr>
        <w:t>加快推进农村人居环境整治</w:t>
      </w:r>
    </w:p>
    <w:p w14:paraId="2BB59A11">
      <w:pPr>
        <w:ind w:firstLine="640" w:firstLineChars="200"/>
        <w:rPr>
          <w:rFonts w:ascii="Times New Roman" w:hAnsi="Times New Roman" w:cs="Times New Roman"/>
          <w:color w:val="auto"/>
          <w:szCs w:val="32"/>
          <w:highlight w:val="none"/>
        </w:rPr>
      </w:pPr>
      <w:bookmarkStart w:id="210" w:name="_Hlk175297722"/>
      <w:r>
        <w:rPr>
          <w:rFonts w:ascii="Times New Roman" w:hAnsi="Times New Roman" w:cs="Times New Roman"/>
          <w:color w:val="auto"/>
          <w:szCs w:val="32"/>
          <w:highlight w:val="none"/>
        </w:rPr>
        <w:t>推进美丽</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建设，力争到2025年，70%以上村庄达到美丽宜居村标准。全域推进干净整洁村建设。力争到2035年，全部村庄达到干净整洁村标准。推进厕所革命，建立健全无害化卫生厕所长效管护机制。开展违法用地和违法建设整治行动，基本化解农村历史遗留问题。推进农村生活垃圾处理，强化生活垃圾收运源头管控，稳步推进生活垃圾强制分类。</w:t>
      </w:r>
    </w:p>
    <w:p w14:paraId="7F87BEE9">
      <w:pPr>
        <w:widowControl/>
        <w:ind w:firstLine="640" w:firstLineChars="200"/>
        <w:rPr>
          <w:rFonts w:ascii="Times New Roman" w:hAnsi="Times New Roman" w:eastAsia="楷体" w:cs="Times New Roman"/>
          <w:color w:val="auto"/>
          <w:highlight w:val="none"/>
        </w:rPr>
      </w:pPr>
      <w:r>
        <w:rPr>
          <w:rFonts w:ascii="Times New Roman" w:hAnsi="Times New Roman" w:eastAsia="楷体" w:cs="Times New Roman"/>
          <w:color w:val="auto"/>
          <w:highlight w:val="none"/>
        </w:rPr>
        <w:t>2.</w:t>
      </w:r>
      <w:r>
        <w:rPr>
          <w:rFonts w:ascii="Times New Roman" w:hAnsi="Times New Roman" w:cs="Times New Roman"/>
          <w:color w:val="auto"/>
          <w:highlight w:val="none"/>
        </w:rPr>
        <w:t>推进全域土地综合整治试点</w:t>
      </w:r>
    </w:p>
    <w:p w14:paraId="4C1190B1">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以多个行政村为整治单元，按照“生态优先、保护优先、节约优先”的原则，对农村空心房、空心村及其他低效闲置建设用地、城</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闲散土地、低效城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工业用地等存量低效用地实施土地综合治理。</w:t>
      </w:r>
    </w:p>
    <w:p w14:paraId="0BC5B4D7">
      <w:pPr>
        <w:widowControl/>
        <w:ind w:firstLine="640" w:firstLineChars="200"/>
        <w:rPr>
          <w:rFonts w:ascii="Times New Roman" w:hAnsi="Times New Roman" w:eastAsia="楷体" w:cs="Times New Roman"/>
          <w:color w:val="auto"/>
          <w:highlight w:val="none"/>
        </w:rPr>
      </w:pPr>
      <w:r>
        <w:rPr>
          <w:rFonts w:ascii="Times New Roman" w:hAnsi="Times New Roman" w:eastAsia="楷体" w:cs="Times New Roman"/>
          <w:color w:val="auto"/>
          <w:highlight w:val="none"/>
        </w:rPr>
        <w:t>3.</w:t>
      </w:r>
      <w:r>
        <w:rPr>
          <w:rFonts w:ascii="Times New Roman" w:hAnsi="Times New Roman" w:cs="Times New Roman"/>
          <w:color w:val="auto"/>
          <w:highlight w:val="none"/>
        </w:rPr>
        <w:t>建设用地整治重点工程</w:t>
      </w:r>
    </w:p>
    <w:p w14:paraId="725BE9BD">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在补偿合理的情况下具有开展建设用地增减挂钩项目。有序开展农村宅基地优化整理，充分利用农村</w:t>
      </w:r>
      <w:r>
        <w:rPr>
          <w:rFonts w:hint="eastAsia" w:ascii="Times New Roman" w:hAnsi="Times New Roman" w:cs="Times New Roman"/>
          <w:color w:val="auto"/>
          <w:szCs w:val="32"/>
          <w:highlight w:val="none"/>
        </w:rPr>
        <w:t>闲置</w:t>
      </w:r>
      <w:r>
        <w:rPr>
          <w:rFonts w:ascii="Times New Roman" w:hAnsi="Times New Roman" w:cs="Times New Roman"/>
          <w:color w:val="auto"/>
          <w:szCs w:val="32"/>
          <w:highlight w:val="none"/>
        </w:rPr>
        <w:t>集体经营性建设用地。在村庄建设用地规划范围内，优先将腾退的宅基地等闲散建设用地，集中用于</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村产业发展。</w:t>
      </w:r>
      <w:bookmarkEnd w:id="210"/>
    </w:p>
    <w:p w14:paraId="1264F9D8">
      <w:pPr>
        <w:rPr>
          <w:rFonts w:ascii="Times New Roman" w:hAnsi="Times New Roman" w:cs="Times New Roman"/>
          <w:color w:val="auto"/>
          <w:szCs w:val="32"/>
          <w:highlight w:val="none"/>
        </w:rPr>
      </w:pPr>
      <w:bookmarkStart w:id="211" w:name="_Hlk175297824"/>
      <w:r>
        <w:rPr>
          <w:rFonts w:ascii="Times New Roman" w:hAnsi="Times New Roman" w:cs="Times New Roman"/>
          <w:color w:val="auto"/>
          <w:szCs w:val="32"/>
          <w:highlight w:val="none"/>
        </w:rPr>
        <w:br w:type="page"/>
      </w:r>
    </w:p>
    <w:bookmarkEnd w:id="97"/>
    <w:bookmarkEnd w:id="211"/>
    <w:p w14:paraId="2E784545">
      <w:pPr>
        <w:keepNext/>
        <w:keepLines w:val="0"/>
        <w:widowControl w:val="0"/>
        <w:spacing w:before="340" w:beforeLines="50" w:after="330" w:afterLines="50" w:line="600" w:lineRule="exact"/>
        <w:jc w:val="center"/>
        <w:outlineLvl w:val="0"/>
        <w:rPr>
          <w:rFonts w:ascii="Times New Roman" w:hAnsi="Times New Roman" w:eastAsia="方正小标宋简体" w:cs="Times New Roman"/>
          <w:color w:val="auto"/>
          <w:kern w:val="44"/>
          <w:sz w:val="36"/>
          <w:szCs w:val="24"/>
          <w:highlight w:val="none"/>
          <w:lang w:val="en-US" w:eastAsia="zh-CN" w:bidi="ar-SA"/>
        </w:rPr>
      </w:pPr>
      <w:bookmarkStart w:id="212" w:name="_Toc5344"/>
      <w:bookmarkStart w:id="213" w:name="_Toc22140"/>
      <w:r>
        <w:rPr>
          <w:rFonts w:ascii="Times New Roman" w:hAnsi="Times New Roman" w:eastAsia="方正小标宋简体" w:cs="Times New Roman"/>
          <w:color w:val="auto"/>
          <w:kern w:val="44"/>
          <w:sz w:val="36"/>
          <w:szCs w:val="24"/>
          <w:highlight w:val="none"/>
          <w:lang w:val="en-US" w:eastAsia="zh-CN" w:bidi="ar-SA"/>
        </w:rPr>
        <w:t>第</w:t>
      </w:r>
      <w:r>
        <w:rPr>
          <w:rFonts w:hint="eastAsia" w:ascii="Times New Roman" w:hAnsi="Times New Roman" w:eastAsia="方正小标宋简体" w:cs="Times New Roman"/>
          <w:color w:val="auto"/>
          <w:kern w:val="44"/>
          <w:sz w:val="36"/>
          <w:szCs w:val="24"/>
          <w:highlight w:val="none"/>
          <w:lang w:val="en-US" w:eastAsia="zh-CN" w:bidi="ar-SA"/>
        </w:rPr>
        <w:t>九</w:t>
      </w:r>
      <w:r>
        <w:rPr>
          <w:rFonts w:ascii="Times New Roman" w:hAnsi="Times New Roman" w:eastAsia="方正小标宋简体" w:cs="Times New Roman"/>
          <w:color w:val="auto"/>
          <w:kern w:val="44"/>
          <w:sz w:val="36"/>
          <w:szCs w:val="24"/>
          <w:highlight w:val="none"/>
          <w:lang w:val="en-US" w:eastAsia="zh-CN" w:bidi="ar-SA"/>
        </w:rPr>
        <w:t>章 规划传导与</w:t>
      </w:r>
      <w:bookmarkEnd w:id="212"/>
      <w:r>
        <w:rPr>
          <w:rFonts w:ascii="Times New Roman" w:hAnsi="Times New Roman" w:eastAsia="方正小标宋简体" w:cs="Times New Roman"/>
          <w:color w:val="auto"/>
          <w:kern w:val="44"/>
          <w:sz w:val="36"/>
          <w:szCs w:val="24"/>
          <w:highlight w:val="none"/>
          <w:lang w:val="en-US" w:eastAsia="zh-CN" w:bidi="ar-SA"/>
        </w:rPr>
        <w:t>实施</w:t>
      </w:r>
      <w:bookmarkEnd w:id="213"/>
    </w:p>
    <w:p w14:paraId="4671A8C8">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214" w:name="_Toc11479"/>
      <w:bookmarkStart w:id="215" w:name="_Toc20915"/>
      <w:bookmarkStart w:id="216" w:name="_Toc4982"/>
      <w:r>
        <w:rPr>
          <w:rFonts w:ascii="Times New Roman" w:hAnsi="Times New Roman" w:eastAsia="黑体" w:cs="Times New Roman"/>
          <w:color w:val="auto"/>
          <w:kern w:val="2"/>
          <w:sz w:val="32"/>
          <w:szCs w:val="24"/>
          <w:highlight w:val="none"/>
          <w:lang w:val="en-US" w:eastAsia="zh-CN" w:bidi="ar-SA"/>
        </w:rPr>
        <w:t>第</w:t>
      </w:r>
      <w:r>
        <w:rPr>
          <w:rFonts w:hint="eastAsia" w:ascii="Times New Roman" w:hAnsi="Times New Roman" w:eastAsia="黑体" w:cs="Times New Roman"/>
          <w:color w:val="auto"/>
          <w:kern w:val="2"/>
          <w:sz w:val="32"/>
          <w:szCs w:val="24"/>
          <w:highlight w:val="none"/>
          <w:lang w:val="en-US" w:eastAsia="zh-CN" w:bidi="ar-SA"/>
        </w:rPr>
        <w:t>一</w:t>
      </w:r>
      <w:r>
        <w:rPr>
          <w:rFonts w:ascii="Times New Roman" w:hAnsi="Times New Roman" w:eastAsia="黑体" w:cs="Times New Roman"/>
          <w:color w:val="auto"/>
          <w:kern w:val="2"/>
          <w:sz w:val="32"/>
          <w:szCs w:val="24"/>
          <w:highlight w:val="none"/>
          <w:lang w:val="en-US" w:eastAsia="zh-CN" w:bidi="ar-SA"/>
        </w:rPr>
        <w:t>节 全域规划传导与管控</w:t>
      </w:r>
      <w:bookmarkEnd w:id="214"/>
    </w:p>
    <w:p w14:paraId="6279C7C3">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217" w:name="_Toc8583"/>
      <w:r>
        <w:rPr>
          <w:rFonts w:ascii="Calibri" w:hAnsi="Calibri" w:eastAsia="楷体_GB2312" w:cs="Times New Roman"/>
          <w:b/>
          <w:color w:val="auto"/>
          <w:kern w:val="2"/>
          <w:sz w:val="32"/>
          <w:szCs w:val="24"/>
          <w:highlight w:val="none"/>
          <w:lang w:val="en-US" w:eastAsia="zh-CN" w:bidi="ar-SA"/>
        </w:rPr>
        <w:t>城</w:t>
      </w:r>
      <w:r>
        <w:rPr>
          <w:rFonts w:hint="eastAsia" w:ascii="Calibri" w:hAnsi="Calibri" w:eastAsia="楷体_GB2312" w:cs="Times New Roman"/>
          <w:b/>
          <w:color w:val="auto"/>
          <w:kern w:val="2"/>
          <w:sz w:val="32"/>
          <w:szCs w:val="24"/>
          <w:highlight w:val="none"/>
          <w:lang w:val="en-US" w:eastAsia="zh-CN" w:bidi="ar-SA"/>
        </w:rPr>
        <w:t>镇</w:t>
      </w:r>
      <w:r>
        <w:rPr>
          <w:rFonts w:ascii="Calibri" w:hAnsi="Calibri" w:eastAsia="楷体_GB2312" w:cs="Times New Roman"/>
          <w:b/>
          <w:color w:val="auto"/>
          <w:kern w:val="2"/>
          <w:sz w:val="32"/>
          <w:szCs w:val="24"/>
          <w:highlight w:val="none"/>
          <w:lang w:val="en-US" w:eastAsia="zh-CN" w:bidi="ar-SA"/>
        </w:rPr>
        <w:t>开发边界内管控</w:t>
      </w:r>
      <w:bookmarkEnd w:id="217"/>
    </w:p>
    <w:p w14:paraId="62D81038">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218" w:name="_Hlk175297944"/>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政府驻地城</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开发边界内进一步编制详细规划，结合空间结构和功能分区，</w:t>
      </w:r>
      <w:r>
        <w:rPr>
          <w:rFonts w:ascii="Times New Roman" w:hAnsi="Times New Roman" w:eastAsia="仿宋_GB2312" w:cs="Times New Roman"/>
          <w:bCs w:val="0"/>
          <w:color w:val="auto"/>
          <w:kern w:val="2"/>
          <w:sz w:val="32"/>
          <w:szCs w:val="32"/>
          <w:highlight w:val="none"/>
          <w:shd w:val="clear" w:color="auto" w:fill="FFFFFF"/>
          <w:lang w:val="en-US" w:eastAsia="zh-CN" w:bidi="ar-SA"/>
        </w:rPr>
        <w:t>沿</w:t>
      </w:r>
      <w:r>
        <w:rPr>
          <w:rFonts w:ascii="Times New Roman" w:hAnsi="Times New Roman" w:eastAsia="仿宋_GB2312" w:cs="Times New Roman"/>
          <w:bCs w:val="0"/>
          <w:color w:val="auto"/>
          <w:kern w:val="2"/>
          <w:sz w:val="32"/>
          <w:szCs w:val="32"/>
          <w:highlight w:val="none"/>
          <w:lang w:val="en-US" w:eastAsia="zh-CN" w:bidi="ar-SA"/>
        </w:rPr>
        <w:t>现状</w:t>
      </w:r>
      <w:r>
        <w:rPr>
          <w:rFonts w:hint="eastAsia" w:ascii="Times New Roman" w:hAnsi="Times New Roman" w:eastAsia="仿宋_GB2312" w:cs="Times New Roman"/>
          <w:bCs w:val="0"/>
          <w:color w:val="auto"/>
          <w:kern w:val="2"/>
          <w:sz w:val="32"/>
          <w:szCs w:val="32"/>
          <w:highlight w:val="none"/>
          <w:lang w:val="en-US" w:eastAsia="zh-CN" w:bidi="ar-SA"/>
        </w:rPr>
        <w:t>国道</w:t>
      </w:r>
      <w:r>
        <w:rPr>
          <w:rFonts w:ascii="Times New Roman" w:hAnsi="Times New Roman" w:eastAsia="仿宋_GB2312" w:cs="Times New Roman"/>
          <w:bCs w:val="0"/>
          <w:color w:val="auto"/>
          <w:kern w:val="2"/>
          <w:sz w:val="32"/>
          <w:szCs w:val="32"/>
          <w:highlight w:val="none"/>
          <w:lang w:val="en-US" w:eastAsia="zh-CN" w:bidi="ar-SA"/>
        </w:rPr>
        <w:t>G221，划分北、中、南3个详细规划单元，分别是北部产业单元、中部</w:t>
      </w:r>
      <w:r>
        <w:rPr>
          <w:rFonts w:ascii="Times New Roman" w:hAnsi="Times New Roman" w:eastAsia="仿宋_GB2312" w:cs="Times New Roman"/>
          <w:bCs w:val="0"/>
          <w:color w:val="auto"/>
          <w:kern w:val="2"/>
          <w:sz w:val="32"/>
          <w:szCs w:val="32"/>
          <w:highlight w:val="none"/>
          <w:shd w:val="clear" w:color="auto" w:fill="FFFFFF"/>
          <w:lang w:val="en-US" w:eastAsia="zh-CN" w:bidi="ar-SA"/>
        </w:rPr>
        <w:t>公服</w:t>
      </w:r>
      <w:r>
        <w:rPr>
          <w:rFonts w:ascii="Times New Roman" w:hAnsi="Times New Roman" w:eastAsia="仿宋_GB2312" w:cs="Times New Roman"/>
          <w:bCs w:val="0"/>
          <w:color w:val="auto"/>
          <w:kern w:val="2"/>
          <w:sz w:val="32"/>
          <w:szCs w:val="32"/>
          <w:highlight w:val="none"/>
          <w:lang w:val="en-US" w:eastAsia="zh-CN" w:bidi="ar-SA"/>
        </w:rPr>
        <w:t>单元和南部生活单元。</w:t>
      </w:r>
    </w:p>
    <w:bookmarkEnd w:id="218"/>
    <w:p w14:paraId="1077A715">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bookmarkStart w:id="219" w:name="_Toc29297"/>
      <w:r>
        <w:rPr>
          <w:rFonts w:ascii="Calibri" w:hAnsi="Calibri" w:eastAsia="楷体_GB2312" w:cs="Times New Roman"/>
          <w:b/>
          <w:color w:val="auto"/>
          <w:kern w:val="2"/>
          <w:sz w:val="32"/>
          <w:szCs w:val="24"/>
          <w:highlight w:val="none"/>
          <w:lang w:val="en-US" w:eastAsia="zh-CN" w:bidi="ar-SA"/>
        </w:rPr>
        <w:t>城</w:t>
      </w:r>
      <w:r>
        <w:rPr>
          <w:rFonts w:hint="eastAsia" w:ascii="Calibri" w:hAnsi="Calibri" w:eastAsia="楷体_GB2312" w:cs="Times New Roman"/>
          <w:b/>
          <w:color w:val="auto"/>
          <w:kern w:val="2"/>
          <w:sz w:val="32"/>
          <w:szCs w:val="24"/>
          <w:highlight w:val="none"/>
          <w:lang w:val="en-US" w:eastAsia="zh-CN" w:bidi="ar-SA"/>
        </w:rPr>
        <w:t>镇</w:t>
      </w:r>
      <w:r>
        <w:rPr>
          <w:rFonts w:ascii="Calibri" w:hAnsi="Calibri" w:eastAsia="楷体_GB2312" w:cs="Times New Roman"/>
          <w:b/>
          <w:color w:val="auto"/>
          <w:kern w:val="2"/>
          <w:sz w:val="32"/>
          <w:szCs w:val="24"/>
          <w:highlight w:val="none"/>
          <w:lang w:val="en-US" w:eastAsia="zh-CN" w:bidi="ar-SA"/>
        </w:rPr>
        <w:t>开发边界外管控</w:t>
      </w:r>
      <w:bookmarkEnd w:id="219"/>
    </w:p>
    <w:p w14:paraId="073A336B">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bookmarkStart w:id="220" w:name="_Hlk175298030"/>
      <w:r>
        <w:rPr>
          <w:rFonts w:ascii="Times New Roman" w:hAnsi="Times New Roman" w:eastAsia="仿宋_GB2312" w:cs="Times New Roman"/>
          <w:bCs w:val="0"/>
          <w:color w:val="auto"/>
          <w:kern w:val="2"/>
          <w:sz w:val="32"/>
          <w:szCs w:val="32"/>
          <w:highlight w:val="none"/>
          <w:lang w:val="en-US" w:eastAsia="zh-CN" w:bidi="ar-SA"/>
        </w:rPr>
        <w:t>1.实用型村庄规划</w:t>
      </w:r>
    </w:p>
    <w:p w14:paraId="69C4A975">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按照《黑龙江</w:t>
      </w:r>
      <w:r>
        <w:rPr>
          <w:rFonts w:hint="eastAsia" w:ascii="Times New Roman" w:hAnsi="Times New Roman" w:eastAsia="仿宋_GB2312" w:cs="Times New Roman"/>
          <w:bCs w:val="0"/>
          <w:color w:val="auto"/>
          <w:kern w:val="2"/>
          <w:sz w:val="32"/>
          <w:szCs w:val="32"/>
          <w:highlight w:val="none"/>
          <w:lang w:val="en-US" w:eastAsia="zh-CN" w:bidi="ar-SA"/>
        </w:rPr>
        <w:t>省</w:t>
      </w:r>
      <w:r>
        <w:rPr>
          <w:rFonts w:ascii="Times New Roman" w:hAnsi="Times New Roman" w:eastAsia="仿宋_GB2312" w:cs="Times New Roman"/>
          <w:bCs w:val="0"/>
          <w:color w:val="auto"/>
          <w:kern w:val="2"/>
          <w:sz w:val="32"/>
          <w:szCs w:val="32"/>
          <w:highlight w:val="none"/>
          <w:lang w:val="en-US" w:eastAsia="zh-CN" w:bidi="ar-SA"/>
        </w:rPr>
        <w:t>村庄规划编制指引》，城</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开发边界以内的村庄不再单独编制村庄规划。苏家店</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除</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政府所在地苏家店村外，共10个村庄，分别为自新村、中安村、集贤村、新胜村、朱家村、北山村、八家子村、团结村、兴光村和桦树川村，苏家店</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鼓励村庄规划应编尽编，可以一个或若干个行政村为单位联合编制。</w:t>
      </w:r>
    </w:p>
    <w:bookmarkEnd w:id="220"/>
    <w:p w14:paraId="0350D031">
      <w:pPr>
        <w:widowControl w:val="0"/>
        <w:spacing w:line="600" w:lineRule="exact"/>
        <w:ind w:firstLine="640" w:firstLineChars="200"/>
        <w:jc w:val="left"/>
        <w:rPr>
          <w:rFonts w:ascii="Times New Roman" w:hAnsi="Times New Roman" w:eastAsia="仿宋_GB2312" w:cs="Times New Roman"/>
          <w:bCs w:val="0"/>
          <w:color w:val="auto"/>
          <w:kern w:val="2"/>
          <w:sz w:val="32"/>
          <w:szCs w:val="32"/>
          <w:highlight w:val="none"/>
          <w:lang w:val="en-US" w:eastAsia="zh-CN" w:bidi="ar-SA"/>
        </w:rPr>
      </w:pPr>
      <w:r>
        <w:rPr>
          <w:rFonts w:ascii="Times New Roman" w:hAnsi="Times New Roman" w:eastAsia="仿宋_GB2312" w:cs="Times New Roman"/>
          <w:bCs w:val="0"/>
          <w:color w:val="auto"/>
          <w:kern w:val="2"/>
          <w:sz w:val="32"/>
          <w:szCs w:val="32"/>
          <w:highlight w:val="none"/>
          <w:lang w:val="en-US" w:eastAsia="zh-CN" w:bidi="ar-SA"/>
        </w:rPr>
        <w:t>2.“通则式”规划管理</w:t>
      </w:r>
    </w:p>
    <w:p w14:paraId="36E81A46">
      <w:pPr>
        <w:ind w:firstLine="640"/>
        <w:rPr>
          <w:rFonts w:ascii="Times New Roman" w:hAnsi="Times New Roman" w:cs="Times New Roman"/>
          <w:color w:val="auto"/>
          <w:highlight w:val="none"/>
        </w:rPr>
      </w:pPr>
      <w:r>
        <w:rPr>
          <w:rFonts w:ascii="Times New Roman" w:hAnsi="Times New Roman" w:cs="Times New Roman"/>
          <w:color w:val="auto"/>
          <w:highlight w:val="none"/>
        </w:rPr>
        <w:t>对于没有需求、不具备条件暂不编制规划的村庄，结合本规划确定的“三区三线”、自然灾害风险防控线、历史文化保护线和风貌特色等控制引导要求</w:t>
      </w:r>
      <w:r>
        <w:rPr>
          <w:rFonts w:hint="eastAsia" w:ascii="Times New Roman" w:hAnsi="Times New Roman" w:cs="Times New Roman"/>
          <w:color w:val="auto"/>
          <w:highlight w:val="none"/>
          <w:lang w:eastAsia="zh-CN"/>
        </w:rPr>
        <w:t>，以</w:t>
      </w:r>
      <w:r>
        <w:rPr>
          <w:rFonts w:ascii="Times New Roman" w:hAnsi="Times New Roman" w:cs="Times New Roman"/>
          <w:color w:val="auto"/>
          <w:highlight w:val="none"/>
        </w:rPr>
        <w:t>及下一章相关用途管制规则和建设管控要求，作为</w:t>
      </w:r>
      <w:r>
        <w:rPr>
          <w:rFonts w:hint="eastAsia" w:ascii="Times New Roman" w:hAnsi="Times New Roman" w:cs="Times New Roman"/>
          <w:color w:val="auto"/>
          <w:highlight w:val="none"/>
          <w:lang w:eastAsia="zh-CN"/>
        </w:rPr>
        <w:t>乡</w:t>
      </w:r>
      <w:r>
        <w:rPr>
          <w:rFonts w:ascii="Times New Roman" w:hAnsi="Times New Roman" w:cs="Times New Roman"/>
          <w:color w:val="auto"/>
          <w:highlight w:val="none"/>
        </w:rPr>
        <w:t>村规划建设管理依据，审批核发</w:t>
      </w:r>
      <w:r>
        <w:rPr>
          <w:rFonts w:hint="eastAsia" w:ascii="Times New Roman" w:hAnsi="Times New Roman" w:cs="Times New Roman"/>
          <w:color w:val="auto"/>
          <w:highlight w:val="none"/>
          <w:lang w:eastAsia="zh-CN"/>
        </w:rPr>
        <w:t>乡</w:t>
      </w:r>
      <w:r>
        <w:rPr>
          <w:rFonts w:ascii="Times New Roman" w:hAnsi="Times New Roman" w:cs="Times New Roman"/>
          <w:color w:val="auto"/>
          <w:highlight w:val="none"/>
        </w:rPr>
        <w:t>村建设规划许可。</w:t>
      </w:r>
    </w:p>
    <w:bookmarkEnd w:id="215"/>
    <w:bookmarkEnd w:id="216"/>
    <w:p w14:paraId="056F7D63">
      <w:pPr>
        <w:keepNext/>
        <w:keepLines/>
        <w:widowControl w:val="0"/>
        <w:spacing w:before="260" w:beforeLines="50" w:after="260" w:afterLines="50" w:line="600" w:lineRule="atLeast"/>
        <w:jc w:val="center"/>
        <w:outlineLvl w:val="1"/>
        <w:rPr>
          <w:rFonts w:ascii="Times New Roman" w:hAnsi="Times New Roman" w:eastAsia="黑体" w:cs="Times New Roman"/>
          <w:color w:val="auto"/>
          <w:kern w:val="2"/>
          <w:sz w:val="32"/>
          <w:szCs w:val="24"/>
          <w:highlight w:val="none"/>
          <w:lang w:val="en-US" w:eastAsia="zh-CN" w:bidi="ar-SA"/>
        </w:rPr>
      </w:pPr>
      <w:bookmarkStart w:id="221" w:name="_Toc15909"/>
      <w:bookmarkStart w:id="222" w:name="_Toc6782"/>
      <w:r>
        <w:rPr>
          <w:rFonts w:ascii="Times New Roman" w:hAnsi="Times New Roman" w:eastAsia="黑体" w:cs="Times New Roman"/>
          <w:color w:val="auto"/>
          <w:kern w:val="2"/>
          <w:sz w:val="32"/>
          <w:szCs w:val="24"/>
          <w:highlight w:val="none"/>
          <w:lang w:val="en-US" w:eastAsia="zh-CN" w:bidi="ar-SA"/>
        </w:rPr>
        <w:t>第</w:t>
      </w:r>
      <w:r>
        <w:rPr>
          <w:rFonts w:hint="eastAsia" w:ascii="Times New Roman" w:hAnsi="Times New Roman" w:eastAsia="黑体" w:cs="Times New Roman"/>
          <w:color w:val="auto"/>
          <w:kern w:val="2"/>
          <w:sz w:val="32"/>
          <w:szCs w:val="24"/>
          <w:highlight w:val="none"/>
          <w:lang w:val="en-US" w:eastAsia="zh-CN" w:bidi="ar-SA"/>
        </w:rPr>
        <w:t>二</w:t>
      </w:r>
      <w:r>
        <w:rPr>
          <w:rFonts w:ascii="Times New Roman" w:hAnsi="Times New Roman" w:eastAsia="黑体" w:cs="Times New Roman"/>
          <w:color w:val="auto"/>
          <w:kern w:val="2"/>
          <w:sz w:val="32"/>
          <w:szCs w:val="24"/>
          <w:highlight w:val="none"/>
          <w:lang w:val="en-US" w:eastAsia="zh-CN" w:bidi="ar-SA"/>
        </w:rPr>
        <w:t>节 近期重点建设项目及实施保障</w:t>
      </w:r>
      <w:bookmarkEnd w:id="221"/>
      <w:bookmarkEnd w:id="222"/>
    </w:p>
    <w:p w14:paraId="58BA4A2C">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近期发展目标</w:t>
      </w:r>
    </w:p>
    <w:p w14:paraId="5CF1E48C">
      <w:pPr>
        <w:ind w:firstLine="640" w:firstLineChars="200"/>
        <w:rPr>
          <w:rFonts w:ascii="Times New Roman" w:hAnsi="Times New Roman" w:cs="Times New Roman"/>
          <w:color w:val="auto"/>
          <w:szCs w:val="32"/>
          <w:highlight w:val="none"/>
        </w:rPr>
      </w:pPr>
      <w:bookmarkStart w:id="223" w:name="_Hlk175298683"/>
      <w:r>
        <w:rPr>
          <w:rFonts w:ascii="Times New Roman" w:hAnsi="Times New Roman" w:cs="Times New Roman"/>
          <w:color w:val="auto"/>
          <w:szCs w:val="32"/>
          <w:highlight w:val="none"/>
        </w:rPr>
        <w:t>到2025年，</w:t>
      </w:r>
      <w:r>
        <w:rPr>
          <w:rFonts w:hint="eastAsia" w:ascii="Times New Roman" w:hAnsi="Times New Roman" w:cs="Times New Roman"/>
          <w:color w:val="auto"/>
          <w:szCs w:val="32"/>
          <w:highlight w:val="none"/>
        </w:rPr>
        <w:t>苏家店</w:t>
      </w:r>
      <w:r>
        <w:rPr>
          <w:rFonts w:hint="eastAsia" w:ascii="Times New Roman" w:hAnsi="Times New Roman" w:cs="Times New Roman"/>
          <w:color w:val="auto"/>
          <w:szCs w:val="32"/>
          <w:highlight w:val="none"/>
          <w:lang w:eastAsia="zh-CN"/>
        </w:rPr>
        <w:t>镇镇</w:t>
      </w:r>
      <w:r>
        <w:rPr>
          <w:rFonts w:hint="eastAsia" w:ascii="Times New Roman" w:hAnsi="Times New Roman" w:cs="Times New Roman"/>
          <w:color w:val="auto"/>
          <w:szCs w:val="32"/>
          <w:highlight w:val="none"/>
        </w:rPr>
        <w:t>域</w:t>
      </w:r>
      <w:r>
        <w:rPr>
          <w:rFonts w:hint="eastAsia" w:ascii="Times New Roman" w:hAnsi="Times New Roman" w:cs="Times New Roman"/>
          <w:color w:val="auto"/>
          <w:szCs w:val="32"/>
          <w:highlight w:val="none"/>
          <w:shd w:val="clear" w:color="auto" w:fill="FFFFFF"/>
        </w:rPr>
        <w:t>常住人口</w:t>
      </w:r>
      <w:r>
        <w:rPr>
          <w:rFonts w:ascii="Times New Roman" w:hAnsi="Times New Roman" w:cs="Times New Roman"/>
          <w:color w:val="auto"/>
          <w:szCs w:val="32"/>
          <w:highlight w:val="none"/>
        </w:rPr>
        <w:t>规模为8500人，</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政府驻地常住人口约为2300人。</w:t>
      </w:r>
    </w:p>
    <w:p w14:paraId="09C411E8">
      <w:pPr>
        <w:ind w:firstLine="640" w:firstLineChars="200"/>
        <w:rPr>
          <w:rFonts w:ascii="Times New Roman" w:hAnsi="Times New Roman" w:cs="Times New Roman"/>
          <w:color w:val="auto"/>
          <w:szCs w:val="32"/>
          <w:highlight w:val="none"/>
        </w:rPr>
      </w:pPr>
      <w:r>
        <w:rPr>
          <w:rFonts w:ascii="Times New Roman" w:hAnsi="Times New Roman" w:cs="Times New Roman"/>
          <w:color w:val="auto"/>
          <w:szCs w:val="32"/>
          <w:highlight w:val="none"/>
        </w:rPr>
        <w:t>到2025年，国土空间开发与保护格局初步形成，生态、农业、城</w:t>
      </w:r>
      <w:r>
        <w:rPr>
          <w:rFonts w:hint="eastAsia" w:ascii="Times New Roman" w:hAnsi="Times New Roman" w:cs="Times New Roman"/>
          <w:color w:val="auto"/>
          <w:szCs w:val="32"/>
          <w:highlight w:val="none"/>
          <w:lang w:eastAsia="zh-CN"/>
        </w:rPr>
        <w:t>镇</w:t>
      </w:r>
      <w:r>
        <w:rPr>
          <w:rFonts w:ascii="Times New Roman" w:hAnsi="Times New Roman" w:cs="Times New Roman"/>
          <w:color w:val="auto"/>
          <w:szCs w:val="32"/>
          <w:highlight w:val="none"/>
        </w:rPr>
        <w:t>空间功能逐步清晰；自然生态与黑土地农业安全保障能力逐步增强；</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村风貌和人居环境明显改善；城</w:t>
      </w:r>
      <w:r>
        <w:rPr>
          <w:rFonts w:hint="eastAsia" w:ascii="Times New Roman" w:hAnsi="Times New Roman" w:cs="Times New Roman"/>
          <w:color w:val="auto"/>
          <w:szCs w:val="32"/>
          <w:highlight w:val="none"/>
          <w:lang w:eastAsia="zh-CN"/>
        </w:rPr>
        <w:t>乡</w:t>
      </w:r>
      <w:r>
        <w:rPr>
          <w:rFonts w:ascii="Times New Roman" w:hAnsi="Times New Roman" w:cs="Times New Roman"/>
          <w:color w:val="auto"/>
          <w:szCs w:val="32"/>
          <w:highlight w:val="none"/>
        </w:rPr>
        <w:t>融合发展、民生补短板工程、重点基础设施建设取得积极成效，苏家</w:t>
      </w:r>
      <w:r>
        <w:rPr>
          <w:rFonts w:ascii="Times New Roman" w:hAnsi="Times New Roman" w:cs="Times New Roman"/>
          <w:color w:val="auto"/>
          <w:szCs w:val="32"/>
          <w:highlight w:val="none"/>
          <w:shd w:val="clear" w:color="auto" w:fill="FFFFFF"/>
        </w:rPr>
        <w:t>店</w:t>
      </w:r>
      <w:r>
        <w:rPr>
          <w:rFonts w:hint="eastAsia" w:ascii="Times New Roman" w:hAnsi="Times New Roman" w:cs="Times New Roman"/>
          <w:color w:val="auto"/>
          <w:szCs w:val="32"/>
          <w:highlight w:val="none"/>
          <w:shd w:val="clear" w:color="auto" w:fill="FFFFFF"/>
          <w:lang w:eastAsia="zh-CN"/>
        </w:rPr>
        <w:t>镇</w:t>
      </w:r>
      <w:r>
        <w:rPr>
          <w:rFonts w:ascii="Times New Roman" w:hAnsi="Times New Roman" w:cs="Times New Roman"/>
          <w:color w:val="auto"/>
          <w:szCs w:val="32"/>
          <w:highlight w:val="none"/>
          <w:shd w:val="clear" w:color="auto" w:fill="FFFFFF"/>
        </w:rPr>
        <w:t>经济高质量</w:t>
      </w:r>
      <w:r>
        <w:rPr>
          <w:rFonts w:ascii="Times New Roman" w:hAnsi="Times New Roman" w:cs="Times New Roman"/>
          <w:color w:val="auto"/>
          <w:szCs w:val="32"/>
          <w:highlight w:val="none"/>
        </w:rPr>
        <w:t>发展的空间支撑能力逐步增强。</w:t>
      </w:r>
      <w:bookmarkEnd w:id="223"/>
    </w:p>
    <w:p w14:paraId="724CD5CD">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近期重点建设项目</w:t>
      </w:r>
    </w:p>
    <w:p w14:paraId="4F700963">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bookmarkStart w:id="224" w:name="_Hlk175298713"/>
      <w:r>
        <w:rPr>
          <w:rFonts w:ascii="Times New Roman" w:hAnsi="Times New Roman" w:eastAsia="仿宋_GB2312" w:cs="Times New Roman"/>
          <w:bCs w:val="0"/>
          <w:color w:val="auto"/>
          <w:kern w:val="2"/>
          <w:sz w:val="32"/>
          <w:szCs w:val="32"/>
          <w:highlight w:val="none"/>
          <w:lang w:val="en-US" w:eastAsia="zh-CN" w:bidi="ar-SA"/>
        </w:rPr>
        <w:t>规划与上位规划做好衔接，从基础设施、国土综合整治和生态修复、公共服务设施、环保、民生等方面列出重大项目清单，对项目布局和时序做出统筹安排。</w:t>
      </w:r>
    </w:p>
    <w:bookmarkEnd w:id="224"/>
    <w:p w14:paraId="7CAC8D70">
      <w:pPr>
        <w:keepNext/>
        <w:keepLines/>
        <w:widowControl w:val="0"/>
        <w:numPr>
          <w:ilvl w:val="0"/>
          <w:numId w:val="1"/>
        </w:numPr>
        <w:tabs>
          <w:tab w:val="left" w:pos="6669"/>
        </w:tabs>
        <w:adjustRightInd w:val="0"/>
        <w:spacing w:before="156" w:beforeLines="50" w:after="156" w:afterLines="50" w:line="600" w:lineRule="exact"/>
        <w:jc w:val="both"/>
        <w:outlineLvl w:val="2"/>
        <w:rPr>
          <w:rFonts w:ascii="Calibri" w:hAnsi="Calibri" w:eastAsia="楷体_GB2312" w:cs="Times New Roman"/>
          <w:b/>
          <w:color w:val="auto"/>
          <w:kern w:val="2"/>
          <w:sz w:val="32"/>
          <w:szCs w:val="24"/>
          <w:highlight w:val="none"/>
          <w:lang w:val="en-US" w:eastAsia="zh-CN" w:bidi="ar-SA"/>
        </w:rPr>
      </w:pPr>
      <w:r>
        <w:rPr>
          <w:rFonts w:ascii="Calibri" w:hAnsi="Calibri" w:eastAsia="楷体_GB2312" w:cs="Times New Roman"/>
          <w:b/>
          <w:color w:val="auto"/>
          <w:kern w:val="2"/>
          <w:sz w:val="32"/>
          <w:szCs w:val="24"/>
          <w:highlight w:val="none"/>
          <w:lang w:val="en-US" w:eastAsia="zh-CN" w:bidi="ar-SA"/>
        </w:rPr>
        <w:t>实施保障</w:t>
      </w:r>
    </w:p>
    <w:p w14:paraId="4CA084D2">
      <w:pPr>
        <w:widowControl w:val="0"/>
        <w:spacing w:line="600" w:lineRule="exact"/>
        <w:ind w:firstLine="640" w:firstLineChars="200"/>
        <w:jc w:val="both"/>
        <w:rPr>
          <w:rFonts w:ascii="Times New Roman" w:hAnsi="Times New Roman" w:eastAsia="仿宋_GB2312" w:cs="Times New Roman"/>
          <w:bCs w:val="0"/>
          <w:color w:val="auto"/>
          <w:kern w:val="2"/>
          <w:sz w:val="32"/>
          <w:szCs w:val="32"/>
          <w:highlight w:val="none"/>
          <w:lang w:val="en-US" w:eastAsia="zh-CN" w:bidi="ar-SA"/>
        </w:rPr>
      </w:pPr>
      <w:bookmarkStart w:id="225" w:name="_Hlk175299049"/>
      <w:r>
        <w:rPr>
          <w:rFonts w:ascii="Times New Roman" w:hAnsi="Times New Roman" w:eastAsia="仿宋_GB2312" w:cs="Times New Roman"/>
          <w:bCs w:val="0"/>
          <w:color w:val="auto"/>
          <w:kern w:val="2"/>
          <w:sz w:val="32"/>
          <w:szCs w:val="32"/>
          <w:highlight w:val="none"/>
          <w:lang w:val="en-US" w:eastAsia="zh-CN" w:bidi="ar-SA"/>
        </w:rPr>
        <w:t>加强组织领导，健全管理机制。加强规划宣传，强化公众参与。建立长效机制，推进工作开展。</w:t>
      </w:r>
      <w:bookmarkStart w:id="226" w:name="_Hlk175299247"/>
      <w:r>
        <w:rPr>
          <w:rFonts w:ascii="Times New Roman" w:hAnsi="Times New Roman" w:eastAsia="仿宋_GB2312" w:cs="Times New Roman"/>
          <w:bCs w:val="0"/>
          <w:color w:val="auto"/>
          <w:kern w:val="2"/>
          <w:sz w:val="32"/>
          <w:szCs w:val="32"/>
          <w:highlight w:val="none"/>
          <w:lang w:val="en-US" w:eastAsia="zh-CN" w:bidi="ar-SA"/>
        </w:rPr>
        <w:t>建立健全“一年一体检、五年一评估”规划体检评估机制。利用国土空间规划“一张图”实施监督系统，实现对规划执行情况实时监测、预警和定期评估。</w:t>
      </w:r>
      <w:bookmarkEnd w:id="226"/>
    </w:p>
    <w:p w14:paraId="414A4331">
      <w:pPr>
        <w:keepNext/>
        <w:keepLines/>
        <w:pageBreakBefore/>
        <w:widowControl w:val="0"/>
        <w:spacing w:before="340" w:beforeLines="50" w:after="330" w:afterLines="50" w:line="600" w:lineRule="exact"/>
        <w:jc w:val="center"/>
        <w:outlineLvl w:val="0"/>
        <w:rPr>
          <w:rFonts w:ascii="Times New Roman" w:hAnsi="Times New Roman" w:eastAsia="方正小标宋简体" w:cs="Times New Roman"/>
          <w:color w:val="auto"/>
          <w:kern w:val="44"/>
          <w:sz w:val="36"/>
          <w:szCs w:val="24"/>
          <w:highlight w:val="none"/>
          <w:lang w:val="en-US" w:eastAsia="zh-CN" w:bidi="ar-SA"/>
        </w:rPr>
      </w:pPr>
      <w:bookmarkStart w:id="227" w:name="_Toc7698"/>
      <w:r>
        <w:rPr>
          <w:rFonts w:ascii="Times New Roman" w:hAnsi="Times New Roman" w:eastAsia="方正小标宋简体" w:cs="Times New Roman"/>
          <w:color w:val="auto"/>
          <w:kern w:val="44"/>
          <w:sz w:val="36"/>
          <w:szCs w:val="24"/>
          <w:highlight w:val="none"/>
          <w:lang w:val="en-US" w:eastAsia="zh-CN" w:bidi="ar-SA"/>
        </w:rPr>
        <w:t>第</w:t>
      </w:r>
      <w:r>
        <w:rPr>
          <w:rFonts w:hint="eastAsia" w:ascii="Times New Roman" w:hAnsi="Times New Roman" w:eastAsia="方正小标宋简体" w:cs="Times New Roman"/>
          <w:color w:val="auto"/>
          <w:kern w:val="44"/>
          <w:sz w:val="36"/>
          <w:szCs w:val="24"/>
          <w:highlight w:val="none"/>
          <w:lang w:val="en-US" w:eastAsia="zh-CN" w:bidi="ar-SA"/>
        </w:rPr>
        <w:t>十</w:t>
      </w:r>
      <w:r>
        <w:rPr>
          <w:rFonts w:ascii="Times New Roman" w:hAnsi="Times New Roman" w:eastAsia="方正小标宋简体" w:cs="Times New Roman"/>
          <w:color w:val="auto"/>
          <w:kern w:val="44"/>
          <w:sz w:val="36"/>
          <w:szCs w:val="24"/>
          <w:highlight w:val="none"/>
          <w:lang w:val="en-US" w:eastAsia="zh-CN" w:bidi="ar-SA"/>
        </w:rPr>
        <w:t>章 村庄“通则式”规划管理规定</w:t>
      </w:r>
      <w:bookmarkEnd w:id="225"/>
      <w:bookmarkEnd w:id="227"/>
    </w:p>
    <w:p w14:paraId="5DE97300">
      <w:pPr>
        <w:ind w:firstLine="640" w:firstLineChars="200"/>
        <w:rPr>
          <w:color w:val="auto"/>
        </w:rPr>
      </w:pPr>
      <w:r>
        <w:rPr>
          <w:rFonts w:ascii="Times New Roman" w:hAnsi="Times New Roman" w:eastAsia="仿宋_GB2312" w:cs="Times New Roman"/>
          <w:bCs w:val="0"/>
          <w:color w:val="auto"/>
          <w:kern w:val="2"/>
          <w:sz w:val="32"/>
          <w:szCs w:val="32"/>
          <w:highlight w:val="none"/>
          <w:lang w:val="en-US" w:eastAsia="zh-CN" w:bidi="ar-SA"/>
        </w:rPr>
        <w:t>村庄</w:t>
      </w:r>
      <w:r>
        <w:rPr>
          <w:rFonts w:hint="eastAsia" w:ascii="Times New Roman" w:hAnsi="Times New Roman" w:eastAsia="仿宋_GB2312" w:cs="Times New Roman"/>
          <w:bCs w:val="0"/>
          <w:color w:val="auto"/>
          <w:kern w:val="2"/>
          <w:sz w:val="32"/>
          <w:szCs w:val="32"/>
          <w:highlight w:val="none"/>
          <w:lang w:val="en-US" w:eastAsia="zh-CN" w:bidi="ar-SA"/>
        </w:rPr>
        <w:t>“</w:t>
      </w:r>
      <w:r>
        <w:rPr>
          <w:rFonts w:ascii="Times New Roman" w:hAnsi="Times New Roman" w:eastAsia="仿宋_GB2312" w:cs="Times New Roman"/>
          <w:bCs w:val="0"/>
          <w:color w:val="auto"/>
          <w:kern w:val="2"/>
          <w:sz w:val="32"/>
          <w:szCs w:val="32"/>
          <w:highlight w:val="none"/>
          <w:lang w:val="en-US" w:eastAsia="zh-CN" w:bidi="ar-SA"/>
        </w:rPr>
        <w:t>通则式</w:t>
      </w:r>
      <w:r>
        <w:rPr>
          <w:rFonts w:hint="eastAsia" w:ascii="Times New Roman" w:hAnsi="Times New Roman" w:eastAsia="仿宋_GB2312" w:cs="Times New Roman"/>
          <w:bCs w:val="0"/>
          <w:color w:val="auto"/>
          <w:kern w:val="2"/>
          <w:sz w:val="32"/>
          <w:szCs w:val="32"/>
          <w:highlight w:val="none"/>
          <w:lang w:val="en-US" w:eastAsia="zh-CN" w:bidi="ar-SA"/>
        </w:rPr>
        <w:t>”</w:t>
      </w:r>
      <w:r>
        <w:rPr>
          <w:rFonts w:ascii="Times New Roman" w:hAnsi="Times New Roman" w:eastAsia="仿宋_GB2312" w:cs="Times New Roman"/>
          <w:bCs w:val="0"/>
          <w:color w:val="auto"/>
          <w:kern w:val="2"/>
          <w:sz w:val="32"/>
          <w:szCs w:val="32"/>
          <w:highlight w:val="none"/>
          <w:lang w:val="en-US" w:eastAsia="zh-CN" w:bidi="ar-SA"/>
        </w:rPr>
        <w:t>规划管理规定适用于</w:t>
      </w:r>
      <w:r>
        <w:rPr>
          <w:rFonts w:hint="eastAsia" w:ascii="Times New Roman" w:hAnsi="Times New Roman" w:eastAsia="仿宋_GB2312" w:cs="Times New Roman"/>
          <w:bCs w:val="0"/>
          <w:color w:val="auto"/>
          <w:kern w:val="2"/>
          <w:sz w:val="32"/>
          <w:szCs w:val="32"/>
          <w:highlight w:val="none"/>
          <w:lang w:val="en-US" w:eastAsia="zh-CN" w:bidi="ar-SA"/>
        </w:rPr>
        <w:t>桦川县乡镇内未编制村庄规划的行政村，包括</w:t>
      </w:r>
      <w:r>
        <w:rPr>
          <w:rFonts w:ascii="Times New Roman" w:hAnsi="Times New Roman" w:eastAsia="仿宋_GB2312" w:cs="Times New Roman"/>
          <w:bCs w:val="0"/>
          <w:color w:val="auto"/>
          <w:kern w:val="2"/>
          <w:sz w:val="32"/>
          <w:szCs w:val="32"/>
          <w:highlight w:val="none"/>
          <w:lang w:val="en-US" w:eastAsia="zh-CN" w:bidi="ar-SA"/>
        </w:rPr>
        <w:t>城</w:t>
      </w:r>
      <w:r>
        <w:rPr>
          <w:rFonts w:hint="eastAsia" w:ascii="Times New Roman" w:hAnsi="Times New Roman" w:eastAsia="仿宋_GB2312" w:cs="Times New Roman"/>
          <w:bCs w:val="0"/>
          <w:color w:val="auto"/>
          <w:kern w:val="2"/>
          <w:sz w:val="32"/>
          <w:szCs w:val="32"/>
          <w:highlight w:val="none"/>
          <w:lang w:val="en-US" w:eastAsia="zh-CN" w:bidi="ar-SA"/>
        </w:rPr>
        <w:t>镇</w:t>
      </w:r>
      <w:r>
        <w:rPr>
          <w:rFonts w:ascii="Times New Roman" w:hAnsi="Times New Roman" w:eastAsia="仿宋_GB2312" w:cs="Times New Roman"/>
          <w:bCs w:val="0"/>
          <w:color w:val="auto"/>
          <w:kern w:val="2"/>
          <w:sz w:val="32"/>
          <w:szCs w:val="32"/>
          <w:highlight w:val="none"/>
          <w:lang w:val="en-US" w:eastAsia="zh-CN" w:bidi="ar-SA"/>
        </w:rPr>
        <w:t>开发边界外暂不编制村庄规划的村庄</w:t>
      </w:r>
      <w:r>
        <w:rPr>
          <w:rFonts w:hint="eastAsia" w:ascii="Times New Roman" w:hAnsi="Times New Roman" w:eastAsia="仿宋_GB2312" w:cs="Times New Roman"/>
          <w:bCs w:val="0"/>
          <w:color w:val="auto"/>
          <w:kern w:val="2"/>
          <w:sz w:val="32"/>
          <w:szCs w:val="32"/>
          <w:highlight w:val="none"/>
          <w:lang w:val="en-US" w:eastAsia="zh-CN" w:bidi="ar-SA"/>
        </w:rPr>
        <w:t>（含乡政府驻地村庄）以及城镇开发边界内（主要为镇政府驻地）未明确城镇化任务的村庄。</w:t>
      </w:r>
      <w:r>
        <w:rPr>
          <w:rFonts w:ascii="Times New Roman" w:hAnsi="Times New Roman" w:eastAsia="仿宋_GB2312" w:cs="Times New Roman"/>
          <w:bCs w:val="0"/>
          <w:color w:val="auto"/>
          <w:kern w:val="2"/>
          <w:sz w:val="32"/>
          <w:szCs w:val="32"/>
          <w:highlight w:val="none"/>
          <w:lang w:val="en-US" w:eastAsia="zh-CN" w:bidi="ar-SA"/>
        </w:rPr>
        <w:t>村庄建设项目的规划管理</w:t>
      </w:r>
      <w:r>
        <w:rPr>
          <w:rFonts w:hint="eastAsia" w:ascii="Times New Roman" w:hAnsi="Times New Roman" w:eastAsia="仿宋_GB2312" w:cs="Times New Roman"/>
          <w:bCs w:val="0"/>
          <w:color w:val="auto"/>
          <w:kern w:val="2"/>
          <w:sz w:val="32"/>
          <w:szCs w:val="32"/>
          <w:highlight w:val="none"/>
          <w:lang w:val="en-US" w:eastAsia="zh-CN" w:bidi="ar-SA"/>
        </w:rPr>
        <w:t>，</w:t>
      </w:r>
      <w:r>
        <w:rPr>
          <w:rFonts w:ascii="Times New Roman" w:hAnsi="Times New Roman" w:eastAsia="仿宋_GB2312" w:cs="Times New Roman"/>
          <w:bCs w:val="0"/>
          <w:color w:val="auto"/>
          <w:kern w:val="2"/>
          <w:sz w:val="32"/>
          <w:szCs w:val="32"/>
          <w:highlight w:val="none"/>
          <w:lang w:val="en-US" w:eastAsia="zh-CN" w:bidi="ar-SA"/>
        </w:rPr>
        <w:t>主要包括宅</w:t>
      </w:r>
      <w:r>
        <w:rPr>
          <w:rFonts w:hint="eastAsia" w:ascii="Times New Roman" w:hAnsi="Times New Roman" w:eastAsia="仿宋_GB2312" w:cs="Times New Roman"/>
          <w:bCs w:val="0"/>
          <w:color w:val="auto"/>
          <w:kern w:val="2"/>
          <w:sz w:val="32"/>
          <w:szCs w:val="32"/>
          <w:highlight w:val="none"/>
          <w:lang w:val="en-US" w:eastAsia="zh-CN" w:bidi="ar-SA"/>
        </w:rPr>
        <w:t>基</w:t>
      </w:r>
      <w:r>
        <w:rPr>
          <w:rFonts w:ascii="Times New Roman" w:hAnsi="Times New Roman" w:eastAsia="仿宋_GB2312" w:cs="Times New Roman"/>
          <w:bCs w:val="0"/>
          <w:color w:val="auto"/>
          <w:kern w:val="2"/>
          <w:sz w:val="32"/>
          <w:szCs w:val="32"/>
          <w:highlight w:val="none"/>
          <w:lang w:val="en-US" w:eastAsia="zh-CN" w:bidi="ar-SA"/>
        </w:rPr>
        <w:t>地、</w:t>
      </w:r>
      <w:r>
        <w:rPr>
          <w:rFonts w:hint="eastAsia" w:ascii="Times New Roman" w:hAnsi="Times New Roman" w:eastAsia="仿宋_GB2312" w:cs="Times New Roman"/>
          <w:bCs w:val="0"/>
          <w:color w:val="auto"/>
          <w:kern w:val="2"/>
          <w:sz w:val="32"/>
          <w:szCs w:val="32"/>
          <w:highlight w:val="none"/>
          <w:lang w:val="en-US" w:eastAsia="zh-CN" w:bidi="ar-SA"/>
        </w:rPr>
        <w:t>公共服务</w:t>
      </w:r>
      <w:r>
        <w:rPr>
          <w:rFonts w:ascii="Times New Roman" w:hAnsi="Times New Roman" w:eastAsia="仿宋_GB2312" w:cs="Times New Roman"/>
          <w:bCs w:val="0"/>
          <w:color w:val="auto"/>
          <w:kern w:val="2"/>
          <w:sz w:val="32"/>
          <w:szCs w:val="32"/>
          <w:highlight w:val="none"/>
          <w:lang w:val="en-US" w:eastAsia="zh-CN" w:bidi="ar-SA"/>
        </w:rPr>
        <w:t>设施用地、</w:t>
      </w:r>
      <w:r>
        <w:rPr>
          <w:rFonts w:hint="eastAsia" w:ascii="Times New Roman" w:hAnsi="Times New Roman" w:eastAsia="仿宋_GB2312" w:cs="Times New Roman"/>
          <w:bCs w:val="0"/>
          <w:color w:val="auto"/>
          <w:kern w:val="2"/>
          <w:sz w:val="32"/>
          <w:szCs w:val="32"/>
          <w:highlight w:val="none"/>
          <w:lang w:val="en-US" w:eastAsia="zh-CN" w:bidi="ar-SA"/>
        </w:rPr>
        <w:t>乡</w:t>
      </w:r>
      <w:r>
        <w:rPr>
          <w:rFonts w:ascii="Times New Roman" w:hAnsi="Times New Roman" w:eastAsia="仿宋_GB2312" w:cs="Times New Roman"/>
          <w:bCs w:val="0"/>
          <w:color w:val="auto"/>
          <w:kern w:val="2"/>
          <w:sz w:val="32"/>
          <w:szCs w:val="32"/>
          <w:highlight w:val="none"/>
          <w:lang w:val="en-US" w:eastAsia="zh-CN" w:bidi="ar-SA"/>
        </w:rPr>
        <w:t>村产业用地</w:t>
      </w:r>
      <w:r>
        <w:rPr>
          <w:rFonts w:hint="eastAsia" w:ascii="Times New Roman" w:hAnsi="Times New Roman" w:eastAsia="仿宋_GB2312" w:cs="Times New Roman"/>
          <w:bCs w:val="0"/>
          <w:color w:val="auto"/>
          <w:kern w:val="2"/>
          <w:sz w:val="32"/>
          <w:szCs w:val="32"/>
          <w:highlight w:val="none"/>
          <w:lang w:val="en-US" w:eastAsia="zh-CN" w:bidi="ar-SA"/>
        </w:rPr>
        <w:t>、基础设施用地</w:t>
      </w:r>
      <w:r>
        <w:rPr>
          <w:rFonts w:ascii="Times New Roman" w:hAnsi="Times New Roman" w:eastAsia="仿宋_GB2312" w:cs="Times New Roman"/>
          <w:bCs w:val="0"/>
          <w:color w:val="auto"/>
          <w:kern w:val="2"/>
          <w:sz w:val="32"/>
          <w:szCs w:val="32"/>
          <w:highlight w:val="none"/>
          <w:lang w:val="en-US" w:eastAsia="zh-CN" w:bidi="ar-SA"/>
        </w:rPr>
        <w:t>等各类项目的新建、改建、扩建。</w:t>
      </w:r>
      <w:r>
        <w:rPr>
          <w:rFonts w:hint="eastAsia" w:ascii="Times New Roman" w:hAnsi="Times New Roman" w:eastAsia="仿宋_GB2312" w:cs="Times New Roman"/>
          <w:bCs w:val="0"/>
          <w:color w:val="auto"/>
          <w:kern w:val="2"/>
          <w:sz w:val="32"/>
          <w:szCs w:val="32"/>
          <w:highlight w:val="none"/>
          <w:lang w:val="en-US" w:eastAsia="zh-CN" w:bidi="ar-SA"/>
        </w:rPr>
        <w:t>已编制并</w:t>
      </w:r>
      <w:r>
        <w:rPr>
          <w:rFonts w:ascii="Times New Roman" w:hAnsi="Times New Roman" w:eastAsia="仿宋_GB2312" w:cs="Times New Roman"/>
          <w:bCs w:val="0"/>
          <w:color w:val="auto"/>
          <w:kern w:val="2"/>
          <w:sz w:val="32"/>
          <w:szCs w:val="32"/>
          <w:highlight w:val="none"/>
          <w:lang w:val="en-US" w:eastAsia="zh-CN" w:bidi="ar-SA"/>
        </w:rPr>
        <w:t>依法批准详细规划（村庄规划）</w:t>
      </w:r>
      <w:r>
        <w:rPr>
          <w:rFonts w:hint="eastAsia" w:ascii="Times New Roman" w:hAnsi="Times New Roman" w:eastAsia="仿宋_GB2312" w:cs="Times New Roman"/>
          <w:bCs w:val="0"/>
          <w:color w:val="auto"/>
          <w:kern w:val="2"/>
          <w:sz w:val="32"/>
          <w:szCs w:val="32"/>
          <w:highlight w:val="none"/>
          <w:lang w:val="en-US" w:eastAsia="zh-CN" w:bidi="ar-SA"/>
        </w:rPr>
        <w:t>的，以</w:t>
      </w:r>
      <w:r>
        <w:rPr>
          <w:rFonts w:ascii="Times New Roman" w:hAnsi="Times New Roman" w:eastAsia="仿宋_GB2312" w:cs="Times New Roman"/>
          <w:bCs w:val="0"/>
          <w:color w:val="auto"/>
          <w:kern w:val="2"/>
          <w:sz w:val="32"/>
          <w:szCs w:val="32"/>
          <w:highlight w:val="none"/>
          <w:lang w:val="en-US" w:eastAsia="zh-CN" w:bidi="ar-SA"/>
        </w:rPr>
        <w:t>详细规划（村庄规划）</w:t>
      </w:r>
      <w:r>
        <w:rPr>
          <w:rFonts w:hint="eastAsia" w:ascii="Times New Roman" w:hAnsi="Times New Roman" w:eastAsia="仿宋_GB2312" w:cs="Times New Roman"/>
          <w:bCs w:val="0"/>
          <w:color w:val="auto"/>
          <w:kern w:val="2"/>
          <w:sz w:val="32"/>
          <w:szCs w:val="32"/>
          <w:highlight w:val="none"/>
          <w:lang w:val="en-US" w:eastAsia="zh-CN" w:bidi="ar-SA"/>
        </w:rPr>
        <w:t>为依据。城镇开发边界内及边界处已明确城镇化任务的村庄，可纳入城镇控制性详细规划统筹编制</w:t>
      </w:r>
      <w:r>
        <w:rPr>
          <w:rFonts w:hint="eastAsia" w:ascii="Times New Roman" w:hAnsi="Times New Roman" w:cs="Times New Roman"/>
          <w:bCs w:val="0"/>
          <w:color w:val="auto"/>
          <w:kern w:val="2"/>
          <w:sz w:val="32"/>
          <w:szCs w:val="32"/>
          <w:highlight w:val="none"/>
          <w:lang w:val="en-US" w:eastAsia="zh-CN" w:bidi="ar-SA"/>
        </w:rPr>
        <w:t>。</w:t>
      </w:r>
    </w:p>
    <w:sectPr>
      <w:footerReference r:id="rId8"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E40C8">
    <w:pPr>
      <w:widowControl w:val="0"/>
      <w:tabs>
        <w:tab w:val="center" w:pos="4153"/>
        <w:tab w:val="right" w:pos="8306"/>
      </w:tabs>
      <w:snapToGrid w:val="0"/>
      <w:spacing w:line="600" w:lineRule="exact"/>
      <w:ind w:firstLine="360"/>
      <w:jc w:val="left"/>
      <w:rPr>
        <w:rFonts w:ascii="Calibri"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BD6A8">
    <w:pPr>
      <w:widowControl w:val="0"/>
      <w:tabs>
        <w:tab w:val="center" w:pos="4153"/>
        <w:tab w:val="right" w:pos="8306"/>
      </w:tabs>
      <w:snapToGrid w:val="0"/>
      <w:spacing w:line="600" w:lineRule="exact"/>
      <w:jc w:val="center"/>
      <w:rPr>
        <w:rFonts w:ascii="Calibri" w:hAnsi="Calibri" w:eastAsia="仿宋_GB2312" w:cs="Times New Roman"/>
        <w:kern w:val="2"/>
        <w:sz w:val="18"/>
        <w:szCs w:val="18"/>
        <w:lang w:val="en-US" w:eastAsia="zh-CN" w:bidi="ar-SA"/>
      </w:rPr>
    </w:pPr>
    <w:r>
      <w:rPr>
        <w:rFonts w:ascii="Calibri"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rPr>
                              <w:rFonts w:ascii="Calibri" w:hAnsi="Calibri" w:eastAsia="仿宋_GB2312" w:cs="Times New Roman"/>
                              <w:kern w:val="2"/>
                              <w:sz w:val="32"/>
                              <w:szCs w:val="24"/>
                              <w:lang w:val="en-US" w:eastAsia="zh-CN" w:bidi="ar-SA"/>
                            </w:rPr>
                            <w:id w:val="147482820"/>
                          </w:sdtPr>
                          <w:sdtEndPr>
                            <w:rPr>
                              <w:rFonts w:ascii="Calibri" w:hAnsi="Calibri" w:eastAsia="仿宋_GB2312" w:cs="Times New Roman"/>
                              <w:kern w:val="2"/>
                              <w:sz w:val="18"/>
                              <w:szCs w:val="18"/>
                              <w:lang w:val="en-US" w:eastAsia="zh-CN" w:bidi="ar-SA"/>
                            </w:rPr>
                          </w:sdtEndPr>
                          <w:sdtContent>
                            <w:p w14:paraId="7979C8D6">
                              <w:pPr>
                                <w:widowControl w:val="0"/>
                                <w:tabs>
                                  <w:tab w:val="center" w:pos="4153"/>
                                  <w:tab w:val="right" w:pos="8306"/>
                                </w:tabs>
                                <w:snapToGrid w:val="0"/>
                                <w:spacing w:line="600" w:lineRule="exact"/>
                                <w:jc w:val="center"/>
                                <w:rPr>
                                  <w:rFonts w:ascii="Calibri" w:hAnsi="Calibri" w:eastAsia="仿宋_GB2312" w:cs="Times New Roman"/>
                                  <w:kern w:val="2"/>
                                  <w:sz w:val="18"/>
                                  <w:szCs w:val="18"/>
                                  <w:lang w:val="en-US" w:eastAsia="zh-CN" w:bidi="ar-SA"/>
                                </w:rPr>
                              </w:pPr>
                              <w:r>
                                <w:rPr>
                                  <w:rFonts w:ascii="Calibri" w:hAnsi="Calibri" w:eastAsia="仿宋_GB2312" w:cs="Times New Roman"/>
                                  <w:kern w:val="2"/>
                                  <w:sz w:val="18"/>
                                  <w:szCs w:val="18"/>
                                  <w:lang w:val="en-US" w:eastAsia="zh-CN" w:bidi="ar-SA"/>
                                </w:rPr>
                                <w:fldChar w:fldCharType="begin"/>
                              </w:r>
                              <w:r>
                                <w:rPr>
                                  <w:rFonts w:ascii="Calibri" w:hAnsi="Calibri" w:eastAsia="仿宋_GB2312" w:cs="Times New Roman"/>
                                  <w:kern w:val="2"/>
                                  <w:sz w:val="18"/>
                                  <w:szCs w:val="18"/>
                                  <w:lang w:val="en-US" w:eastAsia="zh-CN" w:bidi="ar-SA"/>
                                </w:rPr>
                                <w:instrText xml:space="preserve">PAGE   \* MERGEFORMAT</w:instrText>
                              </w:r>
                              <w:r>
                                <w:rPr>
                                  <w:rFonts w:ascii="Calibri" w:hAnsi="Calibri" w:eastAsia="仿宋_GB2312" w:cs="Times New Roman"/>
                                  <w:kern w:val="2"/>
                                  <w:sz w:val="18"/>
                                  <w:szCs w:val="18"/>
                                  <w:lang w:val="en-US" w:eastAsia="zh-CN" w:bidi="ar-SA"/>
                                </w:rPr>
                                <w:fldChar w:fldCharType="separate"/>
                              </w:r>
                              <w:r>
                                <w:rPr>
                                  <w:rFonts w:ascii="Calibri" w:hAnsi="Calibri" w:eastAsia="仿宋_GB2312" w:cs="Times New Roman"/>
                                  <w:kern w:val="2"/>
                                  <w:sz w:val="18"/>
                                  <w:szCs w:val="18"/>
                                  <w:lang w:val="zh-CN" w:eastAsia="zh-CN" w:bidi="ar-SA"/>
                                </w:rPr>
                                <w:t>74</w:t>
                              </w:r>
                              <w:r>
                                <w:rPr>
                                  <w:rFonts w:ascii="Calibri" w:hAnsi="Calibri" w:eastAsia="仿宋_GB2312" w:cs="Times New Roman"/>
                                  <w:kern w:val="2"/>
                                  <w:sz w:val="18"/>
                                  <w:szCs w:val="18"/>
                                  <w:lang w:val="zh-CN" w:eastAsia="zh-CN" w:bidi="ar-SA"/>
                                </w:rPr>
                                <w:fldChar w:fldCharType="end"/>
                              </w:r>
                            </w:p>
                          </w:sdtContent>
                        </w:sdt>
                        <w:p w14:paraId="3893C041">
                          <w:pPr>
                            <w:rPr>
                              <w:rFonts w:ascii="Calibri" w:hAnsi="Calibri" w:cs="Times New Roma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sdt>
                    <w:sdtPr>
                      <w:rPr>
                        <w:rFonts w:ascii="Calibri" w:hAnsi="Calibri" w:eastAsia="仿宋_GB2312" w:cs="Times New Roman"/>
                        <w:kern w:val="2"/>
                        <w:sz w:val="32"/>
                        <w:szCs w:val="24"/>
                        <w:lang w:val="en-US" w:eastAsia="zh-CN" w:bidi="ar-SA"/>
                      </w:rPr>
                      <w:id w:val="147482820"/>
                    </w:sdtPr>
                    <w:sdtEndPr>
                      <w:rPr>
                        <w:rFonts w:ascii="Calibri" w:hAnsi="Calibri" w:eastAsia="仿宋_GB2312" w:cs="Times New Roman"/>
                        <w:kern w:val="2"/>
                        <w:sz w:val="18"/>
                        <w:szCs w:val="18"/>
                        <w:lang w:val="en-US" w:eastAsia="zh-CN" w:bidi="ar-SA"/>
                      </w:rPr>
                    </w:sdtEndPr>
                    <w:sdtContent>
                      <w:p w14:paraId="7979C8D6">
                        <w:pPr>
                          <w:widowControl w:val="0"/>
                          <w:tabs>
                            <w:tab w:val="center" w:pos="4153"/>
                            <w:tab w:val="right" w:pos="8306"/>
                          </w:tabs>
                          <w:snapToGrid w:val="0"/>
                          <w:spacing w:line="600" w:lineRule="exact"/>
                          <w:jc w:val="center"/>
                          <w:rPr>
                            <w:rFonts w:ascii="Calibri" w:hAnsi="Calibri" w:eastAsia="仿宋_GB2312" w:cs="Times New Roman"/>
                            <w:kern w:val="2"/>
                            <w:sz w:val="18"/>
                            <w:szCs w:val="18"/>
                            <w:lang w:val="en-US" w:eastAsia="zh-CN" w:bidi="ar-SA"/>
                          </w:rPr>
                        </w:pPr>
                        <w:r>
                          <w:rPr>
                            <w:rFonts w:ascii="Calibri" w:hAnsi="Calibri" w:eastAsia="仿宋_GB2312" w:cs="Times New Roman"/>
                            <w:kern w:val="2"/>
                            <w:sz w:val="18"/>
                            <w:szCs w:val="18"/>
                            <w:lang w:val="en-US" w:eastAsia="zh-CN" w:bidi="ar-SA"/>
                          </w:rPr>
                          <w:fldChar w:fldCharType="begin"/>
                        </w:r>
                        <w:r>
                          <w:rPr>
                            <w:rFonts w:ascii="Calibri" w:hAnsi="Calibri" w:eastAsia="仿宋_GB2312" w:cs="Times New Roman"/>
                            <w:kern w:val="2"/>
                            <w:sz w:val="18"/>
                            <w:szCs w:val="18"/>
                            <w:lang w:val="en-US" w:eastAsia="zh-CN" w:bidi="ar-SA"/>
                          </w:rPr>
                          <w:instrText xml:space="preserve">PAGE   \* MERGEFORMAT</w:instrText>
                        </w:r>
                        <w:r>
                          <w:rPr>
                            <w:rFonts w:ascii="Calibri" w:hAnsi="Calibri" w:eastAsia="仿宋_GB2312" w:cs="Times New Roman"/>
                            <w:kern w:val="2"/>
                            <w:sz w:val="18"/>
                            <w:szCs w:val="18"/>
                            <w:lang w:val="en-US" w:eastAsia="zh-CN" w:bidi="ar-SA"/>
                          </w:rPr>
                          <w:fldChar w:fldCharType="separate"/>
                        </w:r>
                        <w:r>
                          <w:rPr>
                            <w:rFonts w:ascii="Calibri" w:hAnsi="Calibri" w:eastAsia="仿宋_GB2312" w:cs="Times New Roman"/>
                            <w:kern w:val="2"/>
                            <w:sz w:val="18"/>
                            <w:szCs w:val="18"/>
                            <w:lang w:val="zh-CN" w:eastAsia="zh-CN" w:bidi="ar-SA"/>
                          </w:rPr>
                          <w:t>74</w:t>
                        </w:r>
                        <w:r>
                          <w:rPr>
                            <w:rFonts w:ascii="Calibri" w:hAnsi="Calibri" w:eastAsia="仿宋_GB2312" w:cs="Times New Roman"/>
                            <w:kern w:val="2"/>
                            <w:sz w:val="18"/>
                            <w:szCs w:val="18"/>
                            <w:lang w:val="zh-CN" w:eastAsia="zh-CN" w:bidi="ar-SA"/>
                          </w:rPr>
                          <w:fldChar w:fldCharType="end"/>
                        </w:r>
                      </w:p>
                    </w:sdtContent>
                  </w:sdt>
                  <w:p w14:paraId="3893C041">
                    <w:pPr>
                      <w:rPr>
                        <w:rFonts w:ascii="Calibri" w:hAnsi="Calibri" w:cs="Times New Roman"/>
                      </w:rPr>
                    </w:pPr>
                  </w:p>
                </w:txbxContent>
              </v:textbox>
            </v:shape>
          </w:pict>
        </mc:Fallback>
      </mc:AlternateContent>
    </w:r>
  </w:p>
  <w:p w14:paraId="1D968460">
    <w:pPr>
      <w:widowControl w:val="0"/>
      <w:tabs>
        <w:tab w:val="center" w:pos="4153"/>
        <w:tab w:val="right" w:pos="8306"/>
      </w:tabs>
      <w:snapToGrid w:val="0"/>
      <w:spacing w:line="600" w:lineRule="exact"/>
      <w:ind w:firstLine="360"/>
      <w:jc w:val="left"/>
      <w:rPr>
        <w:rFonts w:ascii="Calibri" w:hAnsi="Calibri" w:eastAsia="仿宋_GB2312"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D339">
    <w:pPr>
      <w:widowControl w:val="0"/>
      <w:tabs>
        <w:tab w:val="center" w:pos="4153"/>
        <w:tab w:val="right" w:pos="8306"/>
      </w:tabs>
      <w:snapToGrid w:val="0"/>
      <w:spacing w:line="600" w:lineRule="exact"/>
      <w:ind w:firstLine="360"/>
      <w:jc w:val="left"/>
      <w:rPr>
        <w:rFonts w:ascii="Calibri" w:hAnsi="Calibri" w:eastAsia="仿宋_GB2312" w:cs="Times New Roman"/>
        <w:kern w:val="2"/>
        <w:sz w:val="18"/>
        <w:szCs w:val="18"/>
        <w:lang w:val="en-US" w:eastAsia="zh-CN" w:bidi="ar-SA"/>
      </w:rPr>
    </w:pPr>
    <w:r>
      <w:rPr>
        <w:rFonts w:ascii="Calibri"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14D27E9">
                          <w:pPr>
                            <w:widowControl w:val="0"/>
                            <w:tabs>
                              <w:tab w:val="center" w:pos="4153"/>
                              <w:tab w:val="right" w:pos="8306"/>
                            </w:tabs>
                            <w:snapToGrid w:val="0"/>
                            <w:spacing w:line="600" w:lineRule="exact"/>
                            <w:jc w:val="left"/>
                            <w:rPr>
                              <w:rFonts w:ascii="Calibri" w:hAnsi="Calibri" w:eastAsia="仿宋_GB2312" w:cs="Times New Roman"/>
                              <w:kern w:val="2"/>
                              <w:sz w:val="18"/>
                              <w:szCs w:val="18"/>
                              <w:lang w:val="en-US" w:eastAsia="zh-CN" w:bidi="ar-SA"/>
                            </w:rPr>
                          </w:pPr>
                          <w:r>
                            <w:rPr>
                              <w:rFonts w:ascii="Calibri" w:hAnsi="Calibri" w:eastAsia="仿宋_GB2312" w:cs="Times New Roman"/>
                              <w:kern w:val="2"/>
                              <w:sz w:val="18"/>
                              <w:szCs w:val="18"/>
                              <w:lang w:val="en-US" w:eastAsia="zh-CN" w:bidi="ar-SA"/>
                            </w:rPr>
                            <w:fldChar w:fldCharType="begin"/>
                          </w:r>
                          <w:r>
                            <w:rPr>
                              <w:rFonts w:ascii="Calibri" w:hAnsi="Calibri" w:eastAsia="仿宋_GB2312" w:cs="Times New Roman"/>
                              <w:kern w:val="2"/>
                              <w:sz w:val="18"/>
                              <w:szCs w:val="18"/>
                              <w:lang w:val="en-US" w:eastAsia="zh-CN" w:bidi="ar-SA"/>
                            </w:rPr>
                            <w:instrText xml:space="preserve"> PAGE  \* MERGEFORMAT </w:instrText>
                          </w:r>
                          <w:r>
                            <w:rPr>
                              <w:rFonts w:ascii="Calibri" w:hAnsi="Calibri" w:eastAsia="仿宋_GB2312" w:cs="Times New Roman"/>
                              <w:kern w:val="2"/>
                              <w:sz w:val="18"/>
                              <w:szCs w:val="18"/>
                              <w:lang w:val="en-US" w:eastAsia="zh-CN" w:bidi="ar-SA"/>
                            </w:rPr>
                            <w:fldChar w:fldCharType="separate"/>
                          </w:r>
                          <w:r>
                            <w:rPr>
                              <w:rFonts w:ascii="Calibri" w:hAnsi="Calibri" w:eastAsia="仿宋_GB2312" w:cs="Times New Roman"/>
                              <w:kern w:val="2"/>
                              <w:sz w:val="18"/>
                              <w:szCs w:val="18"/>
                              <w:lang w:val="en-US" w:eastAsia="zh-CN" w:bidi="ar-SA"/>
                            </w:rPr>
                            <w:t>IV</w:t>
                          </w:r>
                          <w:r>
                            <w:rPr>
                              <w:rFonts w:ascii="Calibri" w:hAnsi="Calibri" w:eastAsia="仿宋_GB2312" w:cs="Times New Roman"/>
                              <w:kern w:val="2"/>
                              <w:sz w:val="18"/>
                              <w:szCs w:val="18"/>
                              <w:lang w:val="en-US" w:eastAsia="zh-CN" w:bidi="ar-S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n9ETe0QEAAKIDAAAOAAAAAAAAAAEAIAAAAB8BAABk&#10;cnMvZTJvRG9jLnhtbFBLBQYAAAAABgAGAFkBAABiBQAAAAA=&#10;">
              <v:fill on="f" focussize="0,0"/>
              <v:stroke on="f" weight="0.5pt"/>
              <v:imagedata o:title=""/>
              <o:lock v:ext="edit" aspectratio="f"/>
              <v:textbox inset="0mm,0mm,0mm,0mm" style="mso-fit-shape-to-text:t;">
                <w:txbxContent>
                  <w:p w14:paraId="514D27E9">
                    <w:pPr>
                      <w:widowControl w:val="0"/>
                      <w:tabs>
                        <w:tab w:val="center" w:pos="4153"/>
                        <w:tab w:val="right" w:pos="8306"/>
                      </w:tabs>
                      <w:snapToGrid w:val="0"/>
                      <w:spacing w:line="600" w:lineRule="exact"/>
                      <w:jc w:val="left"/>
                      <w:rPr>
                        <w:rFonts w:ascii="Calibri" w:hAnsi="Calibri" w:eastAsia="仿宋_GB2312" w:cs="Times New Roman"/>
                        <w:kern w:val="2"/>
                        <w:sz w:val="18"/>
                        <w:szCs w:val="18"/>
                        <w:lang w:val="en-US" w:eastAsia="zh-CN" w:bidi="ar-SA"/>
                      </w:rPr>
                    </w:pPr>
                    <w:r>
                      <w:rPr>
                        <w:rFonts w:ascii="Calibri" w:hAnsi="Calibri" w:eastAsia="仿宋_GB2312" w:cs="Times New Roman"/>
                        <w:kern w:val="2"/>
                        <w:sz w:val="18"/>
                        <w:szCs w:val="18"/>
                        <w:lang w:val="en-US" w:eastAsia="zh-CN" w:bidi="ar-SA"/>
                      </w:rPr>
                      <w:fldChar w:fldCharType="begin"/>
                    </w:r>
                    <w:r>
                      <w:rPr>
                        <w:rFonts w:ascii="Calibri" w:hAnsi="Calibri" w:eastAsia="仿宋_GB2312" w:cs="Times New Roman"/>
                        <w:kern w:val="2"/>
                        <w:sz w:val="18"/>
                        <w:szCs w:val="18"/>
                        <w:lang w:val="en-US" w:eastAsia="zh-CN" w:bidi="ar-SA"/>
                      </w:rPr>
                      <w:instrText xml:space="preserve"> PAGE  \* MERGEFORMAT </w:instrText>
                    </w:r>
                    <w:r>
                      <w:rPr>
                        <w:rFonts w:ascii="Calibri" w:hAnsi="Calibri" w:eastAsia="仿宋_GB2312" w:cs="Times New Roman"/>
                        <w:kern w:val="2"/>
                        <w:sz w:val="18"/>
                        <w:szCs w:val="18"/>
                        <w:lang w:val="en-US" w:eastAsia="zh-CN" w:bidi="ar-SA"/>
                      </w:rPr>
                      <w:fldChar w:fldCharType="separate"/>
                    </w:r>
                    <w:r>
                      <w:rPr>
                        <w:rFonts w:ascii="Calibri" w:hAnsi="Calibri" w:eastAsia="仿宋_GB2312" w:cs="Times New Roman"/>
                        <w:kern w:val="2"/>
                        <w:sz w:val="18"/>
                        <w:szCs w:val="18"/>
                        <w:lang w:val="en-US" w:eastAsia="zh-CN" w:bidi="ar-SA"/>
                      </w:rPr>
                      <w:t>IV</w:t>
                    </w:r>
                    <w:r>
                      <w:rPr>
                        <w:rFonts w:ascii="Calibri"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C09D3">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040C215">
                          <w:pPr>
                            <w:pStyle w:val="9"/>
                          </w:pPr>
                          <w:r>
                            <w:fldChar w:fldCharType="begin"/>
                          </w:r>
                          <w:r>
                            <w:instrText xml:space="preserve"> PAGE  \* MERGEFORMAT </w:instrText>
                          </w:r>
                          <w:r>
                            <w:fldChar w:fldCharType="separate"/>
                          </w:r>
                          <w:r>
                            <w:t>IV</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QIElW9IBAACiAwAADgAAAAAAAAABACAAAAAfAQAA&#10;ZHJzL2Uyb0RvYy54bWxQSwUGAAAAAAYABgBZAQAAYwUAAAAA&#10;">
              <v:fill on="f" focussize="0,0"/>
              <v:stroke on="f" weight="0.5pt"/>
              <v:imagedata o:title=""/>
              <o:lock v:ext="edit" aspectratio="f"/>
              <v:textbox inset="0mm,0mm,0mm,0mm" style="mso-fit-shape-to-text:t;">
                <w:txbxContent>
                  <w:p w14:paraId="3040C215">
                    <w:pPr>
                      <w:pStyle w:val="9"/>
                    </w:pPr>
                    <w:r>
                      <w:fldChar w:fldCharType="begin"/>
                    </w:r>
                    <w:r>
                      <w:instrText xml:space="preserve"> PAGE  \* MERGEFORMAT </w:instrText>
                    </w:r>
                    <w:r>
                      <w:fldChar w:fldCharType="separate"/>
                    </w:r>
                    <w:r>
                      <w:t>IV</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AC2CC"/>
    <w:multiLevelType w:val="singleLevel"/>
    <w:tmpl w:val="923AC2CC"/>
    <w:lvl w:ilvl="0" w:tentative="0">
      <w:start w:val="1"/>
      <w:numFmt w:val="decimal"/>
      <w:pStyle w:val="4"/>
      <w:suff w:val="nothing"/>
      <w:lvlText w:val="第%1条 "/>
      <w:lvlJc w:val="left"/>
      <w:pPr>
        <w:tabs>
          <w:tab w:val="left" w:pos="0"/>
        </w:tabs>
        <w:ind w:left="0" w:firstLine="0"/>
      </w:pPr>
      <w:rPr>
        <w:rFonts w:hint="default" w:eastAsia="楷体_GB2312"/>
        <w:b/>
        <w:bCs/>
        <w:sz w:val="32"/>
        <w:szCs w:val="32"/>
      </w:rPr>
    </w:lvl>
  </w:abstractNum>
  <w:abstractNum w:abstractNumId="1">
    <w:nsid w:val="AC555949"/>
    <w:multiLevelType w:val="singleLevel"/>
    <w:tmpl w:val="AC555949"/>
    <w:lvl w:ilvl="0" w:tentative="0">
      <w:start w:val="1"/>
      <w:numFmt w:val="decimal"/>
      <w:suff w:val="nothing"/>
      <w:lvlText w:val="%1、"/>
      <w:lvlJc w:val="left"/>
    </w:lvl>
  </w:abstractNum>
  <w:abstractNum w:abstractNumId="2">
    <w:nsid w:val="ACF50EC0"/>
    <w:multiLevelType w:val="singleLevel"/>
    <w:tmpl w:val="ACF50EC0"/>
    <w:lvl w:ilvl="0" w:tentative="0">
      <w:start w:val="1"/>
      <w:numFmt w:val="decimal"/>
      <w:suff w:val="nothing"/>
      <w:lvlText w:val="%1、"/>
      <w:lvlJc w:val="left"/>
    </w:lvl>
  </w:abstractNum>
  <w:abstractNum w:abstractNumId="3">
    <w:nsid w:val="AEB3E7D4"/>
    <w:multiLevelType w:val="singleLevel"/>
    <w:tmpl w:val="AEB3E7D4"/>
    <w:lvl w:ilvl="0" w:tentative="0">
      <w:start w:val="1"/>
      <w:numFmt w:val="decimal"/>
      <w:suff w:val="nothing"/>
      <w:lvlText w:val="(%1)"/>
      <w:lvlJc w:val="left"/>
      <w:pPr>
        <w:ind w:left="425" w:hanging="385"/>
      </w:pPr>
      <w:rPr>
        <w:rFonts w:hint="default" w:ascii="Times New Roman" w:hAnsi="Times New Roman" w:eastAsia="仿宋_GB2312" w:cs="Times New Roman"/>
        <w:sz w:val="32"/>
        <w:szCs w:val="32"/>
      </w:rPr>
    </w:lvl>
  </w:abstractNum>
  <w:abstractNum w:abstractNumId="4">
    <w:nsid w:val="0FA64FF9"/>
    <w:multiLevelType w:val="singleLevel"/>
    <w:tmpl w:val="0FA64FF9"/>
    <w:lvl w:ilvl="0" w:tentative="0">
      <w:start w:val="1"/>
      <w:numFmt w:val="decimal"/>
      <w:suff w:val="nothing"/>
      <w:lvlText w:val="(%1)"/>
      <w:lvlJc w:val="left"/>
      <w:pPr>
        <w:ind w:left="425" w:hanging="385"/>
      </w:pPr>
      <w:rPr>
        <w:rFonts w:hint="default" w:ascii="Times New Roman" w:hAnsi="Times New Roman" w:eastAsia="仿宋_GB2312" w:cs="Times New Roman"/>
        <w:sz w:val="32"/>
        <w:szCs w:val="32"/>
      </w:rPr>
    </w:lvl>
  </w:abstractNum>
  <w:abstractNum w:abstractNumId="5">
    <w:nsid w:val="1681101C"/>
    <w:multiLevelType w:val="multilevel"/>
    <w:tmpl w:val="1681101C"/>
    <w:lvl w:ilvl="0" w:tentative="0">
      <w:start w:val="1"/>
      <w:numFmt w:val="decimal"/>
      <w:lvlText w:val="%1."/>
      <w:lvlJc w:val="left"/>
      <w:pPr>
        <w:ind w:left="770" w:hanging="21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6">
    <w:nsid w:val="1D5FA662"/>
    <w:multiLevelType w:val="singleLevel"/>
    <w:tmpl w:val="1D5FA662"/>
    <w:lvl w:ilvl="0" w:tentative="0">
      <w:start w:val="1"/>
      <w:numFmt w:val="decimal"/>
      <w:suff w:val="nothing"/>
      <w:lvlText w:val="(%1)"/>
      <w:lvlJc w:val="left"/>
      <w:pPr>
        <w:ind w:left="425" w:hanging="385"/>
      </w:pPr>
      <w:rPr>
        <w:rFonts w:hint="default" w:ascii="Times New Roman" w:hAnsi="Times New Roman" w:eastAsia="仿宋_GB2312" w:cs="Times New Roman"/>
        <w:sz w:val="32"/>
        <w:szCs w:val="32"/>
      </w:rPr>
    </w:lvl>
  </w:abstractNum>
  <w:abstractNum w:abstractNumId="7">
    <w:nsid w:val="57CDA4FA"/>
    <w:multiLevelType w:val="singleLevel"/>
    <w:tmpl w:val="57CDA4FA"/>
    <w:lvl w:ilvl="0" w:tentative="0">
      <w:start w:val="1"/>
      <w:numFmt w:val="decimal"/>
      <w:suff w:val="nothing"/>
      <w:lvlText w:val="(%1)"/>
      <w:lvlJc w:val="left"/>
      <w:pPr>
        <w:ind w:left="425" w:hanging="385"/>
      </w:pPr>
      <w:rPr>
        <w:rFonts w:hint="default" w:ascii="Times New Roman" w:hAnsi="Times New Roman" w:eastAsia="仿宋_GB2312" w:cs="Times New Roman"/>
        <w:sz w:val="32"/>
        <w:szCs w:val="32"/>
      </w:rPr>
    </w:lvl>
  </w:abstractNum>
  <w:num w:numId="1">
    <w:abstractNumId w:val="0"/>
  </w:num>
  <w:num w:numId="2">
    <w:abstractNumId w:val="5"/>
  </w:num>
  <w:num w:numId="3">
    <w:abstractNumId w:val="4"/>
  </w:num>
  <w:num w:numId="4">
    <w:abstractNumId w:val="3"/>
  </w:num>
  <w:num w:numId="5">
    <w:abstractNumId w:val="6"/>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6B5581"/>
    <w:rsid w:val="0E4B69E2"/>
    <w:rsid w:val="126B5581"/>
    <w:rsid w:val="1A772A39"/>
    <w:rsid w:val="238D51AE"/>
    <w:rsid w:val="24767DB0"/>
    <w:rsid w:val="25AE72ED"/>
    <w:rsid w:val="28CC03F4"/>
    <w:rsid w:val="36D60261"/>
    <w:rsid w:val="47D87A00"/>
    <w:rsid w:val="6DD53F7C"/>
    <w:rsid w:val="70D52280"/>
    <w:rsid w:val="73797E30"/>
    <w:rsid w:val="7B881A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方正小标宋_GBK"/>
      <w:kern w:val="44"/>
      <w:sz w:val="36"/>
    </w:rPr>
  </w:style>
  <w:style w:type="paragraph" w:styleId="3">
    <w:name w:val="heading 2"/>
    <w:basedOn w:val="1"/>
    <w:next w:val="1"/>
    <w:unhideWhenUsed/>
    <w:qFormat/>
    <w:uiPriority w:val="0"/>
    <w:pPr>
      <w:keepNext/>
      <w:keepLines/>
      <w:spacing w:before="260" w:after="260" w:line="413" w:lineRule="auto"/>
      <w:jc w:val="center"/>
      <w:outlineLvl w:val="1"/>
    </w:pPr>
    <w:rPr>
      <w:rFonts w:ascii="Arial" w:hAnsi="Arial" w:eastAsia="黑体"/>
    </w:rPr>
  </w:style>
  <w:style w:type="paragraph" w:styleId="4">
    <w:name w:val="heading 3"/>
    <w:basedOn w:val="1"/>
    <w:next w:val="1"/>
    <w:unhideWhenUsed/>
    <w:qFormat/>
    <w:uiPriority w:val="0"/>
    <w:pPr>
      <w:keepNext/>
      <w:keepLines/>
      <w:numPr>
        <w:ilvl w:val="0"/>
        <w:numId w:val="1"/>
      </w:numPr>
      <w:tabs>
        <w:tab w:val="left" w:pos="6669"/>
      </w:tabs>
      <w:adjustRightInd w:val="0"/>
      <w:spacing w:beforeLines="50" w:afterLines="50"/>
      <w:outlineLvl w:val="2"/>
    </w:pPr>
    <w:rPr>
      <w:rFonts w:eastAsia="楷体_GB2312"/>
      <w:b/>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qFormat/>
    <w:uiPriority w:val="99"/>
    <w:pPr>
      <w:spacing w:line="360" w:lineRule="auto"/>
      <w:ind w:left="420" w:leftChars="200" w:firstLine="200" w:firstLineChars="200"/>
    </w:pPr>
    <w:rPr>
      <w:rFonts w:ascii="Times New Roman" w:hAnsi="Times New Roman" w:eastAsia="宋体"/>
      <w:sz w:val="28"/>
    </w:rPr>
  </w:style>
  <w:style w:type="paragraph" w:styleId="6">
    <w:name w:val="Normal Indent"/>
    <w:basedOn w:val="1"/>
    <w:qFormat/>
    <w:uiPriority w:val="0"/>
    <w:pPr>
      <w:spacing w:line="360" w:lineRule="auto"/>
      <w:ind w:firstLine="420" w:firstLineChars="200"/>
    </w:pPr>
    <w:rPr>
      <w:rFonts w:ascii="Calibri" w:hAnsi="Calibri" w:eastAsia="宋体" w:cs="Times New Roman"/>
      <w:sz w:val="28"/>
    </w:rPr>
  </w:style>
  <w:style w:type="paragraph" w:styleId="7">
    <w:name w:val="Body Text"/>
    <w:basedOn w:val="1"/>
    <w:unhideWhenUsed/>
    <w:qFormat/>
    <w:uiPriority w:val="99"/>
    <w:rPr>
      <w:rFonts w:ascii="等线" w:hAnsi="等线" w:eastAsia="宋体" w:cs="Times New Roman"/>
      <w:sz w:val="28"/>
    </w:rPr>
  </w:style>
  <w:style w:type="paragraph" w:styleId="8">
    <w:name w:val="Body Text Indent"/>
    <w:basedOn w:val="1"/>
    <w:qFormat/>
    <w:uiPriority w:val="0"/>
    <w:pPr>
      <w:spacing w:line="360" w:lineRule="auto"/>
      <w:ind w:firstLine="480" w:firstLineChars="150"/>
    </w:pPr>
    <w:rPr>
      <w:rFonts w:ascii="仿宋_GB2312" w:hAnsi="Times New Roman"/>
      <w:bCs/>
      <w:szCs w:val="32"/>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toc 1"/>
    <w:basedOn w:val="1"/>
    <w:next w:val="1"/>
    <w:qFormat/>
    <w:uiPriority w:val="39"/>
    <w:rPr>
      <w:rFonts w:eastAsia="黑体"/>
      <w:sz w:val="28"/>
    </w:rPr>
  </w:style>
  <w:style w:type="paragraph" w:styleId="11">
    <w:name w:val="toc 2"/>
    <w:basedOn w:val="1"/>
    <w:next w:val="1"/>
    <w:qFormat/>
    <w:uiPriority w:val="39"/>
    <w:pPr>
      <w:ind w:left="420" w:leftChars="200"/>
    </w:pPr>
    <w:rPr>
      <w:sz w:val="2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3">
    <w:name w:val="Body Text First Indent"/>
    <w:basedOn w:val="7"/>
    <w:qFormat/>
    <w:uiPriority w:val="0"/>
    <w:rPr>
      <w:rFonts w:eastAsia="仿宋_GB2312"/>
      <w:szCs w:val="20"/>
    </w:rPr>
  </w:style>
  <w:style w:type="paragraph" w:styleId="14">
    <w:name w:val="Body Text First Indent 2"/>
    <w:basedOn w:val="8"/>
    <w:unhideWhenUsed/>
    <w:qFormat/>
    <w:uiPriority w:val="99"/>
    <w:pPr>
      <w:spacing w:line="240" w:lineRule="auto"/>
      <w:ind w:firstLine="0" w:firstLineChars="0"/>
      <w:jc w:val="center"/>
    </w:pPr>
    <w:rPr>
      <w:rFonts w:hAnsi="仿宋_GB2312" w:eastAsia="宋体" w:cs="Times New Roman"/>
      <w:sz w:val="21"/>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文本1"/>
    <w:basedOn w:val="2"/>
    <w:qFormat/>
    <w:uiPriority w:val="0"/>
    <w:pPr>
      <w:tabs>
        <w:tab w:val="left" w:pos="0"/>
      </w:tabs>
      <w:spacing w:before="240" w:after="240" w:line="560" w:lineRule="exact"/>
      <w:ind w:hanging="1480" w:hangingChars="705"/>
    </w:pPr>
    <w:rPr>
      <w:rFonts w:ascii="Times New Roman" w:hAnsi="Times New Roman" w:eastAsia="黑体" w:cs="Times New Roman"/>
      <w:szCs w:val="36"/>
    </w:rPr>
  </w:style>
  <w:style w:type="paragraph" w:customStyle="1" w:styleId="19">
    <w:name w:val="文本正文"/>
    <w:basedOn w:val="1"/>
    <w:link w:val="20"/>
    <w:qFormat/>
    <w:uiPriority w:val="0"/>
    <w:pPr>
      <w:ind w:firstLine="560" w:firstLineChars="200"/>
    </w:pPr>
    <w:rPr>
      <w:rFonts w:ascii="Times New Roman" w:hAnsi="Times New Roman" w:cs="Times New Roman"/>
    </w:rPr>
  </w:style>
  <w:style w:type="character" w:customStyle="1" w:styleId="20">
    <w:name w:val="文本正文 Char"/>
    <w:basedOn w:val="17"/>
    <w:link w:val="19"/>
    <w:qFormat/>
    <w:uiPriority w:val="0"/>
    <w:rPr>
      <w:rFonts w:ascii="Times New Roman" w:hAnsi="Times New Roman" w:cs="Times New Roman"/>
    </w:rPr>
  </w:style>
  <w:style w:type="paragraph" w:customStyle="1" w:styleId="21">
    <w:name w:val="_Style 1"/>
    <w:basedOn w:val="1"/>
    <w:qFormat/>
    <w:uiPriority w:val="0"/>
    <w:pPr>
      <w:ind w:firstLine="200" w:firstLineChars="200"/>
    </w:pPr>
    <w:rPr>
      <w:rFonts w:ascii="Calibri" w:hAnsi="Calibri"/>
    </w:rPr>
  </w:style>
  <w:style w:type="paragraph" w:customStyle="1" w:styleId="22">
    <w:name w:val="文本二级标题"/>
    <w:basedOn w:val="3"/>
    <w:qFormat/>
    <w:uiPriority w:val="0"/>
    <w:pPr>
      <w:spacing w:beforeLines="100" w:afterLines="100" w:line="560" w:lineRule="exact"/>
      <w:ind w:hanging="658" w:hangingChars="313"/>
    </w:pPr>
    <w:rPr>
      <w:rFonts w:ascii="Times New Roman" w:hAnsi="Times New Roman"/>
    </w:rPr>
  </w:style>
  <w:style w:type="paragraph" w:styleId="2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9653</Words>
  <Characters>9966</Characters>
  <Lines>0</Lines>
  <Paragraphs>0</Paragraphs>
  <TotalTime>0</TotalTime>
  <ScaleCrop>false</ScaleCrop>
  <LinksUpToDate>false</LinksUpToDate>
  <CharactersWithSpaces>10211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2026-09-03T06:12:00Z</dcterms:created>
  <dc:creator>WPS_1528159264</dc:creator>
  <cp:lastModifiedBy>WPS_1528159264</cp:lastModifiedBy>
  <dcterms:modified xsi:type="dcterms:W3CDTF">2026-09-03T11:06:51Z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52C5E7FDABB74283ADB422128625FE6E_11</vt:lpwstr>
  </property>
  <property fmtid="{D5CDD505-2E9C-101B-9397-08002B2CF9AE}" pid="4" name="KSOTemplateDocerSaveRecord">
    <vt:lpwstr>eyJoZGlkIjoiZTUzNjk3YmZhOGEyYWI1ZjVjYzMwZjcxNWE0ODkwYTIiLCJ1c2VySWQiOiIzNzYwODA2NDgifQ==</vt:lpwstr>
  </property>
</Properties>
</file>