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E9" w:rsidRPr="00E95DE9" w:rsidRDefault="00E95DE9" w:rsidP="00E95DE9">
      <w:pPr>
        <w:widowControl/>
        <w:spacing w:line="450" w:lineRule="atLeast"/>
        <w:jc w:val="center"/>
        <w:textAlignment w:val="baseline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E95DE9"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  <w:t>税收征收管理法</w:t>
      </w:r>
      <w:r w:rsidRPr="00E95DE9"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  <w:br/>
      </w:r>
    </w:p>
    <w:p w:rsidR="00E95DE9" w:rsidRPr="00E95DE9" w:rsidRDefault="00E95DE9" w:rsidP="00E95DE9">
      <w:pPr>
        <w:widowControl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  <w:shd w:val="clear" w:color="auto" w:fill="FFFFFF"/>
        </w:rPr>
        <w:t>第一章　总　　则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第一条　根据《中华人民共和国税收征收管理法》(以下简称税收征管法)的规定，制定本细则。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第二条　凡依法由税务机关征收的各种税收的征收管理，均适用税收征管法及本细则;税收征管法及本细则没有规定的，依照其他有关税收法律、行政法规的规定执行。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第三条　任何部门、单位和个人</w:t>
      </w:r>
      <w:proofErr w:type="gramStart"/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作出</w:t>
      </w:r>
      <w:proofErr w:type="gramEnd"/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的与税收法律、行政法规相抵触的决定一律无效，税务机关不得执行，并应当向上级税务机关报告。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纳税人应当依照税收法律、行政法规的规定履行纳税义务;其签订的合同、协议等与税收法律、行政法规相抵触的，一律无效。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第四条　国家税务总局负责制定全国税务系统信息化建设的总体规划、技术标准、技术方案与实施办法;各级税务机关应当按照国家税务总局的总体规划、技术标准、技术方案与实施办法，做好本地区税务系统信息化建设的具体工作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地方各级人民政府应当积极支持税务系统信息化建设，并组织有关部门实现相关信息的共享。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lastRenderedPageBreak/>
        <w:t>第五条　税收征管法第八条所称为纳税人、扣缴义务人保密的情况，是指纳税人、扣缴义务人的商业秘密及个人隐私。纳税人、扣缴义务人的税收违法行为不属于保密范围。</w:t>
      </w:r>
      <w:bookmarkStart w:id="0" w:name="refer_6744724-6959267-5244962"/>
      <w:bookmarkEnd w:id="0"/>
      <w:r w:rsidRPr="00E95DE9">
        <w:rPr>
          <w:rFonts w:asciiTheme="majorEastAsia" w:eastAsiaTheme="majorEastAsia" w:hAnsiTheme="majorEastAsia" w:cs="宋体" w:hint="eastAsia"/>
          <w:color w:val="333333"/>
          <w:kern w:val="0"/>
          <w:sz w:val="32"/>
          <w:szCs w:val="32"/>
        </w:rPr>
        <w:fldChar w:fldCharType="begin"/>
      </w:r>
      <w:r w:rsidRPr="00E95DE9">
        <w:rPr>
          <w:rFonts w:asciiTheme="majorEastAsia" w:eastAsiaTheme="majorEastAsia" w:hAnsiTheme="majorEastAsia" w:cs="宋体" w:hint="eastAsia"/>
          <w:color w:val="333333"/>
          <w:kern w:val="0"/>
          <w:sz w:val="32"/>
          <w:szCs w:val="32"/>
        </w:rPr>
        <w:instrText xml:space="preserve"> HYPERLINK "https://baike.so.com/doc/6744724-6959267.html" \l "refff_6744724-6959267-2" </w:instrText>
      </w:r>
      <w:r w:rsidRPr="00E95DE9">
        <w:rPr>
          <w:rFonts w:asciiTheme="majorEastAsia" w:eastAsiaTheme="majorEastAsia" w:hAnsiTheme="majorEastAsia" w:cs="宋体" w:hint="eastAsia"/>
          <w:color w:val="333333"/>
          <w:kern w:val="0"/>
          <w:sz w:val="32"/>
          <w:szCs w:val="32"/>
        </w:rPr>
        <w:fldChar w:fldCharType="separate"/>
      </w:r>
      <w:r w:rsidRPr="00E95DE9">
        <w:rPr>
          <w:rFonts w:asciiTheme="majorEastAsia" w:eastAsiaTheme="majorEastAsia" w:hAnsiTheme="majorEastAsia" w:cs="宋体"/>
          <w:color w:val="000000"/>
          <w:kern w:val="0"/>
          <w:sz w:val="32"/>
          <w:szCs w:val="32"/>
        </w:rPr>
        <w:t>[2]</w:t>
      </w:r>
      <w:r w:rsidRPr="00E95DE9">
        <w:rPr>
          <w:rFonts w:asciiTheme="majorEastAsia" w:eastAsiaTheme="majorEastAsia" w:hAnsiTheme="majorEastAsia" w:cs="宋体" w:hint="eastAsia"/>
          <w:color w:val="333333"/>
          <w:kern w:val="0"/>
          <w:sz w:val="32"/>
          <w:szCs w:val="32"/>
        </w:rPr>
        <w:fldChar w:fldCharType="end"/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第六条　国家税务总局应当制定税务人员行为准则和服务规范。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上级税务机关发现下级税务机关的税收违法行为，应当及时予以纠正;下级税务机关应当按照上级税务机关的决定及时改正。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下级税务机关发现上级税务机关的税收违法行为，应当向上级税务机关或者有关部门报告。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第七条　税务机关根据检举人的贡献大小给予相应的奖励，奖励所需资金列入税务部门年度预算，单项核定。奖励资金具体使用办法以及奖励标准，由国家税务总局会同财政部制定。</w:t>
      </w: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  <w:t xml:space="preserve"> </w:t>
      </w:r>
    </w:p>
    <w:p w:rsidR="00E95DE9" w:rsidRPr="00E95DE9" w:rsidRDefault="00E95DE9" w:rsidP="00E95DE9">
      <w:pPr>
        <w:widowControl/>
        <w:shd w:val="clear" w:color="auto" w:fill="FFFFFF"/>
        <w:spacing w:line="390" w:lineRule="atLeast"/>
        <w:ind w:firstLine="420"/>
        <w:jc w:val="left"/>
        <w:textAlignment w:val="baseline"/>
        <w:rPr>
          <w:rFonts w:asciiTheme="majorEastAsia" w:eastAsiaTheme="majorEastAsia" w:hAnsiTheme="majorEastAsia" w:cs="宋体"/>
          <w:color w:val="333333"/>
          <w:kern w:val="0"/>
          <w:sz w:val="32"/>
          <w:szCs w:val="32"/>
        </w:rPr>
      </w:pPr>
      <w:r w:rsidRPr="00E95DE9">
        <w:rPr>
          <w:rFonts w:asciiTheme="majorEastAsia" w:eastAsiaTheme="majorEastAsia" w:hAnsiTheme="majorEastAsia" w:cs="宋体"/>
          <w:color w:val="333333"/>
          <w:kern w:val="0"/>
          <w:sz w:val="32"/>
          <w:szCs w:val="32"/>
          <w:bdr w:val="none" w:sz="0" w:space="0" w:color="auto" w:frame="1"/>
        </w:rPr>
        <w:t>第八条　税务人员在核定应纳税额、调整税收定额、进行税务检查、实施税务行政处罚、办理税务行政复议时，与纳税人、扣缴义务人或者其法定代表人、直接责任人有下列关系之一的，应当回避。</w:t>
      </w:r>
    </w:p>
    <w:p w:rsidR="00000000" w:rsidRPr="00E95DE9" w:rsidRDefault="00E95DE9"/>
    <w:sectPr w:rsidR="00000000" w:rsidRPr="00E95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E9" w:rsidRDefault="00E95DE9" w:rsidP="00E95DE9">
      <w:r>
        <w:separator/>
      </w:r>
    </w:p>
  </w:endnote>
  <w:endnote w:type="continuationSeparator" w:id="1">
    <w:p w:rsidR="00E95DE9" w:rsidRDefault="00E95DE9" w:rsidP="00E95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E9" w:rsidRDefault="00E95DE9" w:rsidP="00E95DE9">
      <w:r>
        <w:separator/>
      </w:r>
    </w:p>
  </w:footnote>
  <w:footnote w:type="continuationSeparator" w:id="1">
    <w:p w:rsidR="00E95DE9" w:rsidRDefault="00E95DE9" w:rsidP="00E95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5DE9"/>
    <w:rsid w:val="00E9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5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5D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5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5DE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95DE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95D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8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8C8C8"/>
            <w:right w:val="none" w:sz="0" w:space="0" w:color="auto"/>
          </w:divBdr>
          <w:divsChild>
            <w:div w:id="78882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oliver-zhuhaoyang@outlook.com</dc:creator>
  <cp:keywords/>
  <dc:description/>
  <cp:lastModifiedBy>oliver-zhuhaoyang@outlook.com</cp:lastModifiedBy>
  <cp:revision>2</cp:revision>
  <dcterms:created xsi:type="dcterms:W3CDTF">2018-09-25T08:30:00Z</dcterms:created>
  <dcterms:modified xsi:type="dcterms:W3CDTF">2018-09-25T08:31:00Z</dcterms:modified>
</cp:coreProperties>
</file>