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桦川县</w:t>
      </w:r>
      <w:r>
        <w:rPr>
          <w:rFonts w:hint="eastAsia" w:ascii="方正小标宋简体" w:hAnsi="方正小标宋简体" w:eastAsia="方正小标宋简体" w:cs="方正小标宋简体"/>
          <w:b w:val="0"/>
          <w:bCs w:val="0"/>
          <w:sz w:val="44"/>
          <w:szCs w:val="44"/>
        </w:rPr>
        <w:t>设施农用地管理</w:t>
      </w:r>
      <w:r>
        <w:rPr>
          <w:rFonts w:hint="eastAsia" w:ascii="方正小标宋简体" w:hAnsi="方正小标宋简体" w:eastAsia="方正小标宋简体" w:cs="方正小标宋简体"/>
          <w:b w:val="0"/>
          <w:bCs w:val="0"/>
          <w:sz w:val="44"/>
          <w:szCs w:val="44"/>
          <w:lang w:val="en-US" w:eastAsia="zh-CN"/>
        </w:rPr>
        <w:t>指导意见</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lang w:val="en-US" w:eastAsia="zh-CN"/>
        </w:rPr>
        <w:t>试行</w:t>
      </w:r>
      <w:r>
        <w:rPr>
          <w:rFonts w:hint="eastAsia" w:ascii="方正小标宋简体" w:hAnsi="方正小标宋简体" w:eastAsia="方正小标宋简体" w:cs="方正小标宋简体"/>
          <w:b w:val="0"/>
          <w:bCs w:val="0"/>
          <w:sz w:val="44"/>
          <w:szCs w:val="44"/>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2312" w:cs="Times New Roman"/>
          <w:sz w:val="32"/>
          <w:szCs w:val="32"/>
        </w:rPr>
      </w:pPr>
    </w:p>
    <w:p>
      <w:pPr>
        <w:keepNext w:val="0"/>
        <w:keepLines w:val="0"/>
        <w:widowControl/>
        <w:suppressLineNumbers w:val="0"/>
        <w:jc w:val="both"/>
        <w:rPr>
          <w:rFonts w:hint="eastAsia" w:ascii="黑体" w:hAnsi="黑体" w:eastAsia="黑体" w:cs="黑体"/>
          <w:b w:val="0"/>
          <w:bCs w:val="0"/>
          <w:sz w:val="32"/>
          <w:szCs w:val="32"/>
        </w:rPr>
      </w:pPr>
      <w:r>
        <w:rPr>
          <w:rFonts w:hint="eastAsia" w:ascii="Times New Roman" w:hAnsi="Times New Roman" w:eastAsia="方正仿宋_GB2312" w:cs="Times New Roman"/>
          <w:kern w:val="0"/>
          <w:sz w:val="32"/>
          <w:szCs w:val="32"/>
          <w:lang w:val="en-US" w:eastAsia="zh-CN" w:bidi="ar"/>
        </w:rPr>
        <w:t xml:space="preserve">    </w:t>
      </w:r>
      <w:r>
        <w:rPr>
          <w:rFonts w:hint="default" w:ascii="Times New Roman" w:hAnsi="Times New Roman" w:eastAsia="方正仿宋_GB2312" w:cs="Times New Roman"/>
          <w:kern w:val="0"/>
          <w:sz w:val="32"/>
          <w:szCs w:val="32"/>
          <w:lang w:val="en-US" w:eastAsia="zh-CN" w:bidi="ar"/>
        </w:rPr>
        <w:t>为深入贯彻耕地保护制度，落实党中央、国务院关于严格耕地用途管制、保障粮食安全的决策部署，根据《自然资源部</w:t>
      </w:r>
      <w:r>
        <w:rPr>
          <w:rFonts w:hint="eastAsia" w:ascii="Times New Roman" w:hAnsi="Times New Roman" w:eastAsia="方正仿宋_GB2312" w:cs="Times New Roman"/>
          <w:kern w:val="0"/>
          <w:sz w:val="32"/>
          <w:szCs w:val="32"/>
          <w:lang w:val="en-US" w:eastAsia="zh-CN" w:bidi="ar"/>
        </w:rPr>
        <w:t xml:space="preserve"> </w:t>
      </w:r>
      <w:r>
        <w:rPr>
          <w:rFonts w:hint="default" w:ascii="Times New Roman" w:hAnsi="Times New Roman" w:eastAsia="方正仿宋_GB2312" w:cs="Times New Roman"/>
          <w:kern w:val="0"/>
          <w:sz w:val="32"/>
          <w:szCs w:val="32"/>
          <w:lang w:val="en-US" w:eastAsia="zh-CN" w:bidi="ar"/>
        </w:rPr>
        <w:t>农业农村部关于设施农业用地管理有关问题的通知》（自然资规〔2019〕4号）、《黑龙江省自然资源厅 黑龙江省农业农村厅关于规范设施农业用地管理促进现代农业健康发展的通知》（黑自然资规〔2020〕1号）及《土地复垦条例》等法律法规和政策文件精神，结合我县设施农业发展实际，制定本指导意见。</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总则</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第一条 制度目的</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rPr>
        <w:t>为落实最严格耕地保护制度，规范设施农业用地管理，引导现代设施农业健康有序发展，助推乡村振兴战略实施，根据国家及省市相关法律</w:t>
      </w:r>
      <w:r>
        <w:rPr>
          <w:rFonts w:hint="default" w:ascii="Times New Roman" w:hAnsi="Times New Roman" w:eastAsia="方正仿宋_GB2312" w:cs="Times New Roman"/>
          <w:sz w:val="32"/>
          <w:szCs w:val="32"/>
          <w:highlight w:val="none"/>
        </w:rPr>
        <w:t>法规和政策要求，结合</w:t>
      </w:r>
      <w:r>
        <w:rPr>
          <w:rFonts w:hint="eastAsia" w:ascii="Times New Roman" w:hAnsi="Times New Roman" w:eastAsia="方正仿宋_GB2312" w:cs="Times New Roman"/>
          <w:sz w:val="32"/>
          <w:szCs w:val="32"/>
          <w:highlight w:val="none"/>
          <w:lang w:val="en-US" w:eastAsia="zh-CN"/>
        </w:rPr>
        <w:t>我县</w:t>
      </w:r>
      <w:r>
        <w:rPr>
          <w:rFonts w:hint="default" w:ascii="Times New Roman" w:hAnsi="Times New Roman" w:eastAsia="方正仿宋_GB2312" w:cs="Times New Roman"/>
          <w:sz w:val="32"/>
          <w:szCs w:val="32"/>
          <w:highlight w:val="none"/>
        </w:rPr>
        <w:t>实际，制定本</w:t>
      </w:r>
      <w:r>
        <w:rPr>
          <w:rFonts w:hint="eastAsia" w:ascii="Times New Roman" w:hAnsi="Times New Roman" w:eastAsia="方正仿宋_GB2312" w:cs="Times New Roman"/>
          <w:sz w:val="32"/>
          <w:szCs w:val="32"/>
          <w:highlight w:val="none"/>
          <w:lang w:val="en-US" w:eastAsia="zh-CN"/>
        </w:rPr>
        <w:t>意见</w:t>
      </w:r>
      <w:r>
        <w:rPr>
          <w:rFonts w:hint="default" w:ascii="Times New Roman" w:hAnsi="Times New Roman" w:eastAsia="方正仿宋_GB2312" w:cs="Times New Roman"/>
          <w:sz w:val="32"/>
          <w:szCs w:val="32"/>
          <w:highlight w:val="none"/>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第二条 适用范围</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本</w:t>
      </w:r>
      <w:r>
        <w:rPr>
          <w:rFonts w:hint="eastAsia" w:ascii="Times New Roman" w:hAnsi="Times New Roman" w:eastAsia="方正仿宋_GB2312" w:cs="Times New Roman"/>
          <w:sz w:val="32"/>
          <w:szCs w:val="32"/>
          <w:highlight w:val="none"/>
          <w:lang w:val="en-US" w:eastAsia="zh-CN"/>
        </w:rPr>
        <w:t>意见</w:t>
      </w:r>
      <w:r>
        <w:rPr>
          <w:rFonts w:hint="default" w:ascii="Times New Roman" w:hAnsi="Times New Roman" w:eastAsia="方正仿宋_GB2312" w:cs="Times New Roman"/>
          <w:sz w:val="32"/>
          <w:szCs w:val="32"/>
          <w:highlight w:val="none"/>
        </w:rPr>
        <w:t>适用于本行政区域内直接用于作物种植、畜禽水产养殖的设施农业用地管理，包括生产设施用地、辅助设施用地和配套设施用地三类。</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第三条 基本原则</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default" w:ascii="Times New Roman" w:hAnsi="Times New Roman" w:eastAsia="方正仿宋_GB2312" w:cs="Times New Roman"/>
          <w:sz w:val="32"/>
          <w:szCs w:val="32"/>
          <w:highlight w:val="none"/>
        </w:rPr>
      </w:pPr>
      <w:r>
        <w:rPr>
          <w:rStyle w:val="11"/>
          <w:rFonts w:hint="default" w:ascii="Times New Roman" w:hAnsi="Times New Roman" w:eastAsia="方正仿宋_GB2312" w:cs="Times New Roman"/>
          <w:sz w:val="32"/>
          <w:szCs w:val="32"/>
          <w:highlight w:val="none"/>
        </w:rPr>
        <w:t>农地农用原则</w:t>
      </w:r>
      <w:r>
        <w:rPr>
          <w:rFonts w:hint="default" w:ascii="Times New Roman" w:hAnsi="Times New Roman" w:eastAsia="方正仿宋_GB2312" w:cs="Times New Roman"/>
          <w:sz w:val="32"/>
          <w:szCs w:val="32"/>
          <w:highlight w:val="none"/>
        </w:rPr>
        <w:t>：设施农业用地必须保持农用地性质，不得擅自改变用途用于非农建设，不得擅自扩大用地规模，确需转为非农建设用地的，应当依法办理建设用地审批手续。</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default" w:ascii="Times New Roman" w:hAnsi="Times New Roman" w:eastAsia="方正仿宋_GB2312" w:cs="Times New Roman"/>
          <w:sz w:val="32"/>
          <w:szCs w:val="32"/>
          <w:highlight w:val="none"/>
        </w:rPr>
      </w:pPr>
      <w:r>
        <w:rPr>
          <w:rStyle w:val="11"/>
          <w:rFonts w:hint="default" w:ascii="Times New Roman" w:hAnsi="Times New Roman" w:eastAsia="方正仿宋_GB2312" w:cs="Times New Roman"/>
          <w:sz w:val="32"/>
          <w:szCs w:val="32"/>
          <w:highlight w:val="none"/>
        </w:rPr>
        <w:t>耕地保护原则</w:t>
      </w:r>
      <w:r>
        <w:rPr>
          <w:rFonts w:hint="default" w:ascii="Times New Roman" w:hAnsi="Times New Roman" w:eastAsia="方正仿宋_GB2312" w:cs="Times New Roman"/>
          <w:sz w:val="32"/>
          <w:szCs w:val="32"/>
          <w:highlight w:val="none"/>
        </w:rPr>
        <w:t>：严格控制新增设施农业占用耕地，严禁占用永久基本农田，确需占用一般耕地的，必须落实耕地</w:t>
      </w:r>
      <w:r>
        <w:rPr>
          <w:rFonts w:hint="eastAsia" w:ascii="Times New Roman" w:hAnsi="Times New Roman" w:eastAsia="方正仿宋_GB2312" w:cs="Times New Roman"/>
          <w:sz w:val="32"/>
          <w:szCs w:val="32"/>
          <w:highlight w:val="none"/>
          <w:lang w:eastAsia="zh-CN"/>
        </w:rPr>
        <w:t>“</w:t>
      </w:r>
      <w:r>
        <w:rPr>
          <w:rFonts w:hint="eastAsia" w:ascii="Times New Roman" w:hAnsi="Times New Roman" w:eastAsia="方正仿宋_GB2312" w:cs="Times New Roman"/>
          <w:sz w:val="32"/>
          <w:szCs w:val="32"/>
          <w:highlight w:val="none"/>
          <w:lang w:val="en-US" w:eastAsia="zh-CN"/>
        </w:rPr>
        <w:t>占补平衡”</w:t>
      </w:r>
      <w:r>
        <w:rPr>
          <w:rFonts w:hint="default" w:ascii="Times New Roman" w:hAnsi="Times New Roman" w:eastAsia="方正仿宋_GB2312" w:cs="Times New Roman"/>
          <w:sz w:val="32"/>
          <w:szCs w:val="32"/>
          <w:highlight w:val="none"/>
        </w:rPr>
        <w:t>，按照</w:t>
      </w:r>
      <w:r>
        <w:rPr>
          <w:rFonts w:hint="eastAsia" w:ascii="Times New Roman" w:hAnsi="Times New Roman" w:eastAsia="方正仿宋_GB2312" w:cs="Times New Roman"/>
          <w:sz w:val="32"/>
          <w:szCs w:val="32"/>
          <w:highlight w:val="none"/>
          <w:lang w:eastAsia="zh-CN"/>
        </w:rPr>
        <w:t>“</w:t>
      </w:r>
      <w:r>
        <w:rPr>
          <w:rFonts w:hint="default" w:ascii="Times New Roman" w:hAnsi="Times New Roman" w:eastAsia="方正仿宋_GB2312" w:cs="Times New Roman"/>
          <w:sz w:val="32"/>
          <w:szCs w:val="32"/>
          <w:highlight w:val="none"/>
        </w:rPr>
        <w:t>以补定占、先补后占</w:t>
      </w:r>
      <w:r>
        <w:rPr>
          <w:rFonts w:hint="eastAsia" w:ascii="Times New Roman" w:hAnsi="Times New Roman" w:eastAsia="方正仿宋_GB2312" w:cs="Times New Roman"/>
          <w:sz w:val="32"/>
          <w:szCs w:val="32"/>
          <w:highlight w:val="none"/>
          <w:lang w:eastAsia="zh-CN"/>
        </w:rPr>
        <w:t>”</w:t>
      </w:r>
      <w:r>
        <w:rPr>
          <w:rFonts w:hint="default" w:ascii="Times New Roman" w:hAnsi="Times New Roman" w:eastAsia="方正仿宋_GB2312" w:cs="Times New Roman"/>
          <w:sz w:val="32"/>
          <w:szCs w:val="32"/>
          <w:highlight w:val="none"/>
        </w:rPr>
        <w:t>要求，补充同等数量质量的可长期稳定利用耕地。</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default" w:ascii="Times New Roman" w:hAnsi="Times New Roman" w:eastAsia="方正仿宋_GB2312" w:cs="Times New Roman"/>
          <w:sz w:val="32"/>
          <w:szCs w:val="32"/>
          <w:highlight w:val="none"/>
        </w:rPr>
      </w:pPr>
      <w:r>
        <w:rPr>
          <w:rStyle w:val="11"/>
          <w:rFonts w:hint="default" w:ascii="Times New Roman" w:hAnsi="Times New Roman" w:eastAsia="方正仿宋_GB2312" w:cs="Times New Roman"/>
          <w:sz w:val="32"/>
          <w:szCs w:val="32"/>
          <w:highlight w:val="none"/>
        </w:rPr>
        <w:t>节约集约原则</w:t>
      </w:r>
      <w:r>
        <w:rPr>
          <w:rFonts w:hint="default" w:ascii="Times New Roman" w:hAnsi="Times New Roman" w:eastAsia="方正仿宋_GB2312" w:cs="Times New Roman"/>
          <w:sz w:val="32"/>
          <w:szCs w:val="32"/>
          <w:highlight w:val="none"/>
        </w:rPr>
        <w:t>：</w:t>
      </w:r>
      <w:r>
        <w:rPr>
          <w:rFonts w:hint="default" w:ascii="Times New Roman" w:hAnsi="Times New Roman" w:eastAsia="方正仿宋_GB2312" w:cs="Times New Roman"/>
          <w:color w:val="000000"/>
          <w:kern w:val="0"/>
          <w:sz w:val="32"/>
          <w:szCs w:val="32"/>
          <w:highlight w:val="none"/>
          <w:lang w:val="en-US" w:eastAsia="zh-CN" w:bidi="ar"/>
        </w:rPr>
        <w:t>合理引导设施农业用地选址。鼓励利用荒山荒坡等未利用地、农村闲置土地、存量低效用地、不能稳定利用的耕地发展设施农业。鼓励设施农业用地主体与村集体经济组织、农民合作社等联合，共同兴建粮食仓储烘干、晾晒场、农机库棚等设施，促进节约集约用地。</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第二章 用地范围与规模标准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第四条 用地分类范围</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2312" w:cs="Times New Roman"/>
          <w:b w:val="0"/>
          <w:bCs w:val="0"/>
          <w:kern w:val="0"/>
          <w:sz w:val="32"/>
          <w:szCs w:val="32"/>
          <w:highlight w:val="none"/>
          <w:lang w:val="en-US" w:eastAsia="zh-CN" w:bidi="ar"/>
        </w:rPr>
      </w:pPr>
      <w:r>
        <w:rPr>
          <w:rFonts w:hint="default" w:ascii="Times New Roman" w:hAnsi="Times New Roman" w:eastAsia="方正仿宋_GB2312" w:cs="Times New Roman"/>
          <w:b w:val="0"/>
          <w:bCs w:val="0"/>
          <w:kern w:val="0"/>
          <w:sz w:val="32"/>
          <w:szCs w:val="32"/>
          <w:highlight w:val="none"/>
          <w:lang w:val="en-US" w:eastAsia="zh-CN" w:bidi="ar"/>
        </w:rPr>
        <w:t>设施农业用地包括农业生产中直接用于作物种植和畜禽水产养殖的设施用地，主要区分为生产设施用地和辅助设施用地。</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方正仿宋_GB2312" w:cs="Times New Roman"/>
          <w:b w:val="0"/>
          <w:bCs w:val="0"/>
          <w:kern w:val="0"/>
          <w:sz w:val="32"/>
          <w:szCs w:val="32"/>
          <w:highlight w:val="none"/>
          <w:lang w:val="en-US" w:eastAsia="zh-CN" w:bidi="ar"/>
        </w:rPr>
      </w:pPr>
      <w:r>
        <w:rPr>
          <w:rFonts w:hint="default" w:ascii="Times New Roman" w:hAnsi="Times New Roman" w:eastAsia="方正仿宋_GB2312" w:cs="Times New Roman"/>
          <w:b w:val="0"/>
          <w:bCs w:val="0"/>
          <w:kern w:val="0"/>
          <w:sz w:val="32"/>
          <w:szCs w:val="32"/>
          <w:highlight w:val="none"/>
          <w:lang w:val="en-US" w:eastAsia="zh-CN" w:bidi="ar"/>
        </w:rPr>
        <w:t>（一）生产设施用地是指直接用于农产品生产的设施用地。主要包括：作物种植的大棚、温室（含温室墙体、室内通道和棚间道路）、工厂化作物栽培建造的钢架结构的玻璃或PC板连栋温室、智能大棚；畜禽养殖的圈舍（含场区内道路、畜禽有机物处置、绿化隔离用地）、工厂化水产养殖池塘（含给排水设施）、水产苗种繁育生产车间和水产养殖尾水治理等生产设施用地</w:t>
      </w:r>
      <w:r>
        <w:rPr>
          <w:rFonts w:hint="eastAsia" w:ascii="Times New Roman" w:hAnsi="Times New Roman" w:eastAsia="方正仿宋_GB2312" w:cs="Times New Roman"/>
          <w:b w:val="0"/>
          <w:bCs w:val="0"/>
          <w:kern w:val="0"/>
          <w:sz w:val="32"/>
          <w:szCs w:val="32"/>
          <w:highlight w:val="none"/>
          <w:lang w:val="en-US" w:eastAsia="zh-CN" w:bidi="ar"/>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2312" w:cs="Times New Roman"/>
          <w:b w:val="0"/>
          <w:bCs w:val="0"/>
          <w:kern w:val="0"/>
          <w:sz w:val="32"/>
          <w:szCs w:val="32"/>
          <w:highlight w:val="none"/>
          <w:lang w:val="en-US" w:eastAsia="zh-CN" w:bidi="ar"/>
        </w:rPr>
      </w:pPr>
      <w:r>
        <w:rPr>
          <w:rFonts w:hint="default" w:ascii="Times New Roman" w:hAnsi="Times New Roman" w:eastAsia="方正仿宋_GB2312" w:cs="Times New Roman"/>
          <w:b w:val="0"/>
          <w:bCs w:val="0"/>
          <w:kern w:val="0"/>
          <w:sz w:val="32"/>
          <w:szCs w:val="32"/>
          <w:highlight w:val="none"/>
          <w:lang w:val="en-US" w:eastAsia="zh-CN" w:bidi="ar"/>
        </w:rPr>
        <w:t>（二）辅助设施用地是指直接与农业生产项目关联的辅助或配套设施用地。</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2312" w:cs="Times New Roman"/>
          <w:b w:val="0"/>
          <w:bCs w:val="0"/>
          <w:kern w:val="0"/>
          <w:sz w:val="32"/>
          <w:szCs w:val="32"/>
          <w:highlight w:val="none"/>
          <w:lang w:val="en-US" w:eastAsia="zh-CN" w:bidi="ar"/>
        </w:rPr>
      </w:pPr>
      <w:r>
        <w:rPr>
          <w:rFonts w:hint="default" w:ascii="Times New Roman" w:hAnsi="Times New Roman" w:eastAsia="方正仿宋_GB2312" w:cs="Times New Roman"/>
          <w:b w:val="0"/>
          <w:bCs w:val="0"/>
          <w:kern w:val="0"/>
          <w:sz w:val="32"/>
          <w:szCs w:val="32"/>
          <w:highlight w:val="none"/>
          <w:lang w:val="en-US" w:eastAsia="zh-CN" w:bidi="ar"/>
        </w:rPr>
        <w:t>1.作物种植辅助设施用地主要包括：与作物生产直接关联的烘干晾晒、分拣包装、冷藏保鲜、看护房、粮食和农资农机具存放、作物栽培废弃物收集处理、种植类有机肥料生产、种植业生产所必需的设备原料农产品临时存储、育种育苗场所等用地。</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2312" w:cs="Times New Roman"/>
          <w:b w:val="0"/>
          <w:bCs w:val="0"/>
          <w:kern w:val="0"/>
          <w:sz w:val="32"/>
          <w:szCs w:val="32"/>
          <w:highlight w:val="none"/>
          <w:lang w:val="en-US" w:eastAsia="zh-CN" w:bidi="ar"/>
        </w:rPr>
      </w:pPr>
      <w:r>
        <w:rPr>
          <w:rFonts w:hint="default" w:ascii="Times New Roman" w:hAnsi="Times New Roman" w:eastAsia="方正仿宋_GB2312" w:cs="Times New Roman"/>
          <w:b w:val="0"/>
          <w:bCs w:val="0"/>
          <w:kern w:val="0"/>
          <w:sz w:val="32"/>
          <w:szCs w:val="32"/>
          <w:highlight w:val="none"/>
          <w:lang w:val="en-US" w:eastAsia="zh-CN" w:bidi="ar"/>
        </w:rPr>
        <w:t>2.畜禽水产养殖辅助设施用地主要包括：与畜禽水产养殖直接关联的检验检疫监测、动物疫病虫防控、畜禽粪污资源化利用等设施以及必要的管理用房用地。</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2312" w:cs="Times New Roman"/>
          <w:b w:val="0"/>
          <w:bCs w:val="0"/>
          <w:kern w:val="0"/>
          <w:sz w:val="32"/>
          <w:szCs w:val="32"/>
          <w:highlight w:val="none"/>
          <w:lang w:val="en-US" w:eastAsia="zh-CN" w:bidi="ar"/>
        </w:rPr>
      </w:pPr>
      <w:r>
        <w:rPr>
          <w:rFonts w:hint="default" w:ascii="Times New Roman" w:hAnsi="Times New Roman" w:eastAsia="方正仿宋_GB2312" w:cs="Times New Roman"/>
          <w:b w:val="0"/>
          <w:bCs w:val="0"/>
          <w:kern w:val="0"/>
          <w:sz w:val="32"/>
          <w:szCs w:val="32"/>
          <w:highlight w:val="none"/>
          <w:lang w:val="en-US" w:eastAsia="zh-CN" w:bidi="ar"/>
        </w:rPr>
        <w:t>（三）严禁将须经建设用地审批的项目用地纳入设施农业用地范围。以下用地须依法依规按建设用地（含点状供地）进行管理：畜禽屠宰、肉类加工场所；农资企业存放农资、农机经销维修企业的农机存放和维修场所；经营性农产品加工、仓储、销售及秸秆综合化再利用场所；庄园、酒庄、农家乐等各类休闲、观光、度假场所；各类农业园区或农业产业融合发展设施对外经营的餐饮、住宿、会议、停车场、物流、展销、批发及工厂化农产品加工场所。</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第五条 规模控制标准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2312" w:cs="Times New Roman"/>
          <w:b w:val="0"/>
          <w:bCs w:val="0"/>
          <w:color w:val="000000"/>
          <w:kern w:val="0"/>
          <w:sz w:val="32"/>
          <w:szCs w:val="32"/>
          <w:highlight w:val="none"/>
          <w:lang w:val="en-US" w:eastAsia="zh-CN" w:bidi="ar"/>
        </w:rPr>
      </w:pPr>
      <w:r>
        <w:rPr>
          <w:rFonts w:hint="default" w:ascii="Times New Roman" w:hAnsi="Times New Roman" w:eastAsia="方正仿宋_GB2312" w:cs="Times New Roman"/>
          <w:b w:val="0"/>
          <w:bCs w:val="0"/>
          <w:color w:val="000000"/>
          <w:kern w:val="0"/>
          <w:sz w:val="32"/>
          <w:szCs w:val="32"/>
          <w:highlight w:val="none"/>
          <w:lang w:val="en-US" w:eastAsia="zh-CN" w:bidi="ar"/>
        </w:rPr>
        <w:t>1.作物种植面积在1000亩及以下的，辅助设施用地规模控制在5亩以内；1000亩至10000亩之间的，控制在15亩以内；10000亩及以上的，控制在30亩以内。看护房控制在单体单层、最多不超过40平方米。</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2312" w:cs="Times New Roman"/>
          <w:b w:val="0"/>
          <w:bCs w:val="0"/>
          <w:sz w:val="32"/>
          <w:szCs w:val="32"/>
          <w:highlight w:val="none"/>
        </w:rPr>
      </w:pPr>
      <w:r>
        <w:rPr>
          <w:rFonts w:hint="default" w:ascii="Times New Roman" w:hAnsi="Times New Roman" w:eastAsia="方正仿宋_GB2312" w:cs="Times New Roman"/>
          <w:b w:val="0"/>
          <w:bCs w:val="0"/>
          <w:color w:val="000000"/>
          <w:kern w:val="0"/>
          <w:sz w:val="32"/>
          <w:szCs w:val="32"/>
          <w:highlight w:val="none"/>
          <w:lang w:val="en-US" w:eastAsia="zh-CN" w:bidi="ar"/>
        </w:rPr>
        <w:t>2.畜禽水产养殖辅助设施用地，原则上控制在项目用地规模的7%以内，最多不超过10亩。规模化畜禽水产养殖的辅助设施用地规模控制在项目用地规模的10%以内，最多不超过15亩（生猪养殖的辅助设施用地取消15亩上限）；采取多层建筑从事畜禽养殖的辅助设施用地比例适当提高，最多不超过项目用地规模的20%。</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default" w:ascii="Times New Roman" w:hAnsi="Times New Roman" w:eastAsia="方正仿宋_GB2312" w:cs="Times New Roman"/>
          <w:b/>
          <w:bCs/>
          <w:sz w:val="32"/>
          <w:szCs w:val="32"/>
          <w:highlight w:val="none"/>
        </w:rPr>
      </w:pPr>
      <w:r>
        <w:rPr>
          <w:rFonts w:hint="default" w:ascii="Times New Roman" w:hAnsi="Times New Roman" w:eastAsia="方正仿宋_GB2312" w:cs="Times New Roman"/>
          <w:b/>
          <w:bCs/>
          <w:sz w:val="32"/>
          <w:szCs w:val="32"/>
          <w:highlight w:val="none"/>
        </w:rPr>
        <w:t>第六条 建筑规范要求</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作物种植类辅助设施和配套设施原则上为单层建筑，辅助设施确需建设的，允许建设两层简易板房，单个看护房建筑面积不得超过15平方米。</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畜禽、水产养殖设施允许建设多层建筑，需符合农业生产安全和生态环保要求。</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第三章 用地选址要求</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第七条 禁止选址区域</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除法律法规明确允许的情形外，严禁在以下区域新增设施农业建设：</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2312" w:cs="Times New Roman"/>
          <w:sz w:val="32"/>
          <w:szCs w:val="32"/>
          <w:highlight w:val="none"/>
        </w:rPr>
      </w:pPr>
      <w:r>
        <w:rPr>
          <w:rFonts w:hint="eastAsia" w:ascii="Times New Roman" w:hAnsi="Times New Roman" w:eastAsia="方正仿宋_GB2312" w:cs="Times New Roman"/>
          <w:sz w:val="32"/>
          <w:szCs w:val="32"/>
          <w:highlight w:val="none"/>
          <w:lang w:val="en-US" w:eastAsia="zh-CN"/>
        </w:rPr>
        <w:t>1.</w:t>
      </w:r>
      <w:r>
        <w:rPr>
          <w:rFonts w:hint="default" w:ascii="Times New Roman" w:hAnsi="Times New Roman" w:eastAsia="方正仿宋_GB2312" w:cs="Times New Roman"/>
          <w:sz w:val="32"/>
          <w:szCs w:val="32"/>
          <w:highlight w:val="none"/>
        </w:rPr>
        <w:t>生态保护红线范围内；</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2312" w:cs="Times New Roman"/>
          <w:sz w:val="32"/>
          <w:szCs w:val="32"/>
          <w:highlight w:val="none"/>
        </w:rPr>
      </w:pPr>
      <w:r>
        <w:rPr>
          <w:rFonts w:hint="eastAsia" w:ascii="Times New Roman" w:hAnsi="Times New Roman" w:eastAsia="方正仿宋_GB2312" w:cs="Times New Roman"/>
          <w:sz w:val="32"/>
          <w:szCs w:val="32"/>
          <w:highlight w:val="none"/>
          <w:lang w:val="en-US" w:eastAsia="zh-CN"/>
        </w:rPr>
        <w:t>2.</w:t>
      </w:r>
      <w:r>
        <w:rPr>
          <w:rFonts w:hint="default" w:ascii="Times New Roman" w:hAnsi="Times New Roman" w:eastAsia="方正仿宋_GB2312" w:cs="Times New Roman"/>
          <w:sz w:val="32"/>
          <w:szCs w:val="32"/>
          <w:highlight w:val="none"/>
        </w:rPr>
        <w:t>饮用水源地一级保护区；</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2312" w:cs="Times New Roman"/>
          <w:sz w:val="32"/>
          <w:szCs w:val="32"/>
          <w:highlight w:val="none"/>
        </w:rPr>
      </w:pPr>
      <w:r>
        <w:rPr>
          <w:rFonts w:hint="eastAsia" w:ascii="Times New Roman" w:hAnsi="Times New Roman" w:eastAsia="方正仿宋_GB2312" w:cs="Times New Roman"/>
          <w:sz w:val="32"/>
          <w:szCs w:val="32"/>
          <w:highlight w:val="none"/>
          <w:lang w:val="en-US" w:eastAsia="zh-CN"/>
        </w:rPr>
        <w:t>3.</w:t>
      </w:r>
      <w:r>
        <w:rPr>
          <w:rFonts w:hint="default" w:ascii="Times New Roman" w:hAnsi="Times New Roman" w:eastAsia="方正仿宋_GB2312" w:cs="Times New Roman"/>
          <w:sz w:val="32"/>
          <w:szCs w:val="32"/>
          <w:highlight w:val="none"/>
        </w:rPr>
        <w:t>自然保护地保护区；</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2312" w:cs="Times New Roman"/>
          <w:sz w:val="32"/>
          <w:szCs w:val="32"/>
          <w:highlight w:val="none"/>
        </w:rPr>
      </w:pPr>
      <w:r>
        <w:rPr>
          <w:rFonts w:hint="eastAsia" w:ascii="Times New Roman" w:hAnsi="Times New Roman" w:eastAsia="方正仿宋_GB2312" w:cs="Times New Roman"/>
          <w:sz w:val="32"/>
          <w:szCs w:val="32"/>
          <w:highlight w:val="none"/>
          <w:lang w:val="en-US" w:eastAsia="zh-CN"/>
        </w:rPr>
        <w:t>4.</w:t>
      </w:r>
      <w:r>
        <w:rPr>
          <w:rFonts w:hint="default" w:ascii="Times New Roman" w:hAnsi="Times New Roman" w:eastAsia="方正仿宋_GB2312" w:cs="Times New Roman"/>
          <w:sz w:val="32"/>
          <w:szCs w:val="32"/>
          <w:highlight w:val="none"/>
        </w:rPr>
        <w:t>生态环境安全控制区；</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2312" w:cs="Times New Roman"/>
          <w:sz w:val="32"/>
          <w:szCs w:val="32"/>
          <w:highlight w:val="none"/>
        </w:rPr>
      </w:pPr>
      <w:r>
        <w:rPr>
          <w:rFonts w:hint="eastAsia" w:ascii="Times New Roman" w:hAnsi="Times New Roman" w:eastAsia="方正仿宋_GB2312" w:cs="Times New Roman"/>
          <w:sz w:val="32"/>
          <w:szCs w:val="32"/>
          <w:highlight w:val="none"/>
          <w:lang w:val="en-US" w:eastAsia="zh-CN"/>
        </w:rPr>
        <w:t>5.</w:t>
      </w:r>
      <w:r>
        <w:rPr>
          <w:rFonts w:hint="default" w:ascii="Times New Roman" w:hAnsi="Times New Roman" w:eastAsia="方正仿宋_GB2312" w:cs="Times New Roman"/>
          <w:sz w:val="32"/>
          <w:szCs w:val="32"/>
          <w:highlight w:val="none"/>
        </w:rPr>
        <w:t>法律法规规定禁止建设的其他区域。</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第八条</w:t>
      </w:r>
      <w:r>
        <w:rPr>
          <w:rFonts w:hint="eastAsia" w:ascii="Times New Roman" w:hAnsi="Times New Roman" w:eastAsia="方正仿宋_GB2312" w:cs="Times New Roman"/>
          <w:sz w:val="32"/>
          <w:szCs w:val="32"/>
          <w:highlight w:val="none"/>
          <w:lang w:val="en-US" w:eastAsia="zh-CN"/>
        </w:rPr>
        <w:t xml:space="preserve"> 规范设施农用地</w:t>
      </w:r>
      <w:r>
        <w:rPr>
          <w:rFonts w:hint="default" w:ascii="Times New Roman" w:hAnsi="Times New Roman" w:eastAsia="方正仿宋_GB2312" w:cs="Times New Roman"/>
          <w:sz w:val="32"/>
          <w:szCs w:val="32"/>
          <w:highlight w:val="none"/>
        </w:rPr>
        <w:t>要求</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2312" w:cs="Times New Roman"/>
          <w:b w:val="0"/>
          <w:bCs w:val="0"/>
          <w:color w:val="000000"/>
          <w:kern w:val="0"/>
          <w:sz w:val="32"/>
          <w:szCs w:val="32"/>
          <w:highlight w:val="none"/>
          <w:lang w:val="en-US" w:eastAsia="zh-CN" w:bidi="ar"/>
        </w:rPr>
      </w:pPr>
      <w:r>
        <w:rPr>
          <w:rFonts w:hint="default" w:ascii="Times New Roman" w:hAnsi="Times New Roman" w:eastAsia="方正仿宋_GB2312" w:cs="Times New Roman"/>
          <w:b w:val="0"/>
          <w:bCs w:val="0"/>
          <w:color w:val="000000"/>
          <w:kern w:val="0"/>
          <w:sz w:val="32"/>
          <w:szCs w:val="32"/>
          <w:highlight w:val="none"/>
          <w:lang w:val="en-US" w:eastAsia="zh-CN" w:bidi="ar"/>
        </w:rPr>
        <w:t>（一）落实用途管制。设施农业用地按照原地类管理，占用农用地的，不需要办理农用地转用审批手续。设施农业用地不再使用的，必须恢复原用途。涉及破坏耕地耕作层的，要编制土地复垦方案，在银行开设专门账户预存土地复垦费用，由银行、乡（镇）人民政府、设施农业用地主体三方签订监管协议。被非农建设占用的，应依法办理农用地转用审批手续，落实耕地占补平衡。</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2312" w:cs="Times New Roman"/>
          <w:b w:val="0"/>
          <w:bCs w:val="0"/>
          <w:color w:val="000000"/>
          <w:kern w:val="0"/>
          <w:sz w:val="32"/>
          <w:szCs w:val="32"/>
          <w:highlight w:val="none"/>
          <w:lang w:val="en-US" w:eastAsia="zh-CN" w:bidi="ar"/>
        </w:rPr>
      </w:pPr>
      <w:r>
        <w:rPr>
          <w:rFonts w:hint="default" w:ascii="Times New Roman" w:hAnsi="Times New Roman" w:eastAsia="方正仿宋_GB2312" w:cs="Times New Roman"/>
          <w:b w:val="0"/>
          <w:bCs w:val="0"/>
          <w:color w:val="000000"/>
          <w:kern w:val="0"/>
          <w:sz w:val="32"/>
          <w:szCs w:val="32"/>
          <w:highlight w:val="none"/>
          <w:lang w:val="en-US" w:eastAsia="zh-CN" w:bidi="ar"/>
        </w:rPr>
        <w:t>（二）规范取得方式。设施农业用地主体与农村集体经济组织就用地位置、土地用途、占地面积、使用年限、土地复垦要求等协商一致、签订用地协议后，报乡（镇）人民政府备案，乡（镇）政府及时汇总情况后汇交至县级自然资源主管部门。设施农业用地必须先备案后使用。</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2312" w:cs="Times New Roman"/>
          <w:b w:val="0"/>
          <w:bCs w:val="0"/>
          <w:sz w:val="32"/>
          <w:szCs w:val="32"/>
          <w:highlight w:val="none"/>
        </w:rPr>
      </w:pPr>
      <w:r>
        <w:rPr>
          <w:rFonts w:hint="default" w:ascii="Times New Roman" w:hAnsi="Times New Roman" w:eastAsia="方正仿宋_GB2312" w:cs="Times New Roman"/>
          <w:b w:val="0"/>
          <w:bCs w:val="0"/>
          <w:color w:val="000000"/>
          <w:kern w:val="0"/>
          <w:sz w:val="32"/>
          <w:szCs w:val="32"/>
          <w:highlight w:val="none"/>
          <w:lang w:val="en-US" w:eastAsia="zh-CN" w:bidi="ar"/>
        </w:rPr>
        <w:t>（三）明确使用期限。设施农业用地使用期限因生产需要而定，原则上不得超过土地承包经营期或土地经营权流转合同确定的期限。期满需继续使用的须办理续期手续。</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第四章 备案管理流程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第九条 协议签订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kern w:val="0"/>
          <w:sz w:val="32"/>
          <w:szCs w:val="32"/>
          <w:highlight w:val="none"/>
          <w:lang w:val="en-US" w:eastAsia="zh-CN" w:bidi="ar"/>
        </w:rPr>
      </w:pPr>
      <w:r>
        <w:rPr>
          <w:rFonts w:hint="default" w:ascii="Times New Roman" w:hAnsi="Times New Roman" w:eastAsia="方正仿宋_GB2312" w:cs="Times New Roman"/>
          <w:color w:val="000000"/>
          <w:kern w:val="0"/>
          <w:sz w:val="32"/>
          <w:szCs w:val="32"/>
          <w:highlight w:val="none"/>
          <w:lang w:val="en-US" w:eastAsia="zh-CN" w:bidi="ar"/>
        </w:rPr>
        <w:t>设施农业用地协议：为规范设施农业用地管理，维护土地所有权人、使用权人的合法权益，双方应按照“平等、自愿、公开、公正”的原则，经协商一致，签订使用协议。主要包括：项目名称；用地位置、面积；具体用途；租金额度及交付；使用年限；土地复垦要求；土地交还；违约责任；其他约定事项等内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color w:val="000000"/>
          <w:kern w:val="0"/>
          <w:sz w:val="32"/>
          <w:szCs w:val="32"/>
          <w:highlight w:val="none"/>
          <w:lang w:val="en-US" w:eastAsia="zh-CN" w:bidi="ar"/>
        </w:rPr>
        <w:t>设施农业用地建设方案：设施农业用地应制定建设方案，明确生产设施用地、辅助设施用地具体位置、用途、占地面积等，不得擅自改变设施农业用地用途。</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color w:val="000000"/>
          <w:kern w:val="0"/>
          <w:sz w:val="32"/>
          <w:szCs w:val="32"/>
          <w:highlight w:val="none"/>
          <w:lang w:val="en-US" w:eastAsia="zh-CN" w:bidi="ar"/>
        </w:rPr>
        <w:t>土地复垦方案：对从事设施农业建设时，涉及破坏耕地耕作层的，按照《土地复垦条例》</w:t>
      </w:r>
      <w:r>
        <w:rPr>
          <w:rFonts w:hint="eastAsia" w:ascii="Times New Roman" w:hAnsi="Times New Roman" w:eastAsia="方正仿宋_GB2312" w:cs="Times New Roman"/>
          <w:color w:val="000000"/>
          <w:kern w:val="0"/>
          <w:sz w:val="32"/>
          <w:szCs w:val="32"/>
          <w:highlight w:val="none"/>
          <w:lang w:val="en-US" w:eastAsia="zh-CN" w:bidi="ar"/>
        </w:rPr>
        <w:t>等相关法律法规规定</w:t>
      </w:r>
      <w:r>
        <w:rPr>
          <w:rFonts w:hint="default" w:ascii="Times New Roman" w:hAnsi="Times New Roman" w:eastAsia="方正仿宋_GB2312" w:cs="Times New Roman"/>
          <w:color w:val="000000"/>
          <w:kern w:val="0"/>
          <w:sz w:val="32"/>
          <w:szCs w:val="32"/>
          <w:highlight w:val="none"/>
          <w:lang w:val="en-US" w:eastAsia="zh-CN" w:bidi="ar"/>
        </w:rPr>
        <w:t>，制定《土地复垦方案》。</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第十条 备案申请</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用地主体完成协议签订后，向属地</w:t>
      </w:r>
      <w:r>
        <w:rPr>
          <w:rFonts w:hint="eastAsia" w:ascii="Times New Roman" w:hAnsi="Times New Roman" w:eastAsia="方正仿宋_GB2312" w:cs="Times New Roman"/>
          <w:sz w:val="32"/>
          <w:szCs w:val="32"/>
          <w:highlight w:val="none"/>
          <w:lang w:eastAsia="zh-CN"/>
        </w:rPr>
        <w:t>乡（镇）</w:t>
      </w:r>
      <w:r>
        <w:rPr>
          <w:rFonts w:hint="default" w:ascii="Times New Roman" w:hAnsi="Times New Roman" w:eastAsia="方正仿宋_GB2312" w:cs="Times New Roman"/>
          <w:sz w:val="32"/>
          <w:szCs w:val="32"/>
          <w:highlight w:val="none"/>
        </w:rPr>
        <w:t>人民政府提交以下备案材料：</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2312" w:cs="Times New Roman"/>
          <w:sz w:val="32"/>
          <w:szCs w:val="32"/>
          <w:highlight w:val="none"/>
        </w:rPr>
      </w:pPr>
      <w:r>
        <w:rPr>
          <w:rFonts w:hint="eastAsia" w:ascii="Times New Roman" w:hAnsi="Times New Roman" w:eastAsia="方正仿宋_GB2312" w:cs="Times New Roman"/>
          <w:sz w:val="32"/>
          <w:szCs w:val="32"/>
          <w:highlight w:val="none"/>
          <w:lang w:val="en-US" w:eastAsia="zh-CN"/>
        </w:rPr>
        <w:t>1.</w:t>
      </w:r>
      <w:r>
        <w:rPr>
          <w:rFonts w:hint="default" w:ascii="Times New Roman" w:hAnsi="Times New Roman" w:eastAsia="方正仿宋_GB2312" w:cs="Times New Roman"/>
          <w:sz w:val="32"/>
          <w:szCs w:val="32"/>
          <w:highlight w:val="none"/>
        </w:rPr>
        <w:t>设施农业用地备案表；</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2312" w:cs="Times New Roman"/>
          <w:sz w:val="32"/>
          <w:szCs w:val="32"/>
          <w:highlight w:val="none"/>
        </w:rPr>
      </w:pPr>
      <w:r>
        <w:rPr>
          <w:rFonts w:hint="eastAsia" w:ascii="Times New Roman" w:hAnsi="Times New Roman" w:eastAsia="方正仿宋_GB2312" w:cs="Times New Roman"/>
          <w:sz w:val="32"/>
          <w:szCs w:val="32"/>
          <w:highlight w:val="none"/>
          <w:lang w:val="en-US" w:eastAsia="zh-CN"/>
        </w:rPr>
        <w:t>2.</w:t>
      </w:r>
      <w:r>
        <w:rPr>
          <w:rFonts w:hint="default" w:ascii="Times New Roman" w:hAnsi="Times New Roman" w:eastAsia="方正仿宋_GB2312" w:cs="Times New Roman"/>
          <w:sz w:val="32"/>
          <w:szCs w:val="32"/>
          <w:highlight w:val="none"/>
        </w:rPr>
        <w:t>用地协议；</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2312" w:cs="Times New Roman"/>
          <w:sz w:val="32"/>
          <w:szCs w:val="32"/>
          <w:highlight w:val="none"/>
        </w:rPr>
      </w:pPr>
      <w:r>
        <w:rPr>
          <w:rFonts w:hint="eastAsia" w:ascii="Times New Roman" w:hAnsi="Times New Roman" w:eastAsia="方正仿宋_GB2312" w:cs="Times New Roman"/>
          <w:sz w:val="32"/>
          <w:szCs w:val="32"/>
          <w:highlight w:val="none"/>
          <w:lang w:val="en-US" w:eastAsia="zh-CN"/>
        </w:rPr>
        <w:t>3.</w:t>
      </w:r>
      <w:r>
        <w:rPr>
          <w:rFonts w:hint="default" w:ascii="Times New Roman" w:hAnsi="Times New Roman" w:eastAsia="方正仿宋_GB2312" w:cs="Times New Roman"/>
          <w:sz w:val="32"/>
          <w:szCs w:val="32"/>
          <w:highlight w:val="none"/>
        </w:rPr>
        <w:t>建设方案；</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2312" w:cs="Times New Roman"/>
          <w:sz w:val="32"/>
          <w:szCs w:val="32"/>
          <w:highlight w:val="none"/>
        </w:rPr>
      </w:pPr>
      <w:r>
        <w:rPr>
          <w:rFonts w:hint="eastAsia" w:ascii="Times New Roman" w:hAnsi="Times New Roman" w:eastAsia="方正仿宋_GB2312" w:cs="Times New Roman"/>
          <w:sz w:val="32"/>
          <w:szCs w:val="32"/>
          <w:highlight w:val="none"/>
          <w:lang w:val="en-US" w:eastAsia="zh-CN"/>
        </w:rPr>
        <w:t>4.</w:t>
      </w:r>
      <w:r>
        <w:rPr>
          <w:rFonts w:hint="default" w:ascii="Times New Roman" w:hAnsi="Times New Roman" w:eastAsia="方正仿宋_GB2312" w:cs="Times New Roman"/>
          <w:sz w:val="32"/>
          <w:szCs w:val="32"/>
          <w:highlight w:val="none"/>
        </w:rPr>
        <w:t>项目</w:t>
      </w:r>
      <w:r>
        <w:rPr>
          <w:rFonts w:hint="eastAsia" w:ascii="Times New Roman" w:hAnsi="Times New Roman" w:eastAsia="方正仿宋_GB2312" w:cs="Times New Roman"/>
          <w:sz w:val="32"/>
          <w:szCs w:val="32"/>
          <w:highlight w:val="none"/>
          <w:lang w:val="en-US" w:eastAsia="zh-CN"/>
        </w:rPr>
        <w:t>用地平面图及</w:t>
      </w:r>
      <w:r>
        <w:rPr>
          <w:rFonts w:hint="default" w:ascii="Times New Roman" w:hAnsi="Times New Roman" w:eastAsia="方正仿宋_GB2312" w:cs="Times New Roman"/>
          <w:sz w:val="32"/>
          <w:szCs w:val="32"/>
          <w:highlight w:val="none"/>
        </w:rPr>
        <w:t>矢量坐标文件；</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2312" w:cs="Times New Roman"/>
          <w:sz w:val="32"/>
          <w:szCs w:val="32"/>
          <w:highlight w:val="none"/>
        </w:rPr>
      </w:pPr>
      <w:r>
        <w:rPr>
          <w:rFonts w:hint="eastAsia" w:ascii="Times New Roman" w:hAnsi="Times New Roman" w:eastAsia="方正仿宋_GB2312" w:cs="Times New Roman"/>
          <w:sz w:val="32"/>
          <w:szCs w:val="32"/>
          <w:highlight w:val="none"/>
          <w:lang w:val="en-US" w:eastAsia="zh-CN"/>
        </w:rPr>
        <w:t>5.</w:t>
      </w:r>
      <w:r>
        <w:rPr>
          <w:rFonts w:hint="default" w:ascii="Times New Roman" w:hAnsi="Times New Roman" w:eastAsia="方正仿宋_GB2312" w:cs="Times New Roman"/>
          <w:sz w:val="32"/>
          <w:szCs w:val="32"/>
          <w:highlight w:val="none"/>
        </w:rPr>
        <w:t>占用耕地的需提供踏勘论证意见和补充耕地</w:t>
      </w:r>
      <w:r>
        <w:rPr>
          <w:rFonts w:hint="eastAsia" w:ascii="Times New Roman" w:hAnsi="Times New Roman" w:eastAsia="方正仿宋_GB2312" w:cs="Times New Roman"/>
          <w:sz w:val="32"/>
          <w:szCs w:val="32"/>
          <w:highlight w:val="none"/>
          <w:lang w:val="en-US" w:eastAsia="zh-CN"/>
        </w:rPr>
        <w:t>方案</w:t>
      </w:r>
      <w:r>
        <w:rPr>
          <w:rFonts w:hint="default" w:ascii="Times New Roman" w:hAnsi="Times New Roman" w:eastAsia="方正仿宋_GB2312" w:cs="Times New Roman"/>
          <w:sz w:val="32"/>
          <w:szCs w:val="32"/>
          <w:highlight w:val="none"/>
        </w:rPr>
        <w:t>、土地复垦</w:t>
      </w:r>
      <w:r>
        <w:rPr>
          <w:rFonts w:hint="eastAsia" w:ascii="Times New Roman" w:hAnsi="Times New Roman" w:eastAsia="方正仿宋_GB2312" w:cs="Times New Roman"/>
          <w:sz w:val="32"/>
          <w:szCs w:val="32"/>
          <w:highlight w:val="none"/>
          <w:lang w:val="en-US" w:eastAsia="zh-CN"/>
        </w:rPr>
        <w:t>等</w:t>
      </w:r>
      <w:r>
        <w:rPr>
          <w:rFonts w:hint="default" w:ascii="Times New Roman" w:hAnsi="Times New Roman" w:eastAsia="方正仿宋_GB2312" w:cs="Times New Roman"/>
          <w:sz w:val="32"/>
          <w:szCs w:val="32"/>
          <w:highlight w:val="none"/>
        </w:rPr>
        <w:t>相关材料。</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第十一条 审查备案</w:t>
      </w:r>
    </w:p>
    <w:p>
      <w:pPr>
        <w:keepNext w:val="0"/>
        <w:keepLines w:val="0"/>
        <w:pageBreakBefore w:val="0"/>
        <w:tabs>
          <w:tab w:val="left" w:pos="1748"/>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sz w:val="32"/>
          <w:szCs w:val="32"/>
        </w:rPr>
      </w:pPr>
      <w:r>
        <w:rPr>
          <w:rFonts w:hint="eastAsia" w:ascii="Times New Roman" w:hAnsi="Times New Roman" w:eastAsia="方正仿宋_GB2312" w:cs="Times New Roman"/>
          <w:sz w:val="32"/>
          <w:szCs w:val="32"/>
          <w:highlight w:val="none"/>
          <w:lang w:eastAsia="zh-CN"/>
        </w:rPr>
        <w:t>乡（镇）</w:t>
      </w:r>
      <w:r>
        <w:rPr>
          <w:rFonts w:hint="default" w:ascii="Times New Roman" w:hAnsi="Times New Roman" w:eastAsia="方正仿宋_GB2312" w:cs="Times New Roman"/>
          <w:sz w:val="32"/>
          <w:szCs w:val="32"/>
          <w:highlight w:val="none"/>
        </w:rPr>
        <w:t>人民政府收到备案材料后，须按规定程序征求县自然资源局、县农业农村局及其他相关行业主管部门的审核意见</w:t>
      </w:r>
      <w:r>
        <w:rPr>
          <w:rFonts w:hint="eastAsia" w:ascii="Times New Roman" w:hAnsi="Times New Roman" w:eastAsia="方正仿宋_GB2312" w:cs="Times New Roman"/>
          <w:sz w:val="32"/>
          <w:szCs w:val="32"/>
          <w:highlight w:val="none"/>
          <w:lang w:eastAsia="zh-CN"/>
        </w:rPr>
        <w:t>，</w:t>
      </w:r>
      <w:r>
        <w:rPr>
          <w:rFonts w:hint="eastAsia" w:ascii="Times New Roman" w:hAnsi="Times New Roman" w:eastAsia="方正仿宋_GB2312" w:cs="Times New Roman"/>
          <w:sz w:val="32"/>
          <w:szCs w:val="32"/>
          <w:highlight w:val="none"/>
          <w:lang w:val="en-US" w:eastAsia="zh-CN"/>
        </w:rPr>
        <w:t>并</w:t>
      </w:r>
      <w:r>
        <w:rPr>
          <w:rFonts w:hint="default" w:ascii="Times New Roman" w:hAnsi="Times New Roman" w:eastAsia="方正仿宋_GB2312" w:cs="Times New Roman"/>
          <w:sz w:val="32"/>
          <w:szCs w:val="32"/>
          <w:highlight w:val="none"/>
        </w:rPr>
        <w:t>在5个工作日内出具审查意见。审查通过的项目，由</w:t>
      </w:r>
      <w:r>
        <w:rPr>
          <w:rFonts w:hint="eastAsia" w:ascii="Times New Roman" w:hAnsi="Times New Roman" w:eastAsia="方正仿宋_GB2312" w:cs="Times New Roman"/>
          <w:sz w:val="32"/>
          <w:szCs w:val="32"/>
          <w:highlight w:val="none"/>
          <w:lang w:eastAsia="zh-CN"/>
        </w:rPr>
        <w:t>乡</w:t>
      </w:r>
      <w:r>
        <w:rPr>
          <w:rFonts w:hint="eastAsia" w:ascii="Times New Roman" w:hAnsi="Times New Roman" w:eastAsia="方正仿宋_GB2312" w:cs="Times New Roman"/>
          <w:sz w:val="32"/>
          <w:szCs w:val="32"/>
          <w:lang w:eastAsia="zh-CN"/>
        </w:rPr>
        <w:t>（镇）</w:t>
      </w:r>
      <w:r>
        <w:rPr>
          <w:rFonts w:hint="default" w:ascii="Times New Roman" w:hAnsi="Times New Roman" w:eastAsia="方正仿宋_GB2312" w:cs="Times New Roman"/>
          <w:sz w:val="32"/>
          <w:szCs w:val="32"/>
        </w:rPr>
        <w:t>人民政府完成备案，并及时将备案信息推送至县级自然资源和农业农村部门，由县级自然资源部门完成上图入库。审查不通过的，一次性告知用地主体需补充修改的内容，重新申请审查。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第五章 监督管理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第十二条 用途管制</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2312" w:cs="Times New Roman"/>
          <w:b w:val="0"/>
          <w:bCs w:val="0"/>
          <w:color w:val="000000"/>
          <w:kern w:val="0"/>
          <w:sz w:val="32"/>
          <w:szCs w:val="32"/>
          <w:lang w:val="en-US" w:eastAsia="zh-CN" w:bidi="ar"/>
        </w:rPr>
      </w:pPr>
      <w:r>
        <w:rPr>
          <w:rFonts w:hint="default" w:ascii="Times New Roman" w:hAnsi="Times New Roman" w:eastAsia="方正仿宋_GB2312" w:cs="Times New Roman"/>
          <w:b w:val="0"/>
          <w:bCs w:val="0"/>
          <w:color w:val="000000"/>
          <w:kern w:val="0"/>
          <w:sz w:val="32"/>
          <w:szCs w:val="32"/>
          <w:lang w:val="en-US" w:eastAsia="zh-CN" w:bidi="ar"/>
        </w:rPr>
        <w:t>落实设施农业用地管理责任。</w:t>
      </w:r>
      <w:r>
        <w:rPr>
          <w:rFonts w:hint="default" w:ascii="Times New Roman" w:hAnsi="Times New Roman" w:eastAsia="方正仿宋_GB2312" w:cs="Times New Roman"/>
          <w:b w:val="0"/>
          <w:bCs w:val="0"/>
          <w:sz w:val="32"/>
          <w:szCs w:val="32"/>
        </w:rPr>
        <w:t>设施农业用地不得擅自改变用途，严禁假借设施农业名义建设永久性餐饮、住宿、会议场馆、工厂化农产品加工、展销场所等非农设施，严禁建设休闲观光度假场所、庄园、酒庄等非农业项目。</w:t>
      </w:r>
      <w:r>
        <w:rPr>
          <w:rFonts w:hint="default" w:ascii="Times New Roman" w:hAnsi="Times New Roman" w:eastAsia="方正仿宋_GB2312" w:cs="Times New Roman"/>
          <w:b w:val="0"/>
          <w:bCs w:val="0"/>
          <w:color w:val="000000"/>
          <w:kern w:val="0"/>
          <w:sz w:val="32"/>
          <w:szCs w:val="32"/>
          <w:lang w:val="en-US" w:eastAsia="zh-CN" w:bidi="ar"/>
        </w:rPr>
        <w:t>乡（镇）人民政府负责对设施农业用地的申请、建设、使用及用后恢复全程监管，对违法违规使用设施农业用地的行为，要及时发现制止、依法处置；对再次发生类似“大棚房”问题，要追责问责。</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color w:val="000000"/>
          <w:kern w:val="0"/>
          <w:sz w:val="32"/>
          <w:szCs w:val="32"/>
          <w:lang w:val="en-US" w:eastAsia="zh-CN" w:bidi="ar"/>
        </w:rPr>
        <w:t>县级自然资源主管部门要将设施农业用地纳入土地动态执法巡查范围，加强监督检查，严肃查处擅自改变用途、擅自扩大用地规模、“搭车”变相取得用地手续及违规实施非农建设等违法行为。县级农业农村主管部门负责指导规模化种植养殖生产和辅助设施用地执行标准，监督生产经营行为。</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设施农业用地停止使用后，用地主体应当按照土地复垦方案要求，在规定期限内完成土地复垦，恢复农业生产条件。</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第十三条 动态巡查</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2312" w:cs="Times New Roman"/>
          <w:sz w:val="32"/>
          <w:szCs w:val="32"/>
        </w:rPr>
      </w:pPr>
      <w:r>
        <w:rPr>
          <w:rFonts w:hint="eastAsia" w:ascii="Times New Roman" w:hAnsi="Times New Roman" w:eastAsia="方正仿宋_GB2312" w:cs="Times New Roman"/>
          <w:sz w:val="32"/>
          <w:szCs w:val="32"/>
          <w:lang w:eastAsia="zh-CN"/>
        </w:rPr>
        <w:t>乡（镇）</w:t>
      </w:r>
      <w:r>
        <w:rPr>
          <w:rFonts w:hint="default" w:ascii="Times New Roman" w:hAnsi="Times New Roman" w:eastAsia="方正仿宋_GB2312" w:cs="Times New Roman"/>
          <w:sz w:val="32"/>
          <w:szCs w:val="32"/>
        </w:rPr>
        <w:t>人民政府承担日常巡查监管责任，建立设施农业用地定期巡查机制，每季度至少开展一次全覆盖巡查，及时发现和制止违法违规行为。</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县级自然资源部门结合卫片执法、遥感监测</w:t>
      </w:r>
      <w:r>
        <w:rPr>
          <w:rFonts w:hint="eastAsia" w:ascii="Times New Roman" w:hAnsi="Times New Roman" w:eastAsia="方正仿宋_GB2312" w:cs="Times New Roman"/>
          <w:sz w:val="32"/>
          <w:szCs w:val="32"/>
          <w:lang w:eastAsia="zh-CN"/>
        </w:rPr>
        <w:t>、</w:t>
      </w:r>
      <w:r>
        <w:rPr>
          <w:rFonts w:hint="eastAsia" w:ascii="Times New Roman" w:hAnsi="Times New Roman" w:eastAsia="方正仿宋_GB2312" w:cs="Times New Roman"/>
          <w:sz w:val="32"/>
          <w:szCs w:val="32"/>
          <w:lang w:val="en-US" w:eastAsia="zh-CN"/>
        </w:rPr>
        <w:t>实地踏查</w:t>
      </w:r>
      <w:r>
        <w:rPr>
          <w:rFonts w:hint="default" w:ascii="Times New Roman" w:hAnsi="Times New Roman" w:eastAsia="方正仿宋_GB2312" w:cs="Times New Roman"/>
          <w:sz w:val="32"/>
          <w:szCs w:val="32"/>
        </w:rPr>
        <w:t>等手段，对设施农业用地开展动态监管，对备案信息和实际使用情况进行不定期核查。</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第十四条 违法处置</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对符合设施农业用地范围但未履行备案程序的项目，</w:t>
      </w:r>
      <w:r>
        <w:rPr>
          <w:rFonts w:hint="eastAsia" w:ascii="Times New Roman" w:hAnsi="Times New Roman" w:eastAsia="方正仿宋_GB2312" w:cs="Times New Roman"/>
          <w:sz w:val="32"/>
          <w:szCs w:val="32"/>
          <w:lang w:val="en-US" w:eastAsia="zh-CN"/>
        </w:rPr>
        <w:t>乡（镇）</w:t>
      </w:r>
      <w:r>
        <w:rPr>
          <w:rFonts w:hint="default" w:ascii="Times New Roman" w:hAnsi="Times New Roman" w:eastAsia="方正仿宋_GB2312" w:cs="Times New Roman"/>
          <w:sz w:val="32"/>
          <w:szCs w:val="32"/>
        </w:rPr>
        <w:t>人民政府责令用地主体限期完善备案手续；逾期未办理的，对改变农用地性质的部分按照违法建设用地依法查处。</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对已备案但辅助设施、配套设施超过规定规模的项目，责令限期整改；拒不整改的，对超占部分按照违法用地依法查处。</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对擅自改变用途、违规占用永久基本农田开展非农建设的，依法严肃查处，责令限期拆除复垦，恢复土地原状。</w:t>
      </w:r>
      <w:bookmarkStart w:id="0" w:name="_GoBack"/>
      <w:bookmarkEnd w:id="0"/>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第六章 附则</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第十五条 制度解释</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 w:val="0"/>
          <w:bCs w:val="0"/>
          <w:sz w:val="32"/>
          <w:szCs w:val="32"/>
        </w:rPr>
        <w:t>本</w:t>
      </w:r>
      <w:r>
        <w:rPr>
          <w:rFonts w:hint="eastAsia" w:ascii="Times New Roman" w:hAnsi="Times New Roman" w:eastAsia="方正仿宋_GB2312" w:cs="Times New Roman"/>
          <w:b w:val="0"/>
          <w:bCs w:val="0"/>
          <w:sz w:val="32"/>
          <w:szCs w:val="32"/>
          <w:lang w:val="en-US" w:eastAsia="zh-CN"/>
        </w:rPr>
        <w:t>意见</w:t>
      </w:r>
      <w:r>
        <w:rPr>
          <w:rFonts w:hint="default" w:ascii="Times New Roman" w:hAnsi="Times New Roman" w:eastAsia="方正仿宋_GB2312" w:cs="Times New Roman"/>
          <w:b w:val="0"/>
          <w:bCs w:val="0"/>
          <w:sz w:val="32"/>
          <w:szCs w:val="32"/>
        </w:rPr>
        <w:t>由县级自然资源主管部门负责解释。上级部门有新规定的，从其规定。</w:t>
      </w:r>
    </w:p>
    <w:sectPr>
      <w:footerReference r:id="rId3" w:type="default"/>
      <w:pgSz w:w="11906" w:h="16838"/>
      <w:pgMar w:top="1440" w:right="1417"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E3967D-B888-4080-B12C-2F5DA73EA5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073919D1-24D6-422A-8D2C-D4A2E2DF63FF}"/>
  </w:font>
  <w:font w:name="方正仿宋_GB2312">
    <w:panose1 w:val="02000000000000000000"/>
    <w:charset w:val="86"/>
    <w:family w:val="auto"/>
    <w:pitch w:val="default"/>
    <w:sig w:usb0="A00002BF" w:usb1="184F6CFA" w:usb2="00000012" w:usb3="00000000" w:csb0="00040001" w:csb1="00000000"/>
    <w:embedRegular r:id="rId3" w:fontKey="{4447998F-7509-4086-9007-9B2AF1AB2F2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zNGZhY2U5MTM1NjQ5MzkxMTNiMmExODY3MzQ2OTEifQ=="/>
  </w:docVars>
  <w:rsids>
    <w:rsidRoot w:val="00000000"/>
    <w:rsid w:val="004E2611"/>
    <w:rsid w:val="005F284E"/>
    <w:rsid w:val="011E0236"/>
    <w:rsid w:val="01833EE2"/>
    <w:rsid w:val="028B18FB"/>
    <w:rsid w:val="034026E5"/>
    <w:rsid w:val="04090D29"/>
    <w:rsid w:val="04A9250C"/>
    <w:rsid w:val="04BF763A"/>
    <w:rsid w:val="0530678A"/>
    <w:rsid w:val="05D709B3"/>
    <w:rsid w:val="05DE1D42"/>
    <w:rsid w:val="065F05C2"/>
    <w:rsid w:val="06F01AC4"/>
    <w:rsid w:val="07B471FE"/>
    <w:rsid w:val="087D3A94"/>
    <w:rsid w:val="08D51B22"/>
    <w:rsid w:val="09FD572D"/>
    <w:rsid w:val="0A7E1D45"/>
    <w:rsid w:val="0A7E3F87"/>
    <w:rsid w:val="0AF0679F"/>
    <w:rsid w:val="0B884C29"/>
    <w:rsid w:val="0BA63302"/>
    <w:rsid w:val="0BC11EE9"/>
    <w:rsid w:val="0C882A07"/>
    <w:rsid w:val="0E6B438E"/>
    <w:rsid w:val="0E8C2C83"/>
    <w:rsid w:val="0FF43CC9"/>
    <w:rsid w:val="108D2CE2"/>
    <w:rsid w:val="114925C6"/>
    <w:rsid w:val="122D2087"/>
    <w:rsid w:val="12437AFC"/>
    <w:rsid w:val="13217712"/>
    <w:rsid w:val="14027543"/>
    <w:rsid w:val="146F5CE8"/>
    <w:rsid w:val="14FF7303"/>
    <w:rsid w:val="15937522"/>
    <w:rsid w:val="15DD3DC4"/>
    <w:rsid w:val="16556050"/>
    <w:rsid w:val="170A6E3A"/>
    <w:rsid w:val="172F3D03"/>
    <w:rsid w:val="179449DD"/>
    <w:rsid w:val="17E72CD8"/>
    <w:rsid w:val="1840063A"/>
    <w:rsid w:val="18B74DA0"/>
    <w:rsid w:val="19B27315"/>
    <w:rsid w:val="1A143B2C"/>
    <w:rsid w:val="1A6745A4"/>
    <w:rsid w:val="1B3405B5"/>
    <w:rsid w:val="1C146065"/>
    <w:rsid w:val="1C1C4F1A"/>
    <w:rsid w:val="1C427076"/>
    <w:rsid w:val="1C743740"/>
    <w:rsid w:val="1CB57848"/>
    <w:rsid w:val="1CF814E3"/>
    <w:rsid w:val="1D973F0F"/>
    <w:rsid w:val="1EC45B21"/>
    <w:rsid w:val="1F095F07"/>
    <w:rsid w:val="1F354C71"/>
    <w:rsid w:val="1FBE6A14"/>
    <w:rsid w:val="1FEE11B2"/>
    <w:rsid w:val="20F52909"/>
    <w:rsid w:val="2129610F"/>
    <w:rsid w:val="21366A7E"/>
    <w:rsid w:val="216653B7"/>
    <w:rsid w:val="21B225A8"/>
    <w:rsid w:val="2412732E"/>
    <w:rsid w:val="24883A94"/>
    <w:rsid w:val="251315B0"/>
    <w:rsid w:val="254A7FCA"/>
    <w:rsid w:val="260E57EE"/>
    <w:rsid w:val="264B1BD6"/>
    <w:rsid w:val="26B446CD"/>
    <w:rsid w:val="26CE0BCB"/>
    <w:rsid w:val="26DC3C24"/>
    <w:rsid w:val="28802805"/>
    <w:rsid w:val="294C5091"/>
    <w:rsid w:val="2A7417EF"/>
    <w:rsid w:val="2AB56C65"/>
    <w:rsid w:val="2ADC0696"/>
    <w:rsid w:val="2BB313F7"/>
    <w:rsid w:val="2C464019"/>
    <w:rsid w:val="2CBE1703"/>
    <w:rsid w:val="2CFE66A2"/>
    <w:rsid w:val="2D053ED4"/>
    <w:rsid w:val="2DBB27E5"/>
    <w:rsid w:val="2DC86CB0"/>
    <w:rsid w:val="2DCA2A28"/>
    <w:rsid w:val="2DF53F49"/>
    <w:rsid w:val="2E497DF1"/>
    <w:rsid w:val="2EFD1AA2"/>
    <w:rsid w:val="2F05640D"/>
    <w:rsid w:val="30185CCC"/>
    <w:rsid w:val="30F02D71"/>
    <w:rsid w:val="312A215B"/>
    <w:rsid w:val="31A0241D"/>
    <w:rsid w:val="33122EA7"/>
    <w:rsid w:val="33C65A3F"/>
    <w:rsid w:val="34164F91"/>
    <w:rsid w:val="34FA0097"/>
    <w:rsid w:val="354B08F2"/>
    <w:rsid w:val="36211653"/>
    <w:rsid w:val="36E061C9"/>
    <w:rsid w:val="36F34D9D"/>
    <w:rsid w:val="380B4369"/>
    <w:rsid w:val="38635F53"/>
    <w:rsid w:val="38D50C50"/>
    <w:rsid w:val="39223EE4"/>
    <w:rsid w:val="3991089E"/>
    <w:rsid w:val="3B451940"/>
    <w:rsid w:val="3C543A72"/>
    <w:rsid w:val="3CB46D7D"/>
    <w:rsid w:val="3D680DBE"/>
    <w:rsid w:val="3E126451"/>
    <w:rsid w:val="3E75253C"/>
    <w:rsid w:val="3E78202C"/>
    <w:rsid w:val="3E895FE7"/>
    <w:rsid w:val="40183AC7"/>
    <w:rsid w:val="408B24EB"/>
    <w:rsid w:val="41036525"/>
    <w:rsid w:val="4114428E"/>
    <w:rsid w:val="41412BA9"/>
    <w:rsid w:val="417E5BAB"/>
    <w:rsid w:val="41B96BD9"/>
    <w:rsid w:val="429827B8"/>
    <w:rsid w:val="43C10A21"/>
    <w:rsid w:val="43C674A1"/>
    <w:rsid w:val="443C4228"/>
    <w:rsid w:val="45442C68"/>
    <w:rsid w:val="45A1630C"/>
    <w:rsid w:val="45A55DFD"/>
    <w:rsid w:val="45EC3A2B"/>
    <w:rsid w:val="46472A10"/>
    <w:rsid w:val="46780E1B"/>
    <w:rsid w:val="46902609"/>
    <w:rsid w:val="476F66C2"/>
    <w:rsid w:val="481E1E96"/>
    <w:rsid w:val="48380FFF"/>
    <w:rsid w:val="49730643"/>
    <w:rsid w:val="49BA799D"/>
    <w:rsid w:val="4A056E6A"/>
    <w:rsid w:val="4A4C2CEB"/>
    <w:rsid w:val="4A9401EE"/>
    <w:rsid w:val="4ABA36CD"/>
    <w:rsid w:val="4AF33166"/>
    <w:rsid w:val="4B182BCD"/>
    <w:rsid w:val="4B4C51F0"/>
    <w:rsid w:val="4B7F49FA"/>
    <w:rsid w:val="4CE86072"/>
    <w:rsid w:val="4D7948F0"/>
    <w:rsid w:val="4DD0778F"/>
    <w:rsid w:val="4E4A5793"/>
    <w:rsid w:val="4E604FB7"/>
    <w:rsid w:val="4E8F13F8"/>
    <w:rsid w:val="4F3F2E1E"/>
    <w:rsid w:val="508A631B"/>
    <w:rsid w:val="512A7413"/>
    <w:rsid w:val="515D631D"/>
    <w:rsid w:val="52306A4E"/>
    <w:rsid w:val="523C53F3"/>
    <w:rsid w:val="5268788F"/>
    <w:rsid w:val="53591FD4"/>
    <w:rsid w:val="5512068D"/>
    <w:rsid w:val="55865813"/>
    <w:rsid w:val="55B55BE8"/>
    <w:rsid w:val="569F41A2"/>
    <w:rsid w:val="57596A47"/>
    <w:rsid w:val="5778511F"/>
    <w:rsid w:val="58296419"/>
    <w:rsid w:val="58BB7443"/>
    <w:rsid w:val="598F49A2"/>
    <w:rsid w:val="59C02DAD"/>
    <w:rsid w:val="59F44805"/>
    <w:rsid w:val="5A111F61"/>
    <w:rsid w:val="5B70610D"/>
    <w:rsid w:val="5BBE4205"/>
    <w:rsid w:val="5BCA7F13"/>
    <w:rsid w:val="5BE74621"/>
    <w:rsid w:val="5C182A2D"/>
    <w:rsid w:val="5C6A7000"/>
    <w:rsid w:val="5C9127DF"/>
    <w:rsid w:val="5CF07506"/>
    <w:rsid w:val="5D4F7D45"/>
    <w:rsid w:val="5D6D626D"/>
    <w:rsid w:val="5DC107BA"/>
    <w:rsid w:val="5DCA41FA"/>
    <w:rsid w:val="5E2C27BF"/>
    <w:rsid w:val="5E6A13CF"/>
    <w:rsid w:val="5FA40163"/>
    <w:rsid w:val="5FDA449D"/>
    <w:rsid w:val="5FE175D9"/>
    <w:rsid w:val="60D96503"/>
    <w:rsid w:val="61377DF9"/>
    <w:rsid w:val="615D5386"/>
    <w:rsid w:val="61630BEE"/>
    <w:rsid w:val="61F45CEA"/>
    <w:rsid w:val="638E5CCA"/>
    <w:rsid w:val="63F024E1"/>
    <w:rsid w:val="653603C7"/>
    <w:rsid w:val="65420B1A"/>
    <w:rsid w:val="65764C68"/>
    <w:rsid w:val="66E15801"/>
    <w:rsid w:val="67186F4B"/>
    <w:rsid w:val="67B04461"/>
    <w:rsid w:val="67DA7730"/>
    <w:rsid w:val="67DD4B2A"/>
    <w:rsid w:val="69606BF7"/>
    <w:rsid w:val="6A102F95"/>
    <w:rsid w:val="6A314603"/>
    <w:rsid w:val="6A3749C6"/>
    <w:rsid w:val="6A3A2708"/>
    <w:rsid w:val="6A9C7320"/>
    <w:rsid w:val="6B064398"/>
    <w:rsid w:val="6B686E01"/>
    <w:rsid w:val="6C550BF0"/>
    <w:rsid w:val="6C643A6C"/>
    <w:rsid w:val="6C830396"/>
    <w:rsid w:val="6CAB51F7"/>
    <w:rsid w:val="6E46167B"/>
    <w:rsid w:val="6F451933"/>
    <w:rsid w:val="6FB40867"/>
    <w:rsid w:val="6FDC743E"/>
    <w:rsid w:val="71DB657E"/>
    <w:rsid w:val="72253C9E"/>
    <w:rsid w:val="73740A39"/>
    <w:rsid w:val="744523D5"/>
    <w:rsid w:val="748C590E"/>
    <w:rsid w:val="74D36BB3"/>
    <w:rsid w:val="74D379E1"/>
    <w:rsid w:val="76307B82"/>
    <w:rsid w:val="766A1C7F"/>
    <w:rsid w:val="76E539FB"/>
    <w:rsid w:val="77456248"/>
    <w:rsid w:val="77857E22"/>
    <w:rsid w:val="77C90C27"/>
    <w:rsid w:val="780600CD"/>
    <w:rsid w:val="793F5645"/>
    <w:rsid w:val="7A513882"/>
    <w:rsid w:val="7A756E44"/>
    <w:rsid w:val="7AC758F2"/>
    <w:rsid w:val="7B582796"/>
    <w:rsid w:val="7B735A7A"/>
    <w:rsid w:val="7B8228A1"/>
    <w:rsid w:val="7C0D1A2A"/>
    <w:rsid w:val="7C1A4147"/>
    <w:rsid w:val="7ECB797B"/>
    <w:rsid w:val="7EDE76AE"/>
    <w:rsid w:val="7EF62141"/>
    <w:rsid w:val="FEEFC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ff4d24-3f74-4b94-a31a-43ee0a8e56a2}">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3451</Words>
  <Characters>3498</Characters>
  <Lines>0</Lines>
  <Paragraphs>0</Paragraphs>
  <TotalTime>0</TotalTime>
  <ScaleCrop>false</ScaleCrop>
  <LinksUpToDate>false</LinksUpToDate>
  <CharactersWithSpaces>3525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2026-05-25T11:03:00Z</dcterms:created>
  <dc:creator>Administrator</dc:creator>
  <cp:lastModifiedBy>请躲开，都挡住我发光了</cp:lastModifiedBy>
  <cp:lastPrinted>2026-06-12T09:56:00Z</cp:lastPrinted>
  <dcterms:modified xsi:type="dcterms:W3CDTF">2026-06-21T05:54:19Z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TemplateDocerSaveRecord">
    <vt:lpwstr>eyJoZGlkIjoiODgwZTkwZWJkYjdlMjM3YWRkYWQxMzE1NDczMzM1ZTAiLCJ1c2VySWQiOiIzNTE0NTA3MDEifQ==</vt:lpwstr>
  </property>
  <property fmtid="{D5CDD505-2E9C-101B-9397-08002B2CF9AE}" pid="4" name="ICV">
    <vt:lpwstr>50D1618DA1354118B8719D4E046EE8EA_13</vt:lpwstr>
  </property>
</Properties>
</file>